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3170" w14:textId="77777777" w:rsidR="00F87E0C" w:rsidRDefault="00000000">
      <w:pPr>
        <w:widowControl/>
        <w:jc w:val="center"/>
        <w:rPr>
          <w:b/>
          <w:sz w:val="24"/>
          <w:szCs w:val="24"/>
        </w:rPr>
      </w:pPr>
      <w:r>
        <w:rPr>
          <w:b/>
          <w:sz w:val="24"/>
          <w:szCs w:val="24"/>
        </w:rPr>
        <w:t>INTERAÇÃO PLANTA-POLINIZADOR EM AMBIENTE DE CAATINGA: FLORADA E ATIVIDADE DE ABELHAS</w:t>
      </w:r>
    </w:p>
    <w:p w14:paraId="195C6EB4" w14:textId="77777777" w:rsidR="00F87E0C" w:rsidRDefault="00F87E0C">
      <w:pPr>
        <w:widowControl/>
        <w:jc w:val="center"/>
        <w:rPr>
          <w:b/>
          <w:sz w:val="24"/>
          <w:szCs w:val="24"/>
        </w:rPr>
      </w:pPr>
      <w:bookmarkStart w:id="0" w:name="_shoj85ruizhy" w:colFirst="0" w:colLast="0"/>
      <w:bookmarkEnd w:id="0"/>
    </w:p>
    <w:p w14:paraId="0A0FC124" w14:textId="52022400" w:rsidR="00F87E0C" w:rsidRDefault="005541F5">
      <w:pPr>
        <w:spacing w:line="276" w:lineRule="auto"/>
        <w:ind w:left="221" w:right="214"/>
        <w:jc w:val="center"/>
        <w:rPr>
          <w:b/>
          <w:sz w:val="20"/>
          <w:szCs w:val="20"/>
        </w:rPr>
      </w:pPr>
      <w:r>
        <w:rPr>
          <w:b/>
          <w:sz w:val="20"/>
          <w:szCs w:val="20"/>
        </w:rPr>
        <w:t>Demilson de Sena Benevides</w:t>
      </w:r>
      <w:r>
        <w:rPr>
          <w:b/>
          <w:sz w:val="20"/>
          <w:szCs w:val="20"/>
          <w:vertAlign w:val="superscript"/>
        </w:rPr>
        <w:t>1</w:t>
      </w:r>
      <w:r>
        <w:rPr>
          <w:b/>
          <w:sz w:val="20"/>
          <w:szCs w:val="20"/>
        </w:rPr>
        <w:t>, Israel da Silva Almeida</w:t>
      </w:r>
      <w:r>
        <w:rPr>
          <w:b/>
          <w:sz w:val="20"/>
          <w:szCs w:val="20"/>
          <w:vertAlign w:val="superscript"/>
        </w:rPr>
        <w:t>2</w:t>
      </w:r>
      <w:r>
        <w:rPr>
          <w:b/>
          <w:sz w:val="20"/>
          <w:szCs w:val="20"/>
        </w:rPr>
        <w:t>, Katia Peres Gramacho</w:t>
      </w:r>
      <w:r>
        <w:rPr>
          <w:b/>
          <w:sz w:val="20"/>
          <w:szCs w:val="20"/>
          <w:vertAlign w:val="superscript"/>
        </w:rPr>
        <w:t>3</w:t>
      </w:r>
    </w:p>
    <w:p w14:paraId="19713C13" w14:textId="372BF5B5" w:rsidR="00F87E0C" w:rsidRDefault="00000000">
      <w:pPr>
        <w:spacing w:line="276" w:lineRule="auto"/>
        <w:ind w:left="221" w:right="214"/>
        <w:jc w:val="center"/>
        <w:rPr>
          <w:sz w:val="20"/>
          <w:szCs w:val="20"/>
        </w:rPr>
      </w:pPr>
      <w:bookmarkStart w:id="1" w:name="_t7g2tjcd4jvp" w:colFirst="0" w:colLast="0"/>
      <w:bookmarkEnd w:id="1"/>
      <w:r>
        <w:rPr>
          <w:sz w:val="20"/>
          <w:szCs w:val="20"/>
        </w:rPr>
        <w:t xml:space="preserve">Universidade Federal Rural do </w:t>
      </w:r>
      <w:proofErr w:type="spellStart"/>
      <w:r>
        <w:rPr>
          <w:sz w:val="20"/>
          <w:szCs w:val="20"/>
        </w:rPr>
        <w:t>Semi-Árido</w:t>
      </w:r>
      <w:proofErr w:type="spellEnd"/>
    </w:p>
    <w:p w14:paraId="281A6F02" w14:textId="77777777" w:rsidR="00F87E0C" w:rsidRDefault="00F87E0C">
      <w:pPr>
        <w:spacing w:line="276" w:lineRule="auto"/>
        <w:ind w:left="221" w:right="214"/>
        <w:jc w:val="center"/>
        <w:rPr>
          <w:sz w:val="20"/>
          <w:szCs w:val="20"/>
        </w:rPr>
      </w:pPr>
      <w:hyperlink r:id="rId6">
        <w:r>
          <w:rPr>
            <w:color w:val="0000FF"/>
            <w:sz w:val="20"/>
            <w:szCs w:val="20"/>
            <w:u w:val="single"/>
          </w:rPr>
          <w:t>israel.almeida@alunos.ufersa.edu.br</w:t>
        </w:r>
      </w:hyperlink>
    </w:p>
    <w:p w14:paraId="19216BDB" w14:textId="77777777" w:rsidR="00F87E0C" w:rsidRDefault="00000000">
      <w:pPr>
        <w:jc w:val="center"/>
        <w:rPr>
          <w:sz w:val="20"/>
          <w:szCs w:val="20"/>
        </w:rPr>
      </w:pPr>
      <w:r>
        <w:rPr>
          <w:sz w:val="20"/>
          <w:szCs w:val="20"/>
        </w:rPr>
        <w:t>__________________________________________________________________________________________</w:t>
      </w:r>
    </w:p>
    <w:p w14:paraId="32337904" w14:textId="77777777" w:rsidR="00F87E0C" w:rsidRDefault="00F87E0C">
      <w:pPr>
        <w:jc w:val="both"/>
        <w:rPr>
          <w:sz w:val="20"/>
          <w:szCs w:val="20"/>
        </w:rPr>
      </w:pPr>
    </w:p>
    <w:p w14:paraId="7BB65ABA" w14:textId="77777777" w:rsidR="00F87E0C" w:rsidRDefault="00000000">
      <w:pPr>
        <w:jc w:val="both"/>
        <w:rPr>
          <w:sz w:val="20"/>
          <w:szCs w:val="20"/>
        </w:rPr>
      </w:pPr>
      <w:r>
        <w:rPr>
          <w:b/>
          <w:sz w:val="20"/>
          <w:szCs w:val="20"/>
        </w:rPr>
        <w:t>RESUMO</w:t>
      </w:r>
      <w:r>
        <w:rPr>
          <w:sz w:val="20"/>
          <w:szCs w:val="20"/>
        </w:rPr>
        <w:t xml:space="preserve"> </w:t>
      </w:r>
    </w:p>
    <w:p w14:paraId="1DC38E54" w14:textId="77777777" w:rsidR="00F87E0C" w:rsidRDefault="00000000">
      <w:pPr>
        <w:widowControl/>
        <w:ind w:right="6" w:firstLine="709"/>
        <w:jc w:val="both"/>
        <w:rPr>
          <w:sz w:val="20"/>
          <w:szCs w:val="20"/>
        </w:rPr>
      </w:pPr>
      <w:r>
        <w:rPr>
          <w:sz w:val="20"/>
          <w:szCs w:val="20"/>
        </w:rPr>
        <w:t>A diversidade vegetal e sua distribuição fenológica são fatores importantes para a manutenção de abelhas polinizadoras, especialmente em ecossistemas semiáridos como a Caatinga. Este trabalho tem como objetivo analisar o período de floração e os hábitos das espécies vegetais presentes na Fazenda Experimental da UFERSA, destacando seu potencial para sustentar comunidades de abelhas nativas e exóticas. A pesquisa foi baseada na organização e interpretação de dados referentes à espécie, nome popular, época de floração e hábito de vida (herbáceo, arbustivo ou arbóreo). Adicionalmente, foram avaliadas contagens associadas ao número de espécies floridas, à forma de vida predominante e à distribuição da floração ao longo do ano. Os resultados indicam uma expressiva concentração da floração no período chuvoso, com destaque para espécies arbóreas e arbustivas que fornecem recursos florais essenciais, como néctar e pólen. A diversidade de hábitos das espécies permite uma oferta relativamente contínua de recursos, fator benéfico para a manutenção de colônias de Africanizadas e Jandaíras. A análise quantitativa revelou ainda um padrão sazonal relevante que pode ser utilizado como base para estratégias de manejo apícola e conservação da flora nativa. Conclui-se que a compreensão da fenologia e do hábito das espécies locais é essencial para fomentar práticas sustentáveis e garantir a resiliência ecológica dos sistemas produtivos no semiárido brasileiro.</w:t>
      </w:r>
    </w:p>
    <w:p w14:paraId="7237F09F" w14:textId="77777777" w:rsidR="00F87E0C" w:rsidRDefault="00F87E0C">
      <w:pPr>
        <w:widowControl/>
        <w:ind w:right="4"/>
        <w:jc w:val="both"/>
        <w:rPr>
          <w:sz w:val="20"/>
          <w:szCs w:val="20"/>
        </w:rPr>
      </w:pPr>
    </w:p>
    <w:p w14:paraId="6717083C" w14:textId="77777777" w:rsidR="00F87E0C" w:rsidRDefault="00000000">
      <w:pPr>
        <w:widowControl/>
        <w:ind w:left="567" w:right="4" w:hanging="567"/>
        <w:jc w:val="both"/>
        <w:rPr>
          <w:sz w:val="20"/>
          <w:szCs w:val="20"/>
        </w:rPr>
      </w:pPr>
      <w:r>
        <w:rPr>
          <w:b/>
          <w:sz w:val="20"/>
          <w:szCs w:val="20"/>
        </w:rPr>
        <w:t>Palavras-chave:</w:t>
      </w:r>
      <w:r>
        <w:rPr>
          <w:sz w:val="20"/>
          <w:szCs w:val="20"/>
        </w:rPr>
        <w:t xml:space="preserve"> Fenologia Floral; abelhas; caatinga. </w:t>
      </w:r>
    </w:p>
    <w:p w14:paraId="79A3C507" w14:textId="77777777" w:rsidR="00F87E0C" w:rsidRDefault="00F87E0C">
      <w:pPr>
        <w:widowControl/>
        <w:jc w:val="both"/>
        <w:rPr>
          <w:b/>
          <w:sz w:val="20"/>
          <w:szCs w:val="20"/>
        </w:rPr>
      </w:pPr>
    </w:p>
    <w:p w14:paraId="1ACA9894" w14:textId="77777777" w:rsidR="00F87E0C" w:rsidRDefault="00000000">
      <w:pPr>
        <w:widowControl/>
        <w:jc w:val="both"/>
        <w:rPr>
          <w:b/>
          <w:sz w:val="20"/>
          <w:szCs w:val="20"/>
        </w:rPr>
      </w:pPr>
      <w:r>
        <w:rPr>
          <w:b/>
          <w:sz w:val="20"/>
          <w:szCs w:val="20"/>
        </w:rPr>
        <w:t xml:space="preserve">INTRODUÇÃO </w:t>
      </w:r>
    </w:p>
    <w:p w14:paraId="694C2321" w14:textId="77777777" w:rsidR="00F87E0C" w:rsidRDefault="00000000">
      <w:pPr>
        <w:widowControl/>
        <w:ind w:firstLine="709"/>
        <w:jc w:val="both"/>
        <w:rPr>
          <w:sz w:val="20"/>
          <w:szCs w:val="20"/>
        </w:rPr>
      </w:pPr>
      <w:r>
        <w:rPr>
          <w:sz w:val="20"/>
          <w:szCs w:val="20"/>
        </w:rPr>
        <w:t xml:space="preserve">A polinização é um serviço ecossistêmico essencial para a conservação da biodiversidade e para o funcionamento equilibrado dos ecossistemas naturais. As abelhas, nesse contexto, destacam-se como os principais agentes polinizadores, especialmente em regiões tropicais, sendo responsáveis pela reprodução de aproximadamente 40 a 90% das espécies vegetais (OLLERTON </w:t>
      </w:r>
      <w:r>
        <w:rPr>
          <w:i/>
          <w:sz w:val="20"/>
          <w:szCs w:val="20"/>
        </w:rPr>
        <w:t>et al</w:t>
      </w:r>
      <w:r>
        <w:rPr>
          <w:sz w:val="20"/>
          <w:szCs w:val="20"/>
        </w:rPr>
        <w:t xml:space="preserve">., 2011). Além disso, a sua presença é indicadora de qualidade ambiental, o que reforça a importância da preservação desses insetos frente à degradação dos ambientes naturais (BARBOSA </w:t>
      </w:r>
      <w:r>
        <w:rPr>
          <w:i/>
          <w:sz w:val="20"/>
          <w:szCs w:val="20"/>
        </w:rPr>
        <w:t>et al</w:t>
      </w:r>
      <w:r>
        <w:rPr>
          <w:sz w:val="20"/>
          <w:szCs w:val="20"/>
        </w:rPr>
        <w:t xml:space="preserve">., 2017). A Caatinga, por sua vez, é um bioma exclusivamente brasileiro, caracterizado por clima semiárido e vegetação adaptada à escassez hídrica, o que influencia diretamente os padrões de floração e a oferta de recursos florais para os polinizadores (GIULIETTI </w:t>
      </w:r>
      <w:r>
        <w:rPr>
          <w:i/>
          <w:sz w:val="20"/>
          <w:szCs w:val="20"/>
        </w:rPr>
        <w:t>et al</w:t>
      </w:r>
      <w:r>
        <w:rPr>
          <w:sz w:val="20"/>
          <w:szCs w:val="20"/>
        </w:rPr>
        <w:t>., 2004).</w:t>
      </w:r>
    </w:p>
    <w:p w14:paraId="28ECA020" w14:textId="77777777" w:rsidR="00F87E0C" w:rsidRDefault="00000000">
      <w:pPr>
        <w:widowControl/>
        <w:ind w:firstLine="709"/>
        <w:jc w:val="both"/>
        <w:rPr>
          <w:sz w:val="20"/>
          <w:szCs w:val="20"/>
        </w:rPr>
      </w:pPr>
      <w:r>
        <w:rPr>
          <w:sz w:val="20"/>
          <w:szCs w:val="20"/>
        </w:rPr>
        <w:t xml:space="preserve">Estudos em comunidades vegetais da Caatinga revelam que a maioria das espécies apresenta síndromes entomófilas, sendo polinizadas prioritariamente por abelhas, como ocorre com espécies das famílias Fabaceae, Convolvulaceae e Malvaceae (MACHADO &amp; LOPES, 1994; MACHADO, 1995). Esses insetos dependem diretamente de flores para coleta de pólen, néctar e outras substâncias, elementos fundamentais à sua dieta e ao desenvolvimento das colônias (CORBET </w:t>
      </w:r>
      <w:r>
        <w:rPr>
          <w:i/>
          <w:sz w:val="20"/>
          <w:szCs w:val="20"/>
        </w:rPr>
        <w:t>et al</w:t>
      </w:r>
      <w:r>
        <w:rPr>
          <w:sz w:val="20"/>
          <w:szCs w:val="20"/>
        </w:rPr>
        <w:t>., 1991). A composição da vegetação e a forma de vida das espécies influenciam a diversidade e abundância de flores ao longo do tempo. Segundo Rodrigues (2019), plantas herbáceas, por exemplo, apresentam floração mais intensa em determinados períodos sazonais, oferecendo maior suporte alimentar às abelhas.</w:t>
      </w:r>
    </w:p>
    <w:p w14:paraId="18C7BE20" w14:textId="77777777" w:rsidR="00F87E0C" w:rsidRDefault="00000000">
      <w:pPr>
        <w:widowControl/>
        <w:ind w:firstLine="709"/>
        <w:jc w:val="both"/>
        <w:rPr>
          <w:sz w:val="20"/>
          <w:szCs w:val="20"/>
        </w:rPr>
      </w:pPr>
      <w:r>
        <w:rPr>
          <w:sz w:val="20"/>
          <w:szCs w:val="20"/>
        </w:rPr>
        <w:t>Diante desse contexto, o presente estudo teve como objetivo analisar a diversidade de espécies vegetais, seus hábitos de vida e períodos de floração em uma área de Caatinga, a fim de avaliar a oferta de recursos florais disponíveis para abelhas nativas (</w:t>
      </w:r>
      <w:r>
        <w:rPr>
          <w:i/>
          <w:sz w:val="20"/>
          <w:szCs w:val="20"/>
        </w:rPr>
        <w:t>Melípona subnitida</w:t>
      </w:r>
      <w:r>
        <w:rPr>
          <w:sz w:val="20"/>
          <w:szCs w:val="20"/>
        </w:rPr>
        <w:t>) e exóticas (</w:t>
      </w:r>
      <w:r>
        <w:rPr>
          <w:i/>
          <w:sz w:val="20"/>
          <w:szCs w:val="20"/>
        </w:rPr>
        <w:t>Apis mellifera</w:t>
      </w:r>
      <w:r>
        <w:rPr>
          <w:sz w:val="20"/>
          <w:szCs w:val="20"/>
        </w:rPr>
        <w:t xml:space="preserve">). </w:t>
      </w:r>
    </w:p>
    <w:p w14:paraId="41D58494" w14:textId="77777777" w:rsidR="00F87E0C" w:rsidRDefault="00F87E0C">
      <w:pPr>
        <w:widowControl/>
        <w:jc w:val="both"/>
        <w:rPr>
          <w:b/>
          <w:sz w:val="20"/>
          <w:szCs w:val="20"/>
        </w:rPr>
      </w:pPr>
    </w:p>
    <w:p w14:paraId="374BE906" w14:textId="77777777" w:rsidR="00F87E0C" w:rsidRDefault="00000000">
      <w:pPr>
        <w:widowControl/>
        <w:jc w:val="both"/>
        <w:rPr>
          <w:b/>
          <w:sz w:val="20"/>
          <w:szCs w:val="20"/>
        </w:rPr>
      </w:pPr>
      <w:r>
        <w:rPr>
          <w:b/>
          <w:sz w:val="20"/>
          <w:szCs w:val="20"/>
        </w:rPr>
        <w:t xml:space="preserve">MATERIAL E MÉTODOS </w:t>
      </w:r>
    </w:p>
    <w:p w14:paraId="76375B0D" w14:textId="77777777" w:rsidR="00F87E0C" w:rsidRDefault="00000000">
      <w:pPr>
        <w:widowControl/>
        <w:jc w:val="both"/>
        <w:rPr>
          <w:sz w:val="20"/>
          <w:szCs w:val="20"/>
        </w:rPr>
      </w:pPr>
      <w:r>
        <w:rPr>
          <w:b/>
          <w:sz w:val="20"/>
          <w:szCs w:val="20"/>
        </w:rPr>
        <w:t>Área de Estudo</w:t>
      </w:r>
    </w:p>
    <w:p w14:paraId="44ACF3B0" w14:textId="77777777" w:rsidR="00F87E0C" w:rsidRDefault="00000000">
      <w:pPr>
        <w:widowControl/>
        <w:spacing w:before="240" w:after="240"/>
        <w:jc w:val="both"/>
        <w:rPr>
          <w:sz w:val="20"/>
          <w:szCs w:val="20"/>
        </w:rPr>
      </w:pPr>
      <w:r>
        <w:rPr>
          <w:sz w:val="20"/>
          <w:szCs w:val="20"/>
        </w:rPr>
        <w:t xml:space="preserve">O estudo foi realizado na Fazenda Experimental Rafael Fernandes (UFERSA), localizada no assentamento Alagoinha, zona rural de Mossoró (RN), na região semiárida do bioma Caatinga. A área apresenta vegetação típica da Caatinga hiperxerófila, com espécies adaptadas à seca, como caducifólias e suculentas. Possui paisagem </w:t>
      </w:r>
      <w:r>
        <w:rPr>
          <w:sz w:val="20"/>
          <w:szCs w:val="20"/>
        </w:rPr>
        <w:lastRenderedPageBreak/>
        <w:t>diversificada com vegetação nativa, pastagens, setores experimentais e áreas de cultivo agrícola. Os solos são rasos, pouco férteis e suscetíveis à erosão. A diversidade de microambientes favorece estudos sobre interações entre plantas e polinizadores.</w:t>
      </w:r>
    </w:p>
    <w:p w14:paraId="3A0D8B6B" w14:textId="77777777" w:rsidR="00F87E0C" w:rsidRDefault="00000000">
      <w:pPr>
        <w:widowControl/>
        <w:spacing w:before="240" w:after="240"/>
        <w:jc w:val="both"/>
        <w:rPr>
          <w:sz w:val="20"/>
          <w:szCs w:val="20"/>
        </w:rPr>
      </w:pPr>
      <w:r>
        <w:rPr>
          <w:b/>
          <w:sz w:val="20"/>
          <w:szCs w:val="20"/>
        </w:rPr>
        <w:t>Amostragem de Espécies vegetais</w:t>
      </w:r>
    </w:p>
    <w:p w14:paraId="34AA519A" w14:textId="77777777" w:rsidR="00F87E0C" w:rsidRDefault="00000000">
      <w:pPr>
        <w:widowControl/>
        <w:ind w:firstLine="709"/>
        <w:jc w:val="both"/>
        <w:rPr>
          <w:sz w:val="20"/>
          <w:szCs w:val="20"/>
        </w:rPr>
      </w:pPr>
      <w:r>
        <w:rPr>
          <w:sz w:val="20"/>
          <w:szCs w:val="20"/>
        </w:rPr>
        <w:t xml:space="preserve">As espécies presentes representam uma vegetação característica da Caatinga, com predomínio de plantas adaptadas à seca, como árvores e arbustos caducifólios, que perdem as folhas na estação seca para reduzir a perda de água. A vegetação apresenta variedade estrutural, composta por espécies de hábito arbóreo, arbustivo, herbáceo e trepador. Árvores como a </w:t>
      </w:r>
      <w:r>
        <w:rPr>
          <w:i/>
          <w:sz w:val="20"/>
          <w:szCs w:val="20"/>
        </w:rPr>
        <w:t>Mimosa caesalpiniifolia</w:t>
      </w:r>
      <w:r>
        <w:rPr>
          <w:sz w:val="20"/>
          <w:szCs w:val="20"/>
        </w:rPr>
        <w:t xml:space="preserve"> e </w:t>
      </w:r>
      <w:r>
        <w:rPr>
          <w:i/>
          <w:sz w:val="20"/>
          <w:szCs w:val="20"/>
        </w:rPr>
        <w:t>Caesalpinia pyramidalis</w:t>
      </w:r>
      <w:r>
        <w:rPr>
          <w:sz w:val="20"/>
          <w:szCs w:val="20"/>
        </w:rPr>
        <w:t xml:space="preserve"> se destacam pela oferta de sombra e recursos florais em altura, enquanto herbáceas e arbustos contribuem para a cobertura mais baixa e densa.</w:t>
      </w:r>
    </w:p>
    <w:p w14:paraId="05095099" w14:textId="77777777" w:rsidR="00F87E0C" w:rsidRDefault="00000000">
      <w:pPr>
        <w:rPr>
          <w:sz w:val="20"/>
          <w:szCs w:val="20"/>
        </w:rPr>
      </w:pPr>
      <w:r>
        <w:rPr>
          <w:sz w:val="20"/>
          <w:szCs w:val="20"/>
        </w:rPr>
        <w:t> </w:t>
      </w:r>
      <w:r>
        <w:rPr>
          <w:b/>
          <w:sz w:val="20"/>
          <w:szCs w:val="20"/>
        </w:rPr>
        <w:t>Coleta de Dados</w:t>
      </w:r>
    </w:p>
    <w:p w14:paraId="5165B447" w14:textId="4575AD3F" w:rsidR="00F87E0C" w:rsidRDefault="00000000">
      <w:pPr>
        <w:widowControl/>
        <w:ind w:firstLine="709"/>
        <w:jc w:val="both"/>
        <w:rPr>
          <w:sz w:val="20"/>
          <w:szCs w:val="20"/>
        </w:rPr>
      </w:pPr>
      <w:r>
        <w:rPr>
          <w:sz w:val="20"/>
          <w:szCs w:val="20"/>
        </w:rPr>
        <w:t xml:space="preserve">A coleta de dados foi realizada durante os meses de janeiro </w:t>
      </w:r>
      <w:r w:rsidR="00352316">
        <w:rPr>
          <w:sz w:val="20"/>
          <w:szCs w:val="20"/>
        </w:rPr>
        <w:t>a</w:t>
      </w:r>
      <w:r>
        <w:rPr>
          <w:sz w:val="20"/>
          <w:szCs w:val="20"/>
        </w:rPr>
        <w:t xml:space="preserve"> dezembro do ano de 2024. Para a verificação dos tipos de florada, utilizou se do método dos transectos, onde é traçado um raio de cerca de 1,5 km no sentido norte/sul e leste/oeste, seguindo os regimentos da literatura de acordo com a linha de voo da abelha da espécie </w:t>
      </w:r>
      <w:r>
        <w:rPr>
          <w:i/>
          <w:sz w:val="20"/>
          <w:szCs w:val="20"/>
        </w:rPr>
        <w:t>appis melífera</w:t>
      </w:r>
      <w:r>
        <w:rPr>
          <w:sz w:val="20"/>
          <w:szCs w:val="20"/>
        </w:rPr>
        <w:t xml:space="preserve"> (Africanizada) e 1,0 km para a </w:t>
      </w:r>
      <w:r>
        <w:rPr>
          <w:i/>
          <w:sz w:val="20"/>
          <w:szCs w:val="20"/>
        </w:rPr>
        <w:t>Melípona subnitida</w:t>
      </w:r>
      <w:r>
        <w:rPr>
          <w:sz w:val="20"/>
          <w:szCs w:val="20"/>
        </w:rPr>
        <w:t xml:space="preserve"> (Jandaíras). Esse mapeamento foi realizado uma vez por semana, dentro do período de 12 meses, para analisar se as espécies ainda se encontravam sem florações ou com florações. Esses dados foram coletados, as espécies eram registradas fotograficamente e anotadas, onde foram identificadas 103 espécies de 31 famílias botânicas distintas, apresentando uma biodiversidade do local.</w:t>
      </w:r>
    </w:p>
    <w:p w14:paraId="45C1F88F" w14:textId="77777777" w:rsidR="00F87E0C" w:rsidRDefault="00000000">
      <w:pPr>
        <w:widowControl/>
        <w:jc w:val="both"/>
        <w:rPr>
          <w:b/>
          <w:sz w:val="20"/>
          <w:szCs w:val="20"/>
        </w:rPr>
      </w:pPr>
      <w:r>
        <w:rPr>
          <w:b/>
          <w:sz w:val="20"/>
          <w:szCs w:val="20"/>
        </w:rPr>
        <w:t>Análise dos Dados</w:t>
      </w:r>
    </w:p>
    <w:p w14:paraId="3D696DF3" w14:textId="77777777" w:rsidR="00F87E0C" w:rsidRDefault="00000000">
      <w:pPr>
        <w:widowControl/>
        <w:ind w:firstLine="709"/>
        <w:jc w:val="both"/>
        <w:rPr>
          <w:sz w:val="20"/>
          <w:szCs w:val="20"/>
        </w:rPr>
      </w:pPr>
      <w:r>
        <w:rPr>
          <w:sz w:val="20"/>
          <w:szCs w:val="20"/>
        </w:rPr>
        <w:t>Para a análise dos dados obtidos no estudo, utilizou-se o Microsoft Excel, ferramenta pertencente ao pacote Office, amplamente empregada em trabalhos acadêmicos e científicos pela sua praticidade e capacidade de organização e processamento de informações. Os dados coletados, como nome científico e popular das espécies, hábito vegetal, período de floração e tipo de recurso floral, foram inseridos em planilhas estruturadas, com cada parâmetro distribuído em colunas específicas. Essa organização permitiu uma visualização sistemática das informações, facilitando o manuseio e a interpretação dos resultados.</w:t>
      </w:r>
    </w:p>
    <w:p w14:paraId="10ABE19E" w14:textId="77777777" w:rsidR="00F87E0C" w:rsidRDefault="00000000">
      <w:pPr>
        <w:widowControl/>
        <w:ind w:firstLine="709"/>
        <w:jc w:val="both"/>
        <w:rPr>
          <w:sz w:val="20"/>
          <w:szCs w:val="20"/>
        </w:rPr>
      </w:pPr>
      <w:r>
        <w:rPr>
          <w:sz w:val="20"/>
          <w:szCs w:val="20"/>
        </w:rPr>
        <w:t>O Excel foi utilizado para aplicar filtros, fórmulas e funções estatísticas básicas, possibilitando a contagem de frequência de variáveis, como o número de espécies por forma de vida, os períodos de maior floração e a diversidade de recursos florais oferecidos. Para facilitar a compreensão e a comunicação dos resultados, foram gerados gráficos, como gráficos de barras e de setores, que permitem visualizar de forma clara a distribuição das espécies por hábito, a variação do período de floração e a proporção dos tipos de recursos florais. Dessa forma, a combinação entre tabelas e gráficos contribuiu para uma análise mais completa e visualmente acessível dos dados coletados.</w:t>
      </w:r>
    </w:p>
    <w:p w14:paraId="2CFB11D0" w14:textId="77777777" w:rsidR="00F87E0C" w:rsidRDefault="00F87E0C">
      <w:pPr>
        <w:widowControl/>
        <w:ind w:firstLine="709"/>
        <w:jc w:val="both"/>
        <w:rPr>
          <w:sz w:val="20"/>
          <w:szCs w:val="20"/>
        </w:rPr>
      </w:pPr>
    </w:p>
    <w:p w14:paraId="36E720DF" w14:textId="77777777" w:rsidR="00F87E0C" w:rsidRDefault="00000000">
      <w:pPr>
        <w:widowControl/>
        <w:jc w:val="both"/>
        <w:rPr>
          <w:b/>
          <w:sz w:val="20"/>
          <w:szCs w:val="20"/>
        </w:rPr>
      </w:pPr>
      <w:r>
        <w:rPr>
          <w:b/>
          <w:sz w:val="20"/>
          <w:szCs w:val="20"/>
        </w:rPr>
        <w:t>RESULTADOS E DISCUSSÃO</w:t>
      </w:r>
    </w:p>
    <w:p w14:paraId="5BE4C95A" w14:textId="7E038C80" w:rsidR="00F87E0C" w:rsidRDefault="00000000">
      <w:pPr>
        <w:widowControl/>
        <w:ind w:firstLine="709"/>
        <w:jc w:val="both"/>
        <w:rPr>
          <w:sz w:val="20"/>
          <w:szCs w:val="20"/>
        </w:rPr>
      </w:pPr>
      <w:r>
        <w:rPr>
          <w:sz w:val="20"/>
          <w:szCs w:val="20"/>
        </w:rPr>
        <w:t xml:space="preserve">A figura </w:t>
      </w:r>
      <w:r w:rsidR="00352316">
        <w:rPr>
          <w:sz w:val="20"/>
          <w:szCs w:val="20"/>
        </w:rPr>
        <w:t xml:space="preserve">1 </w:t>
      </w:r>
      <w:r>
        <w:rPr>
          <w:sz w:val="20"/>
          <w:szCs w:val="20"/>
        </w:rPr>
        <w:t xml:space="preserve">mostra a distribuição das formas de vida das 103 espécies vegetais registradas: 35 arbóreas (33,98%), 21 arbustivas (20,38%) e 47 herbáceas (45,63%), sendo estas últimas as mais frequentes. Esse padrão reflete a vegetação típica da Caatinga, marcada pela adaptação ao clima semiárido, com destaque para a relevância ecológica das herbáceas, que respondem bem às variações sazonais e mantêm os processos ecológicos mesmo sob estresse hídrico. </w:t>
      </w:r>
    </w:p>
    <w:p w14:paraId="730D6054" w14:textId="77777777" w:rsidR="00F87E0C" w:rsidRDefault="00000000">
      <w:pPr>
        <w:widowControl/>
        <w:jc w:val="center"/>
        <w:rPr>
          <w:sz w:val="20"/>
          <w:szCs w:val="20"/>
        </w:rPr>
      </w:pPr>
      <w:r>
        <w:rPr>
          <w:noProof/>
          <w:sz w:val="20"/>
          <w:szCs w:val="20"/>
        </w:rPr>
        <w:drawing>
          <wp:inline distT="0" distB="0" distL="0" distR="0" wp14:anchorId="712B0FB1" wp14:editId="1C05EB92">
            <wp:extent cx="3219450" cy="177165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35602A" w14:textId="77777777" w:rsidR="00F87E0C" w:rsidRDefault="00000000">
      <w:pPr>
        <w:widowControl/>
        <w:ind w:firstLine="142"/>
        <w:jc w:val="center"/>
        <w:rPr>
          <w:sz w:val="20"/>
          <w:szCs w:val="20"/>
        </w:rPr>
      </w:pPr>
      <w:r>
        <w:rPr>
          <w:sz w:val="20"/>
          <w:szCs w:val="20"/>
        </w:rPr>
        <w:t>Figura 1: Forma de vida das espécies vegetais utilizadas no estudo.</w:t>
      </w:r>
    </w:p>
    <w:p w14:paraId="11B70998" w14:textId="77777777" w:rsidR="00F87E0C" w:rsidRDefault="00000000">
      <w:pPr>
        <w:widowControl/>
        <w:ind w:firstLine="709"/>
        <w:jc w:val="both"/>
        <w:rPr>
          <w:sz w:val="20"/>
          <w:szCs w:val="20"/>
        </w:rPr>
      </w:pPr>
      <w:r>
        <w:rPr>
          <w:sz w:val="20"/>
          <w:szCs w:val="20"/>
        </w:rPr>
        <w:t xml:space="preserve">A predominância de espécies herbáceas na região favorece a atividade de polinização realizada por abelhas, principalmente pela </w:t>
      </w:r>
      <w:r>
        <w:rPr>
          <w:i/>
          <w:sz w:val="20"/>
          <w:szCs w:val="20"/>
        </w:rPr>
        <w:t>Melipona subnitida</w:t>
      </w:r>
      <w:r>
        <w:rPr>
          <w:sz w:val="20"/>
          <w:szCs w:val="20"/>
        </w:rPr>
        <w:t xml:space="preserve"> (Jandaíra), uma espécie nativa do semiárido nordestino, adaptada ao ambiente e capaz de forragear em diferentes alturas, o que a torna essencial para a polinização local (SILVA </w:t>
      </w:r>
      <w:r>
        <w:rPr>
          <w:i/>
          <w:sz w:val="20"/>
          <w:szCs w:val="20"/>
        </w:rPr>
        <w:t>et al</w:t>
      </w:r>
      <w:r>
        <w:rPr>
          <w:sz w:val="20"/>
          <w:szCs w:val="20"/>
        </w:rPr>
        <w:t xml:space="preserve">., 2014). Além disso, a </w:t>
      </w:r>
      <w:r>
        <w:rPr>
          <w:i/>
          <w:sz w:val="20"/>
          <w:szCs w:val="20"/>
        </w:rPr>
        <w:t>Apis mellifera</w:t>
      </w:r>
      <w:r>
        <w:rPr>
          <w:sz w:val="20"/>
          <w:szCs w:val="20"/>
        </w:rPr>
        <w:t xml:space="preserve"> </w:t>
      </w:r>
      <w:r>
        <w:rPr>
          <w:b/>
          <w:sz w:val="20"/>
          <w:szCs w:val="20"/>
        </w:rPr>
        <w:t>(</w:t>
      </w:r>
      <w:r>
        <w:rPr>
          <w:sz w:val="20"/>
          <w:szCs w:val="20"/>
        </w:rPr>
        <w:t>Africanizadas</w:t>
      </w:r>
      <w:r>
        <w:rPr>
          <w:b/>
          <w:sz w:val="20"/>
          <w:szCs w:val="20"/>
        </w:rPr>
        <w:t>)</w:t>
      </w:r>
      <w:r>
        <w:rPr>
          <w:sz w:val="20"/>
          <w:szCs w:val="20"/>
        </w:rPr>
        <w:t xml:space="preserve">, uma espécie exótica amplamente distribuída, também </w:t>
      </w:r>
      <w:r>
        <w:rPr>
          <w:sz w:val="20"/>
          <w:szCs w:val="20"/>
        </w:rPr>
        <w:lastRenderedPageBreak/>
        <w:t xml:space="preserve">desempenha papel fundamental na polinização das plantas na região semiárida, contribuindo para a diversidade e produtividade das culturas agrícolas locais (OLIVEIRA </w:t>
      </w:r>
      <w:r>
        <w:rPr>
          <w:i/>
          <w:sz w:val="20"/>
          <w:szCs w:val="20"/>
        </w:rPr>
        <w:t>et al.,</w:t>
      </w:r>
      <w:r>
        <w:rPr>
          <w:sz w:val="20"/>
          <w:szCs w:val="20"/>
        </w:rPr>
        <w:t xml:space="preserve"> 2021; SEMADESC, 2024).</w:t>
      </w:r>
    </w:p>
    <w:p w14:paraId="35F7D9FF" w14:textId="77777777" w:rsidR="00F87E0C" w:rsidRDefault="00F87E0C">
      <w:pPr>
        <w:widowControl/>
        <w:rPr>
          <w:sz w:val="20"/>
          <w:szCs w:val="20"/>
        </w:rPr>
      </w:pPr>
    </w:p>
    <w:p w14:paraId="0072D3F2" w14:textId="77777777" w:rsidR="00F87E0C" w:rsidRDefault="00000000">
      <w:pPr>
        <w:widowControl/>
        <w:ind w:firstLine="709"/>
        <w:jc w:val="center"/>
        <w:rPr>
          <w:sz w:val="20"/>
          <w:szCs w:val="20"/>
        </w:rPr>
      </w:pPr>
      <w:r>
        <w:rPr>
          <w:noProof/>
          <w:sz w:val="20"/>
          <w:szCs w:val="20"/>
        </w:rPr>
        <w:drawing>
          <wp:inline distT="0" distB="0" distL="0" distR="0" wp14:anchorId="2A2AF3AB" wp14:editId="4CD2A05E">
            <wp:extent cx="3295650" cy="16573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39A941" w14:textId="77777777" w:rsidR="00F87E0C" w:rsidRDefault="00000000">
      <w:pPr>
        <w:widowControl/>
        <w:ind w:firstLine="709"/>
        <w:jc w:val="center"/>
        <w:rPr>
          <w:sz w:val="20"/>
          <w:szCs w:val="20"/>
        </w:rPr>
      </w:pPr>
      <w:r>
        <w:rPr>
          <w:sz w:val="20"/>
          <w:szCs w:val="20"/>
        </w:rPr>
        <w:t>Figura 2: percentual de floração das espécies vegetais em relação ao período de maior pluviosidade e de estiagem durante o ano.</w:t>
      </w:r>
    </w:p>
    <w:p w14:paraId="4F1F0140" w14:textId="2EF51025" w:rsidR="00F87E0C" w:rsidRPr="00930315" w:rsidRDefault="00000000">
      <w:pPr>
        <w:widowControl/>
        <w:ind w:firstLine="709"/>
        <w:jc w:val="both"/>
      </w:pPr>
      <w:r w:rsidRPr="00930315">
        <w:t>A Figura 2, evidencia que a maioria das espécies analisadas floresce na estação chuvosa (52%),</w:t>
      </w:r>
      <w:r w:rsidR="00930315" w:rsidRPr="00930315">
        <w:t xml:space="preserve"> entre os meses de abril a julho.</w:t>
      </w:r>
      <w:r w:rsidRPr="00930315">
        <w:t xml:space="preserve"> seguida por aquelas que florescem tanto na seca quanto na chuva (32%) e, por fim, na estação seca (16%)</w:t>
      </w:r>
      <w:r w:rsidR="00930315" w:rsidRPr="00930315">
        <w:t>, nos demais meses restantes do ano</w:t>
      </w:r>
      <w:r w:rsidRPr="00930315">
        <w:t xml:space="preserve">. Esse padrão reflete a influência da disponibilidade hídrica na fenologia das plantas da Caatinga, onde a umidade favorece a produção de flores e recursos como néctar e pólen. A floração durante todo o ano, observada em parte significativa das espécies, contribui para a manutenção da atividade de polinizadores, como a abelha nativa </w:t>
      </w:r>
      <w:r w:rsidRPr="00930315">
        <w:rPr>
          <w:i/>
        </w:rPr>
        <w:t>Melípona subnitida</w:t>
      </w:r>
      <w:r w:rsidRPr="00930315">
        <w:t xml:space="preserve">, adaptada às variações ambientais do semiárido (SILVA </w:t>
      </w:r>
      <w:r w:rsidRPr="00930315">
        <w:rPr>
          <w:i/>
        </w:rPr>
        <w:t>et al</w:t>
      </w:r>
      <w:r w:rsidRPr="00930315">
        <w:t xml:space="preserve">., 2014), e a exótica </w:t>
      </w:r>
      <w:r w:rsidRPr="00930315">
        <w:rPr>
          <w:i/>
        </w:rPr>
        <w:t>Apis mellifera</w:t>
      </w:r>
      <w:r w:rsidRPr="00930315">
        <w:t>, que também atua como importante agente polinizador na região (NEVES; VIANA, 2011).</w:t>
      </w:r>
    </w:p>
    <w:p w14:paraId="737FC2FF" w14:textId="77777777" w:rsidR="00F87E0C" w:rsidRDefault="00F87E0C">
      <w:pPr>
        <w:widowControl/>
        <w:ind w:firstLine="709"/>
        <w:jc w:val="both"/>
        <w:rPr>
          <w:sz w:val="20"/>
          <w:szCs w:val="20"/>
        </w:rPr>
      </w:pPr>
    </w:p>
    <w:p w14:paraId="0768AD2C" w14:textId="77777777" w:rsidR="00F87E0C" w:rsidRDefault="00000000">
      <w:pPr>
        <w:widowControl/>
        <w:ind w:firstLine="709"/>
        <w:jc w:val="center"/>
        <w:rPr>
          <w:sz w:val="20"/>
          <w:szCs w:val="20"/>
        </w:rPr>
      </w:pPr>
      <w:r>
        <w:rPr>
          <w:noProof/>
        </w:rPr>
        <w:drawing>
          <wp:inline distT="0" distB="0" distL="0" distR="0" wp14:anchorId="475F074C" wp14:editId="23A7BD96">
            <wp:extent cx="3371850" cy="207645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C82043" w14:textId="77777777" w:rsidR="00F87E0C" w:rsidRDefault="00000000">
      <w:pPr>
        <w:widowControl/>
        <w:spacing w:after="120"/>
        <w:jc w:val="center"/>
        <w:rPr>
          <w:sz w:val="20"/>
          <w:szCs w:val="20"/>
        </w:rPr>
      </w:pPr>
      <w:r>
        <w:rPr>
          <w:sz w:val="20"/>
          <w:szCs w:val="20"/>
        </w:rPr>
        <w:t>Figura3: Proporção dos recursos florais ofertados pelas 103 espécies identificadas</w:t>
      </w:r>
    </w:p>
    <w:p w14:paraId="798A9BC7" w14:textId="77777777" w:rsidR="00F87E0C" w:rsidRDefault="00000000">
      <w:pPr>
        <w:widowControl/>
        <w:ind w:firstLine="709"/>
        <w:jc w:val="both"/>
        <w:rPr>
          <w:sz w:val="20"/>
          <w:szCs w:val="20"/>
        </w:rPr>
      </w:pPr>
      <w:r>
        <w:rPr>
          <w:sz w:val="20"/>
          <w:szCs w:val="20"/>
        </w:rPr>
        <w:t xml:space="preserve">Entre as espécies analisadas, 22 ofertam néctar, 18 ofertam pólen e 65 fornecem ambos os recursos, favorecendo uma interação mutualística entre plantas e polinizadores. No contexto da Caatinga, observa-se uma sobreposição de nicho entre a abelha exótica </w:t>
      </w:r>
      <w:r>
        <w:rPr>
          <w:i/>
          <w:sz w:val="20"/>
          <w:szCs w:val="20"/>
        </w:rPr>
        <w:t>Apis mellifera</w:t>
      </w:r>
      <w:r>
        <w:rPr>
          <w:sz w:val="20"/>
          <w:szCs w:val="20"/>
        </w:rPr>
        <w:t xml:space="preserve"> e a nativa </w:t>
      </w:r>
      <w:r>
        <w:rPr>
          <w:i/>
          <w:sz w:val="20"/>
          <w:szCs w:val="20"/>
        </w:rPr>
        <w:t>Melipona subnitida</w:t>
      </w:r>
      <w:r>
        <w:rPr>
          <w:sz w:val="20"/>
          <w:szCs w:val="20"/>
        </w:rPr>
        <w:t xml:space="preserve">, especialmente na exploração de recursos florais, o que pode levar à competição direta por alimento. Estudos indicam que </w:t>
      </w:r>
      <w:r>
        <w:rPr>
          <w:i/>
          <w:sz w:val="20"/>
          <w:szCs w:val="20"/>
        </w:rPr>
        <w:t>A. mellifera</w:t>
      </w:r>
      <w:r>
        <w:rPr>
          <w:sz w:val="20"/>
          <w:szCs w:val="20"/>
        </w:rPr>
        <w:t xml:space="preserve">, por ser generalista e altamente competitiva, tende a monopolizar flores com maior oferta de néctar, impactando negativamente as abelhas nativas (Araújo, 2021). No entanto, </w:t>
      </w:r>
      <w:r>
        <w:rPr>
          <w:i/>
          <w:sz w:val="20"/>
          <w:szCs w:val="20"/>
        </w:rPr>
        <w:t>M. subnitida</w:t>
      </w:r>
      <w:r>
        <w:rPr>
          <w:sz w:val="20"/>
          <w:szCs w:val="20"/>
        </w:rPr>
        <w:t xml:space="preserve"> demonstra estratégias adaptativas, como diferenciação temporal na coleta e uso de fontes florais alternativas, permitindo sua coexistência com </w:t>
      </w:r>
      <w:r>
        <w:rPr>
          <w:i/>
          <w:sz w:val="20"/>
          <w:szCs w:val="20"/>
        </w:rPr>
        <w:t>A. mellifera</w:t>
      </w:r>
      <w:r>
        <w:rPr>
          <w:sz w:val="20"/>
          <w:szCs w:val="20"/>
        </w:rPr>
        <w:t xml:space="preserve"> (Menezes et al., 2007). Essas adaptações são fundamentais para minimizar os efeitos da competição e garantir a manutenção das abelhas nativas no ecossistema, favorecendo o desenvolvimento da apicultura e meliponicultora na caatinga.</w:t>
      </w:r>
    </w:p>
    <w:p w14:paraId="558721A5" w14:textId="77777777" w:rsidR="00F87E0C" w:rsidRDefault="00F87E0C">
      <w:pPr>
        <w:widowControl/>
        <w:ind w:firstLine="709"/>
        <w:jc w:val="both"/>
        <w:rPr>
          <w:sz w:val="20"/>
          <w:szCs w:val="20"/>
        </w:rPr>
      </w:pPr>
    </w:p>
    <w:p w14:paraId="3C2296A0" w14:textId="77777777" w:rsidR="00F87E0C" w:rsidRDefault="00000000">
      <w:pPr>
        <w:widowControl/>
        <w:jc w:val="both"/>
        <w:rPr>
          <w:b/>
          <w:sz w:val="20"/>
          <w:szCs w:val="20"/>
        </w:rPr>
      </w:pPr>
      <w:r>
        <w:rPr>
          <w:b/>
          <w:sz w:val="20"/>
          <w:szCs w:val="20"/>
        </w:rPr>
        <w:t xml:space="preserve">CONCLUSÕES </w:t>
      </w:r>
    </w:p>
    <w:p w14:paraId="15F9503E" w14:textId="77777777" w:rsidR="00F87E0C" w:rsidRDefault="00000000">
      <w:pPr>
        <w:widowControl/>
        <w:ind w:firstLine="709"/>
        <w:jc w:val="both"/>
        <w:rPr>
          <w:sz w:val="20"/>
          <w:szCs w:val="20"/>
        </w:rPr>
      </w:pPr>
      <w:r>
        <w:rPr>
          <w:sz w:val="20"/>
          <w:szCs w:val="20"/>
        </w:rPr>
        <w:t xml:space="preserve">A diversidade vegetal observada na Caatinga mostra a predominância de espécies herbáceas, seguida por arbóreas e arbustivas, influenciando diretamente a oferta de recursos florais para abelhas nativas e exóticas. A floração ocorre majoritariamente na estação chuvosa, mas uma parcela significativa mantém flores durante o ano todo, garantindo alimento constante para polinizadores como a </w:t>
      </w:r>
      <w:r w:rsidRPr="00930315">
        <w:rPr>
          <w:i/>
          <w:sz w:val="20"/>
          <w:szCs w:val="20"/>
        </w:rPr>
        <w:t>Melipona subnitida</w:t>
      </w:r>
      <w:r>
        <w:rPr>
          <w:i/>
          <w:sz w:val="20"/>
          <w:szCs w:val="20"/>
        </w:rPr>
        <w:t>,</w:t>
      </w:r>
      <w:r>
        <w:rPr>
          <w:sz w:val="20"/>
          <w:szCs w:val="20"/>
        </w:rPr>
        <w:t xml:space="preserve"> adaptada ao ambiente </w:t>
      </w:r>
      <w:r>
        <w:rPr>
          <w:sz w:val="20"/>
          <w:szCs w:val="20"/>
        </w:rPr>
        <w:lastRenderedPageBreak/>
        <w:t xml:space="preserve">semiárido, e a </w:t>
      </w:r>
      <w:r w:rsidRPr="00930315">
        <w:rPr>
          <w:i/>
          <w:iCs/>
          <w:sz w:val="20"/>
          <w:szCs w:val="20"/>
        </w:rPr>
        <w:t>Apis mellifera</w:t>
      </w:r>
      <w:r>
        <w:rPr>
          <w:sz w:val="20"/>
          <w:szCs w:val="20"/>
        </w:rPr>
        <w:t>, espécie exótica presente na região. A variedade de recursos florais, entre néctar e pólen, favorece a interação entre plantas e abelhas, embora haja competição entre as espécies de abelhas. Estratégias adaptativas da abelha nativa permitem sua coexistência com a exótica, contribuindo para a estabilidade e resiliência do ecossistema. Dessa forma, os resultados reforçam a importância de conservar tanto a flora quanto os polinizadores para garantir o equilíbrio da Caatinga.</w:t>
      </w:r>
    </w:p>
    <w:p w14:paraId="18882561" w14:textId="77777777" w:rsidR="00F87E0C" w:rsidRDefault="00F87E0C">
      <w:pPr>
        <w:widowControl/>
        <w:ind w:firstLine="709"/>
        <w:jc w:val="both"/>
        <w:rPr>
          <w:sz w:val="20"/>
          <w:szCs w:val="20"/>
        </w:rPr>
      </w:pPr>
    </w:p>
    <w:p w14:paraId="3A0EBF53" w14:textId="77777777" w:rsidR="00F87E0C" w:rsidRDefault="00000000">
      <w:pPr>
        <w:widowControl/>
        <w:jc w:val="both"/>
        <w:rPr>
          <w:b/>
          <w:sz w:val="20"/>
          <w:szCs w:val="20"/>
        </w:rPr>
      </w:pPr>
      <w:r>
        <w:rPr>
          <w:b/>
          <w:sz w:val="20"/>
          <w:szCs w:val="20"/>
        </w:rPr>
        <w:t xml:space="preserve">REFERÊNCIAS </w:t>
      </w:r>
    </w:p>
    <w:p w14:paraId="62CE98C2" w14:textId="77777777" w:rsidR="00F87E0C" w:rsidRDefault="00F87E0C">
      <w:pPr>
        <w:widowControl/>
        <w:jc w:val="both"/>
        <w:rPr>
          <w:b/>
          <w:sz w:val="20"/>
          <w:szCs w:val="20"/>
        </w:rPr>
      </w:pPr>
    </w:p>
    <w:p w14:paraId="2AC740DD" w14:textId="77777777" w:rsidR="00F87E0C" w:rsidRDefault="00000000">
      <w:pPr>
        <w:widowControl/>
        <w:spacing w:after="240"/>
        <w:jc w:val="both"/>
        <w:rPr>
          <w:sz w:val="20"/>
          <w:szCs w:val="20"/>
        </w:rPr>
      </w:pPr>
      <w:r>
        <w:rPr>
          <w:sz w:val="20"/>
          <w:szCs w:val="20"/>
        </w:rPr>
        <w:t xml:space="preserve">BARBOSA, Deise B. et al. </w:t>
      </w:r>
      <w:r>
        <w:rPr>
          <w:b/>
          <w:sz w:val="20"/>
          <w:szCs w:val="20"/>
        </w:rPr>
        <w:t>As abelhas e seu serviço ecossistêmico de polinização</w:t>
      </w:r>
      <w:r>
        <w:rPr>
          <w:sz w:val="20"/>
          <w:szCs w:val="20"/>
        </w:rPr>
        <w:t xml:space="preserve">. </w:t>
      </w:r>
      <w:r>
        <w:rPr>
          <w:i/>
          <w:sz w:val="20"/>
          <w:szCs w:val="20"/>
        </w:rPr>
        <w:t>Revista Eletrônica Científica da UERGS</w:t>
      </w:r>
      <w:r>
        <w:rPr>
          <w:sz w:val="20"/>
          <w:szCs w:val="20"/>
        </w:rPr>
        <w:t xml:space="preserve">, Tapes, v. 3, n. 4 (Número Especial), p. 694–703, 2017. Disponível em: </w:t>
      </w:r>
      <w:hyperlink r:id="rId10">
        <w:r w:rsidR="00F87E0C">
          <w:rPr>
            <w:color w:val="0000FF"/>
            <w:sz w:val="20"/>
            <w:szCs w:val="20"/>
            <w:u w:val="single"/>
          </w:rPr>
          <w:t>http://dx.doi.org/10.21674/2448-0479.34.694-703</w:t>
        </w:r>
      </w:hyperlink>
      <w:r>
        <w:rPr>
          <w:sz w:val="20"/>
          <w:szCs w:val="20"/>
        </w:rPr>
        <w:t>. Acesso em: 21 maio 2025.</w:t>
      </w:r>
    </w:p>
    <w:p w14:paraId="391037D3" w14:textId="77777777" w:rsidR="00F87E0C" w:rsidRDefault="00000000">
      <w:pPr>
        <w:widowControl/>
        <w:spacing w:after="240"/>
        <w:jc w:val="both"/>
        <w:rPr>
          <w:sz w:val="20"/>
          <w:szCs w:val="20"/>
        </w:rPr>
      </w:pPr>
      <w:r>
        <w:rPr>
          <w:sz w:val="20"/>
          <w:szCs w:val="20"/>
        </w:rPr>
        <w:t xml:space="preserve">CORBET, S. A.; WILLIAMS, I. H.; OSBORNE, J. L. </w:t>
      </w:r>
      <w:proofErr w:type="spellStart"/>
      <w:r>
        <w:rPr>
          <w:b/>
          <w:sz w:val="20"/>
          <w:szCs w:val="20"/>
        </w:rPr>
        <w:t>Bees</w:t>
      </w:r>
      <w:proofErr w:type="spellEnd"/>
      <w:r>
        <w:rPr>
          <w:b/>
          <w:sz w:val="20"/>
          <w:szCs w:val="20"/>
        </w:rPr>
        <w:t xml:space="preserve"> </w:t>
      </w:r>
      <w:proofErr w:type="spellStart"/>
      <w:r>
        <w:rPr>
          <w:b/>
          <w:sz w:val="20"/>
          <w:szCs w:val="20"/>
        </w:rPr>
        <w:t>and</w:t>
      </w:r>
      <w:proofErr w:type="spellEnd"/>
      <w:r>
        <w:rPr>
          <w:b/>
          <w:sz w:val="20"/>
          <w:szCs w:val="20"/>
        </w:rPr>
        <w:t xml:space="preserve"> </w:t>
      </w:r>
      <w:proofErr w:type="spellStart"/>
      <w:r>
        <w:rPr>
          <w:b/>
          <w:sz w:val="20"/>
          <w:szCs w:val="20"/>
        </w:rPr>
        <w:t>the</w:t>
      </w:r>
      <w:proofErr w:type="spellEnd"/>
      <w:r>
        <w:rPr>
          <w:b/>
          <w:sz w:val="20"/>
          <w:szCs w:val="20"/>
        </w:rPr>
        <w:t xml:space="preserve"> </w:t>
      </w:r>
      <w:proofErr w:type="spellStart"/>
      <w:r>
        <w:rPr>
          <w:b/>
          <w:sz w:val="20"/>
          <w:szCs w:val="20"/>
        </w:rPr>
        <w:t>pollination</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crops</w:t>
      </w:r>
      <w:proofErr w:type="spellEnd"/>
      <w:r>
        <w:rPr>
          <w:b/>
          <w:sz w:val="20"/>
          <w:szCs w:val="20"/>
        </w:rPr>
        <w:t xml:space="preserve"> </w:t>
      </w:r>
      <w:proofErr w:type="spellStart"/>
      <w:r>
        <w:rPr>
          <w:b/>
          <w:sz w:val="20"/>
          <w:szCs w:val="20"/>
        </w:rPr>
        <w:t>and</w:t>
      </w:r>
      <w:proofErr w:type="spellEnd"/>
      <w:r>
        <w:rPr>
          <w:b/>
          <w:sz w:val="20"/>
          <w:szCs w:val="20"/>
        </w:rPr>
        <w:t xml:space="preserve"> </w:t>
      </w:r>
      <w:proofErr w:type="spellStart"/>
      <w:r>
        <w:rPr>
          <w:b/>
          <w:sz w:val="20"/>
          <w:szCs w:val="20"/>
        </w:rPr>
        <w:t>wild</w:t>
      </w:r>
      <w:proofErr w:type="spellEnd"/>
      <w:r>
        <w:rPr>
          <w:b/>
          <w:sz w:val="20"/>
          <w:szCs w:val="20"/>
        </w:rPr>
        <w:t xml:space="preserve"> </w:t>
      </w:r>
      <w:proofErr w:type="spellStart"/>
      <w:r>
        <w:rPr>
          <w:b/>
          <w:sz w:val="20"/>
          <w:szCs w:val="20"/>
        </w:rPr>
        <w:t>flowers</w:t>
      </w:r>
      <w:proofErr w:type="spellEnd"/>
      <w:r>
        <w:rPr>
          <w:b/>
          <w:sz w:val="20"/>
          <w:szCs w:val="20"/>
        </w:rPr>
        <w:t xml:space="preserve"> in </w:t>
      </w:r>
      <w:proofErr w:type="spellStart"/>
      <w:r>
        <w:rPr>
          <w:b/>
          <w:sz w:val="20"/>
          <w:szCs w:val="20"/>
        </w:rPr>
        <w:t>the</w:t>
      </w:r>
      <w:proofErr w:type="spellEnd"/>
      <w:r>
        <w:rPr>
          <w:b/>
          <w:sz w:val="20"/>
          <w:szCs w:val="20"/>
        </w:rPr>
        <w:t xml:space="preserve"> </w:t>
      </w:r>
      <w:proofErr w:type="spellStart"/>
      <w:r>
        <w:rPr>
          <w:b/>
          <w:sz w:val="20"/>
          <w:szCs w:val="20"/>
        </w:rPr>
        <w:t>European</w:t>
      </w:r>
      <w:proofErr w:type="spellEnd"/>
      <w:r>
        <w:rPr>
          <w:sz w:val="20"/>
          <w:szCs w:val="20"/>
        </w:rPr>
        <w:t xml:space="preserve"> Community. </w:t>
      </w:r>
      <w:r>
        <w:rPr>
          <w:i/>
          <w:sz w:val="20"/>
          <w:szCs w:val="20"/>
        </w:rPr>
        <w:t>Bee World</w:t>
      </w:r>
      <w:r>
        <w:rPr>
          <w:sz w:val="20"/>
          <w:szCs w:val="20"/>
        </w:rPr>
        <w:t>, v. 72, p. 47–59, 1991.</w:t>
      </w:r>
    </w:p>
    <w:p w14:paraId="3E3A75D1" w14:textId="77777777" w:rsidR="00F87E0C" w:rsidRDefault="00000000">
      <w:pPr>
        <w:widowControl/>
        <w:spacing w:after="240"/>
        <w:jc w:val="both"/>
        <w:rPr>
          <w:sz w:val="20"/>
          <w:szCs w:val="20"/>
        </w:rPr>
      </w:pPr>
      <w:r>
        <w:rPr>
          <w:sz w:val="20"/>
          <w:szCs w:val="20"/>
        </w:rPr>
        <w:t xml:space="preserve">GIULIETTI, Ana Maria et al. </w:t>
      </w:r>
      <w:r>
        <w:rPr>
          <w:b/>
          <w:sz w:val="20"/>
          <w:szCs w:val="20"/>
        </w:rPr>
        <w:t>Diagnóstico da vegetação nativa do bioma Caatinga</w:t>
      </w:r>
      <w:r>
        <w:rPr>
          <w:sz w:val="20"/>
          <w:szCs w:val="20"/>
        </w:rPr>
        <w:t xml:space="preserve">. In: SILVA, João Maria da; TABARELLI, Marcelo; FONSECA, Marcelo T. da; LINS, Luciana V. (org.). </w:t>
      </w:r>
      <w:r>
        <w:rPr>
          <w:i/>
          <w:sz w:val="20"/>
          <w:szCs w:val="20"/>
        </w:rPr>
        <w:t>Biodiversidade da Caatinga: áreas e ações prioritárias para a conservação</w:t>
      </w:r>
      <w:r>
        <w:rPr>
          <w:sz w:val="20"/>
          <w:szCs w:val="20"/>
        </w:rPr>
        <w:t xml:space="preserve">. Brasília, DF: Ministério do Meio Ambiente, 2004. p. 47–90. Disponível em: </w:t>
      </w:r>
      <w:hyperlink r:id="rId11">
        <w:r w:rsidR="00F87E0C">
          <w:rPr>
            <w:color w:val="0000FF"/>
            <w:sz w:val="20"/>
            <w:szCs w:val="20"/>
            <w:u w:val="single"/>
          </w:rPr>
          <w:t>https://www.researchgate.net/publication/326357445</w:t>
        </w:r>
      </w:hyperlink>
      <w:r>
        <w:rPr>
          <w:sz w:val="20"/>
          <w:szCs w:val="20"/>
        </w:rPr>
        <w:t>. Acesso em: 21 maio 2025.</w:t>
      </w:r>
    </w:p>
    <w:p w14:paraId="63C6966F" w14:textId="77777777" w:rsidR="00F87E0C" w:rsidRDefault="00000000">
      <w:pPr>
        <w:widowControl/>
        <w:spacing w:after="240"/>
        <w:jc w:val="both"/>
        <w:rPr>
          <w:sz w:val="20"/>
          <w:szCs w:val="20"/>
        </w:rPr>
      </w:pPr>
      <w:r>
        <w:rPr>
          <w:sz w:val="20"/>
          <w:szCs w:val="20"/>
        </w:rPr>
        <w:t xml:space="preserve">MACHADO, I. C. S. </w:t>
      </w:r>
      <w:r>
        <w:rPr>
          <w:b/>
          <w:sz w:val="20"/>
          <w:szCs w:val="20"/>
        </w:rPr>
        <w:t>Polinização a nível de comunidades, com ênfase em caatinga</w:t>
      </w:r>
      <w:r>
        <w:rPr>
          <w:sz w:val="20"/>
          <w:szCs w:val="20"/>
        </w:rPr>
        <w:t xml:space="preserve">. In: CONGRESSO NACIONAL DE BOTÂNICA, 46., 1995, Ribeirão Preto. </w:t>
      </w:r>
      <w:r>
        <w:rPr>
          <w:i/>
          <w:sz w:val="20"/>
          <w:szCs w:val="20"/>
        </w:rPr>
        <w:t>Anais...</w:t>
      </w:r>
      <w:r>
        <w:rPr>
          <w:sz w:val="20"/>
          <w:szCs w:val="20"/>
        </w:rPr>
        <w:t xml:space="preserve"> Ribeirão Preto: [s.n.], 1995. p. 370–371.</w:t>
      </w:r>
    </w:p>
    <w:p w14:paraId="5486136A" w14:textId="77777777" w:rsidR="00F87E0C" w:rsidRDefault="00000000">
      <w:pPr>
        <w:widowControl/>
        <w:spacing w:after="240"/>
        <w:jc w:val="both"/>
        <w:rPr>
          <w:sz w:val="20"/>
          <w:szCs w:val="20"/>
        </w:rPr>
      </w:pPr>
      <w:r>
        <w:rPr>
          <w:sz w:val="20"/>
          <w:szCs w:val="20"/>
        </w:rPr>
        <w:t xml:space="preserve">MACHADO, I. C. S.; LOPES, A. V. F. </w:t>
      </w:r>
      <w:r>
        <w:rPr>
          <w:b/>
          <w:sz w:val="20"/>
          <w:szCs w:val="20"/>
        </w:rPr>
        <w:t>Síndromes de polinização e sistemas sexuais de espécies de caatinga do nordeste do Brasil</w:t>
      </w:r>
      <w:r>
        <w:rPr>
          <w:sz w:val="20"/>
          <w:szCs w:val="20"/>
        </w:rPr>
        <w:t xml:space="preserve">. In: CONGRESSO LATINOAMERICANO DE BOTÂNICA, 6., 1994, Mar Del Plata. </w:t>
      </w:r>
      <w:r>
        <w:rPr>
          <w:i/>
          <w:sz w:val="20"/>
          <w:szCs w:val="20"/>
        </w:rPr>
        <w:t>Anais...</w:t>
      </w:r>
      <w:r>
        <w:rPr>
          <w:sz w:val="20"/>
          <w:szCs w:val="20"/>
        </w:rPr>
        <w:t xml:space="preserve"> Mar Del Plata: [s.n.], 1994. p. 307.</w:t>
      </w:r>
    </w:p>
    <w:p w14:paraId="36A3A359" w14:textId="77777777" w:rsidR="00F87E0C" w:rsidRDefault="00000000">
      <w:pPr>
        <w:widowControl/>
        <w:spacing w:after="240"/>
        <w:jc w:val="both"/>
        <w:rPr>
          <w:sz w:val="20"/>
          <w:szCs w:val="20"/>
        </w:rPr>
      </w:pPr>
      <w:r>
        <w:rPr>
          <w:sz w:val="20"/>
          <w:szCs w:val="20"/>
        </w:rPr>
        <w:t xml:space="preserve">NEVES, E. L.; VIANA, B. F. </w:t>
      </w:r>
      <w:r>
        <w:rPr>
          <w:b/>
          <w:i/>
          <w:sz w:val="20"/>
          <w:szCs w:val="20"/>
        </w:rPr>
        <w:t>Interações entre abelhas e plantas em áreas da Caatinga</w:t>
      </w:r>
      <w:r>
        <w:rPr>
          <w:b/>
          <w:sz w:val="20"/>
          <w:szCs w:val="20"/>
        </w:rPr>
        <w:t>.</w:t>
      </w:r>
      <w:r>
        <w:rPr>
          <w:sz w:val="20"/>
          <w:szCs w:val="20"/>
        </w:rPr>
        <w:t xml:space="preserve"> </w:t>
      </w:r>
      <w:proofErr w:type="spellStart"/>
      <w:r>
        <w:rPr>
          <w:sz w:val="20"/>
          <w:szCs w:val="20"/>
        </w:rPr>
        <w:t>Brazilian</w:t>
      </w:r>
      <w:proofErr w:type="spellEnd"/>
      <w:r>
        <w:rPr>
          <w:sz w:val="20"/>
          <w:szCs w:val="20"/>
        </w:rPr>
        <w:t xml:space="preserve"> </w:t>
      </w:r>
      <w:proofErr w:type="spellStart"/>
      <w:r>
        <w:rPr>
          <w:sz w:val="20"/>
          <w:szCs w:val="20"/>
        </w:rPr>
        <w:t>Journal</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Biology</w:t>
      </w:r>
      <w:proofErr w:type="spellEnd"/>
      <w:r>
        <w:rPr>
          <w:sz w:val="20"/>
          <w:szCs w:val="20"/>
        </w:rPr>
        <w:t>, 2011. Disponível em: https://www.scielo.br/j/bjb/a/N6SqRN3zMXCrFYMsKWGbDnM/?lang=en</w:t>
      </w:r>
    </w:p>
    <w:p w14:paraId="3EBE5F01" w14:textId="77777777" w:rsidR="00F87E0C" w:rsidRDefault="00000000">
      <w:pPr>
        <w:widowControl/>
        <w:spacing w:before="240" w:after="240"/>
        <w:jc w:val="both"/>
        <w:rPr>
          <w:sz w:val="20"/>
          <w:szCs w:val="20"/>
        </w:rPr>
      </w:pPr>
      <w:r>
        <w:rPr>
          <w:sz w:val="20"/>
          <w:szCs w:val="20"/>
        </w:rPr>
        <w:t xml:space="preserve">OLIVEIRA, Pedro de Assis de; SÁ, </w:t>
      </w:r>
      <w:proofErr w:type="spellStart"/>
      <w:r>
        <w:rPr>
          <w:sz w:val="20"/>
          <w:szCs w:val="20"/>
        </w:rPr>
        <w:t>Marileide</w:t>
      </w:r>
      <w:proofErr w:type="spellEnd"/>
      <w:r>
        <w:rPr>
          <w:sz w:val="20"/>
          <w:szCs w:val="20"/>
        </w:rPr>
        <w:t xml:space="preserve"> de Souza; MELO, André </w:t>
      </w:r>
      <w:proofErr w:type="spellStart"/>
      <w:r>
        <w:rPr>
          <w:sz w:val="20"/>
          <w:szCs w:val="20"/>
        </w:rPr>
        <w:t>Laurênio</w:t>
      </w:r>
      <w:proofErr w:type="spellEnd"/>
      <w:r>
        <w:rPr>
          <w:sz w:val="20"/>
          <w:szCs w:val="20"/>
        </w:rPr>
        <w:t xml:space="preserve"> de; CAVALCANTE, Marcelo Casimiro. Recursos florais para abelhas africanizadas na Caatinga. Recife: Editora da UFRPE, 2021. 159 p. ISBN 978-65-86547-40-5.</w:t>
      </w:r>
    </w:p>
    <w:p w14:paraId="284F82C1" w14:textId="77777777" w:rsidR="00F87E0C" w:rsidRDefault="00000000">
      <w:pPr>
        <w:widowControl/>
        <w:spacing w:after="240"/>
        <w:jc w:val="both"/>
        <w:rPr>
          <w:sz w:val="20"/>
          <w:szCs w:val="20"/>
        </w:rPr>
      </w:pPr>
      <w:r>
        <w:rPr>
          <w:sz w:val="20"/>
          <w:szCs w:val="20"/>
        </w:rPr>
        <w:t xml:space="preserve">OLLERTON, Jeff; WINFREE, </w:t>
      </w:r>
      <w:proofErr w:type="spellStart"/>
      <w:r>
        <w:rPr>
          <w:sz w:val="20"/>
          <w:szCs w:val="20"/>
        </w:rPr>
        <w:t>Rachael</w:t>
      </w:r>
      <w:proofErr w:type="spellEnd"/>
      <w:r>
        <w:rPr>
          <w:sz w:val="20"/>
          <w:szCs w:val="20"/>
        </w:rPr>
        <w:t>; TARRANT, Sam</w:t>
      </w:r>
      <w:r>
        <w:rPr>
          <w:b/>
          <w:sz w:val="20"/>
          <w:szCs w:val="20"/>
        </w:rPr>
        <w:t xml:space="preserve">. </w:t>
      </w:r>
      <w:proofErr w:type="spellStart"/>
      <w:r>
        <w:rPr>
          <w:b/>
          <w:sz w:val="20"/>
          <w:szCs w:val="20"/>
        </w:rPr>
        <w:t>How</w:t>
      </w:r>
      <w:proofErr w:type="spellEnd"/>
      <w:r>
        <w:rPr>
          <w:b/>
          <w:sz w:val="20"/>
          <w:szCs w:val="20"/>
        </w:rPr>
        <w:t xml:space="preserve"> </w:t>
      </w:r>
      <w:proofErr w:type="spellStart"/>
      <w:r>
        <w:rPr>
          <w:b/>
          <w:sz w:val="20"/>
          <w:szCs w:val="20"/>
        </w:rPr>
        <w:t>many</w:t>
      </w:r>
      <w:proofErr w:type="spellEnd"/>
      <w:r>
        <w:rPr>
          <w:b/>
          <w:sz w:val="20"/>
          <w:szCs w:val="20"/>
        </w:rPr>
        <w:t xml:space="preserve"> </w:t>
      </w:r>
      <w:proofErr w:type="spellStart"/>
      <w:r>
        <w:rPr>
          <w:b/>
          <w:sz w:val="20"/>
          <w:szCs w:val="20"/>
        </w:rPr>
        <w:t>flowering</w:t>
      </w:r>
      <w:proofErr w:type="spellEnd"/>
      <w:r>
        <w:rPr>
          <w:b/>
          <w:sz w:val="20"/>
          <w:szCs w:val="20"/>
        </w:rPr>
        <w:t xml:space="preserve"> </w:t>
      </w:r>
      <w:proofErr w:type="spellStart"/>
      <w:r>
        <w:rPr>
          <w:b/>
          <w:sz w:val="20"/>
          <w:szCs w:val="20"/>
        </w:rPr>
        <w:t>plants</w:t>
      </w:r>
      <w:proofErr w:type="spellEnd"/>
      <w:r>
        <w:rPr>
          <w:b/>
          <w:sz w:val="20"/>
          <w:szCs w:val="20"/>
        </w:rPr>
        <w:t xml:space="preserve"> are </w:t>
      </w:r>
      <w:proofErr w:type="spellStart"/>
      <w:r>
        <w:rPr>
          <w:b/>
          <w:sz w:val="20"/>
          <w:szCs w:val="20"/>
        </w:rPr>
        <w:t>pollinated</w:t>
      </w:r>
      <w:proofErr w:type="spellEnd"/>
      <w:r>
        <w:rPr>
          <w:b/>
          <w:sz w:val="20"/>
          <w:szCs w:val="20"/>
        </w:rPr>
        <w:t xml:space="preserve"> </w:t>
      </w:r>
      <w:proofErr w:type="spellStart"/>
      <w:r>
        <w:rPr>
          <w:b/>
          <w:sz w:val="20"/>
          <w:szCs w:val="20"/>
        </w:rPr>
        <w:t>by</w:t>
      </w:r>
      <w:proofErr w:type="spellEnd"/>
      <w:r>
        <w:rPr>
          <w:b/>
          <w:sz w:val="20"/>
          <w:szCs w:val="20"/>
        </w:rPr>
        <w:t xml:space="preserve"> </w:t>
      </w:r>
      <w:proofErr w:type="spellStart"/>
      <w:r>
        <w:rPr>
          <w:b/>
          <w:sz w:val="20"/>
          <w:szCs w:val="20"/>
        </w:rPr>
        <w:t>animals</w:t>
      </w:r>
      <w:proofErr w:type="spellEnd"/>
      <w:r>
        <w:rPr>
          <w:b/>
          <w:sz w:val="20"/>
          <w:szCs w:val="20"/>
        </w:rPr>
        <w:t xml:space="preserve">? </w:t>
      </w:r>
      <w:proofErr w:type="spellStart"/>
      <w:r>
        <w:rPr>
          <w:b/>
          <w:i/>
          <w:sz w:val="20"/>
          <w:szCs w:val="20"/>
        </w:rPr>
        <w:t>Oikos</w:t>
      </w:r>
      <w:proofErr w:type="spellEnd"/>
      <w:r>
        <w:rPr>
          <w:sz w:val="20"/>
          <w:szCs w:val="20"/>
        </w:rPr>
        <w:t>, v. 120, n. 3, p. 321–326, 2011.</w:t>
      </w:r>
    </w:p>
    <w:p w14:paraId="0D57F458" w14:textId="77777777" w:rsidR="00F87E0C" w:rsidRDefault="00000000">
      <w:pPr>
        <w:widowControl/>
        <w:spacing w:after="240"/>
        <w:jc w:val="both"/>
        <w:rPr>
          <w:sz w:val="20"/>
          <w:szCs w:val="20"/>
        </w:rPr>
      </w:pPr>
      <w:r>
        <w:rPr>
          <w:sz w:val="20"/>
          <w:szCs w:val="20"/>
        </w:rPr>
        <w:t xml:space="preserve">RODRIGUES, R. M. </w:t>
      </w:r>
      <w:r>
        <w:rPr>
          <w:b/>
          <w:i/>
          <w:sz w:val="20"/>
          <w:szCs w:val="20"/>
        </w:rPr>
        <w:t>Fenologia da floração e biologia da polinização de herbáceas e arbusto em área de restauração ambiental no semiárido</w:t>
      </w:r>
      <w:r>
        <w:rPr>
          <w:sz w:val="20"/>
          <w:szCs w:val="20"/>
        </w:rPr>
        <w:t xml:space="preserve">. 2019. 112 f. Dissertação (Mestrado em Ecologia e Conservação) – Universidade Federal Rural do Semiárido, Mossoró, 2019. Disponível em: </w:t>
      </w:r>
      <w:hyperlink r:id="rId12">
        <w:r w:rsidR="00F87E0C">
          <w:rPr>
            <w:color w:val="0000FF"/>
            <w:sz w:val="20"/>
            <w:szCs w:val="20"/>
            <w:u w:val="single"/>
          </w:rPr>
          <w:t>https://repositorio.ufersa.edu.br/handle/prefix/5183</w:t>
        </w:r>
      </w:hyperlink>
      <w:r>
        <w:rPr>
          <w:sz w:val="20"/>
          <w:szCs w:val="20"/>
        </w:rPr>
        <w:t>. Acesso em: 21 maio 2025.</w:t>
      </w:r>
    </w:p>
    <w:p w14:paraId="0245795D" w14:textId="77777777" w:rsidR="00F87E0C" w:rsidRDefault="00000000">
      <w:pPr>
        <w:widowControl/>
        <w:spacing w:after="240"/>
        <w:jc w:val="both"/>
        <w:rPr>
          <w:sz w:val="20"/>
          <w:szCs w:val="20"/>
        </w:rPr>
      </w:pPr>
      <w:r>
        <w:rPr>
          <w:sz w:val="20"/>
          <w:szCs w:val="20"/>
        </w:rPr>
        <w:t xml:space="preserve">Secretaria de Meio Ambiente, Desenvolvimento, Ciência, Tecnologia e Inovação de Mato Grosso do Sul (SEMADESC). (2024). </w:t>
      </w:r>
      <w:r>
        <w:rPr>
          <w:b/>
          <w:i/>
          <w:sz w:val="20"/>
          <w:szCs w:val="20"/>
        </w:rPr>
        <w:t>Abelhas polinizadoras importantes para a agricultura brasileira</w:t>
      </w:r>
      <w:r>
        <w:rPr>
          <w:b/>
          <w:sz w:val="20"/>
          <w:szCs w:val="20"/>
        </w:rPr>
        <w:t>.</w:t>
      </w:r>
      <w:r>
        <w:rPr>
          <w:sz w:val="20"/>
          <w:szCs w:val="20"/>
        </w:rPr>
        <w:t xml:space="preserve"> Disponível em: </w:t>
      </w:r>
      <w:hyperlink r:id="rId13">
        <w:r w:rsidR="00F87E0C">
          <w:rPr>
            <w:color w:val="0000FF"/>
            <w:sz w:val="20"/>
            <w:szCs w:val="20"/>
            <w:u w:val="single"/>
          </w:rPr>
          <w:t>https://www.semadesc.ms.gov.br/abelhas-polinizadoras-importantes-para-a-agricultura-brasileira/</w:t>
        </w:r>
      </w:hyperlink>
      <w:r>
        <w:rPr>
          <w:sz w:val="20"/>
          <w:szCs w:val="20"/>
        </w:rPr>
        <w:t>. Acesso em: 28 maio 2025.</w:t>
      </w:r>
    </w:p>
    <w:p w14:paraId="3E4D8A66" w14:textId="77777777" w:rsidR="00F87E0C" w:rsidRDefault="00000000">
      <w:pPr>
        <w:widowControl/>
        <w:spacing w:after="240"/>
        <w:jc w:val="both"/>
        <w:rPr>
          <w:sz w:val="20"/>
          <w:szCs w:val="20"/>
        </w:rPr>
      </w:pPr>
      <w:r>
        <w:rPr>
          <w:sz w:val="20"/>
          <w:szCs w:val="20"/>
        </w:rPr>
        <w:t xml:space="preserve">SILVA, G. R. </w:t>
      </w:r>
      <w:proofErr w:type="spellStart"/>
      <w:r>
        <w:rPr>
          <w:sz w:val="20"/>
          <w:szCs w:val="20"/>
        </w:rPr>
        <w:t>da</w:t>
      </w:r>
      <w:proofErr w:type="spellEnd"/>
      <w:r>
        <w:rPr>
          <w:sz w:val="20"/>
          <w:szCs w:val="20"/>
        </w:rPr>
        <w:t xml:space="preserve"> et al. </w:t>
      </w:r>
      <w:r>
        <w:rPr>
          <w:b/>
          <w:i/>
          <w:sz w:val="20"/>
          <w:szCs w:val="20"/>
        </w:rPr>
        <w:t>Ecologia e manejo de Melipona subnitida no semiárido brasileiro</w:t>
      </w:r>
      <w:r>
        <w:rPr>
          <w:sz w:val="20"/>
          <w:szCs w:val="20"/>
        </w:rPr>
        <w:t xml:space="preserve">. EMBRAPA, 2014. Disponível em: </w:t>
      </w:r>
      <w:hyperlink r:id="rId14">
        <w:r w:rsidR="00F87E0C">
          <w:rPr>
            <w:color w:val="0000FF"/>
            <w:sz w:val="20"/>
            <w:szCs w:val="20"/>
            <w:u w:val="single"/>
          </w:rPr>
          <w:t>https://ainfo.cnptia.embrapa.br/digital/bitstream/item/187803/1/Tese-de-Doutorado-FINAL-Geice-Ribeiro-da-Silva-Fabio-M-Diniz-CAPA.pdf</w:t>
        </w:r>
      </w:hyperlink>
    </w:p>
    <w:p w14:paraId="3FC34BF1" w14:textId="77777777" w:rsidR="00F87E0C" w:rsidRDefault="00000000">
      <w:pPr>
        <w:widowControl/>
        <w:spacing w:after="240"/>
        <w:jc w:val="both"/>
        <w:rPr>
          <w:sz w:val="20"/>
          <w:szCs w:val="20"/>
          <w:u w:val="single"/>
        </w:rPr>
      </w:pPr>
      <w:r>
        <w:rPr>
          <w:sz w:val="20"/>
          <w:szCs w:val="20"/>
        </w:rPr>
        <w:t>ARAÚJO, F. F</w:t>
      </w:r>
      <w:r>
        <w:rPr>
          <w:b/>
          <w:sz w:val="20"/>
          <w:szCs w:val="20"/>
        </w:rPr>
        <w:t>.</w:t>
      </w:r>
      <w:r>
        <w:rPr>
          <w:sz w:val="20"/>
          <w:szCs w:val="20"/>
        </w:rPr>
        <w:t xml:space="preserve"> </w:t>
      </w:r>
      <w:r>
        <w:rPr>
          <w:b/>
          <w:sz w:val="20"/>
          <w:szCs w:val="20"/>
        </w:rPr>
        <w:t>Competição entre abelhas pode afetar população de espécies nativas.</w:t>
      </w:r>
      <w:r>
        <w:rPr>
          <w:sz w:val="20"/>
          <w:szCs w:val="20"/>
        </w:rPr>
        <w:t xml:space="preserve"> </w:t>
      </w:r>
      <w:r>
        <w:rPr>
          <w:i/>
          <w:sz w:val="20"/>
          <w:szCs w:val="20"/>
        </w:rPr>
        <w:t>UFMG Sustentabilidade</w:t>
      </w:r>
      <w:r>
        <w:rPr>
          <w:sz w:val="20"/>
          <w:szCs w:val="20"/>
        </w:rPr>
        <w:t xml:space="preserve">, 2021. Disponível em: </w:t>
      </w:r>
      <w:hyperlink r:id="rId15">
        <w:r w:rsidR="00F87E0C">
          <w:rPr>
            <w:color w:val="0000FF"/>
            <w:sz w:val="20"/>
            <w:szCs w:val="20"/>
            <w:u w:val="single"/>
          </w:rPr>
          <w:t>https://www.ufmg.br/sustentabilidade/noticia/competicao-entre-abelhas-pode-afetar-populacao-de-especies-nativas/</w:t>
        </w:r>
      </w:hyperlink>
      <w:r>
        <w:rPr>
          <w:sz w:val="20"/>
          <w:szCs w:val="20"/>
          <w:u w:val="single"/>
        </w:rPr>
        <w:t xml:space="preserve">. </w:t>
      </w:r>
      <w:r>
        <w:rPr>
          <w:sz w:val="20"/>
          <w:szCs w:val="20"/>
        </w:rPr>
        <w:t>Acesso em: 30 maio 2025.</w:t>
      </w:r>
    </w:p>
    <w:p w14:paraId="424521B6" w14:textId="77777777" w:rsidR="00F87E0C" w:rsidRDefault="00000000">
      <w:pPr>
        <w:widowControl/>
        <w:spacing w:after="240"/>
        <w:jc w:val="both"/>
        <w:rPr>
          <w:sz w:val="20"/>
          <w:szCs w:val="20"/>
        </w:rPr>
      </w:pPr>
      <w:r>
        <w:rPr>
          <w:sz w:val="20"/>
          <w:szCs w:val="20"/>
        </w:rPr>
        <w:t>MENEZES, C.; SILVA, C. I.; SINGER, R. B.; KERR, W. E</w:t>
      </w:r>
      <w:r>
        <w:rPr>
          <w:b/>
          <w:sz w:val="20"/>
          <w:szCs w:val="20"/>
        </w:rPr>
        <w:t>.</w:t>
      </w:r>
      <w:r>
        <w:rPr>
          <w:sz w:val="20"/>
          <w:szCs w:val="20"/>
        </w:rPr>
        <w:t xml:space="preserve"> </w:t>
      </w:r>
      <w:r>
        <w:rPr>
          <w:b/>
          <w:sz w:val="20"/>
          <w:szCs w:val="20"/>
        </w:rPr>
        <w:t xml:space="preserve">Competição entre abelhas durante forrageamento em </w:t>
      </w:r>
      <w:proofErr w:type="spellStart"/>
      <w:r>
        <w:rPr>
          <w:b/>
          <w:i/>
          <w:sz w:val="20"/>
          <w:szCs w:val="20"/>
        </w:rPr>
        <w:t>Schefflera</w:t>
      </w:r>
      <w:proofErr w:type="spellEnd"/>
      <w:r>
        <w:rPr>
          <w:b/>
          <w:i/>
          <w:sz w:val="20"/>
          <w:szCs w:val="20"/>
        </w:rPr>
        <w:t xml:space="preserve"> </w:t>
      </w:r>
      <w:proofErr w:type="spellStart"/>
      <w:r>
        <w:rPr>
          <w:b/>
          <w:i/>
          <w:sz w:val="20"/>
          <w:szCs w:val="20"/>
        </w:rPr>
        <w:t>arboricola</w:t>
      </w:r>
      <w:proofErr w:type="spellEnd"/>
      <w:r>
        <w:rPr>
          <w:b/>
          <w:sz w:val="20"/>
          <w:szCs w:val="20"/>
        </w:rPr>
        <w:t xml:space="preserve"> (</w:t>
      </w:r>
      <w:proofErr w:type="spellStart"/>
      <w:r>
        <w:rPr>
          <w:b/>
          <w:sz w:val="20"/>
          <w:szCs w:val="20"/>
        </w:rPr>
        <w:t>Hayata</w:t>
      </w:r>
      <w:proofErr w:type="spellEnd"/>
      <w:r>
        <w:rPr>
          <w:b/>
          <w:sz w:val="20"/>
          <w:szCs w:val="20"/>
        </w:rPr>
        <w:t>)</w:t>
      </w:r>
      <w:r>
        <w:rPr>
          <w:sz w:val="20"/>
          <w:szCs w:val="20"/>
        </w:rPr>
        <w:t xml:space="preserve"> </w:t>
      </w:r>
      <w:proofErr w:type="spellStart"/>
      <w:r>
        <w:rPr>
          <w:sz w:val="20"/>
          <w:szCs w:val="20"/>
        </w:rPr>
        <w:t>Merr</w:t>
      </w:r>
      <w:proofErr w:type="spellEnd"/>
      <w:r>
        <w:rPr>
          <w:sz w:val="20"/>
          <w:szCs w:val="20"/>
        </w:rPr>
        <w:t xml:space="preserve">. </w:t>
      </w:r>
      <w:proofErr w:type="spellStart"/>
      <w:r>
        <w:rPr>
          <w:i/>
          <w:sz w:val="20"/>
          <w:szCs w:val="20"/>
        </w:rPr>
        <w:t>Bioscience</w:t>
      </w:r>
      <w:proofErr w:type="spellEnd"/>
      <w:r>
        <w:rPr>
          <w:i/>
          <w:sz w:val="20"/>
          <w:szCs w:val="20"/>
        </w:rPr>
        <w:t xml:space="preserve"> </w:t>
      </w:r>
      <w:proofErr w:type="spellStart"/>
      <w:r>
        <w:rPr>
          <w:i/>
          <w:sz w:val="20"/>
          <w:szCs w:val="20"/>
        </w:rPr>
        <w:t>Journal</w:t>
      </w:r>
      <w:proofErr w:type="spellEnd"/>
      <w:r>
        <w:rPr>
          <w:sz w:val="20"/>
          <w:szCs w:val="20"/>
        </w:rPr>
        <w:t xml:space="preserve">, Uberlândia, v. 23, supl. 1, p. 63-69, 2007. </w:t>
      </w:r>
      <w:r>
        <w:rPr>
          <w:sz w:val="20"/>
          <w:szCs w:val="20"/>
        </w:rPr>
        <w:lastRenderedPageBreak/>
        <w:t xml:space="preserve">Disponível em: </w:t>
      </w:r>
      <w:hyperlink r:id="rId16">
        <w:r w:rsidR="00F87E0C">
          <w:rPr>
            <w:color w:val="0000FF"/>
            <w:sz w:val="20"/>
            <w:szCs w:val="20"/>
            <w:u w:val="single"/>
          </w:rPr>
          <w:t>https://seer.ufu.br/index.php/biosciencejournal/article/download/6829/4519/</w:t>
        </w:r>
      </w:hyperlink>
      <w:r>
        <w:rPr>
          <w:sz w:val="20"/>
          <w:szCs w:val="20"/>
        </w:rPr>
        <w:t>. Acesso em: 30 maio 2025.</w:t>
      </w:r>
    </w:p>
    <w:sectPr w:rsidR="00F87E0C">
      <w:headerReference w:type="even" r:id="rId17"/>
      <w:headerReference w:type="default" r:id="rId18"/>
      <w:footerReference w:type="even" r:id="rId19"/>
      <w:footerReference w:type="default" r:id="rId20"/>
      <w:headerReference w:type="first" r:id="rId21"/>
      <w:footerReference w:type="first" r:id="rId22"/>
      <w:pgSz w:w="11910" w:h="16840"/>
      <w:pgMar w:top="1909" w:right="1134" w:bottom="1134" w:left="1701" w:header="1418" w:footer="14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2BB4" w14:textId="77777777" w:rsidR="00DD778F" w:rsidRDefault="00DD778F">
      <w:r>
        <w:separator/>
      </w:r>
    </w:p>
  </w:endnote>
  <w:endnote w:type="continuationSeparator" w:id="0">
    <w:p w14:paraId="64B9B7D5" w14:textId="77777777" w:rsidR="00DD778F" w:rsidRDefault="00DD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DA51" w14:textId="77777777" w:rsidR="00F87E0C" w:rsidRDefault="00F87E0C">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70A7" w14:textId="77777777" w:rsidR="00F87E0C" w:rsidRDefault="00F87E0C">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58AF" w14:textId="77777777" w:rsidR="00F87E0C" w:rsidRDefault="00F87E0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36152" w14:textId="77777777" w:rsidR="00DD778F" w:rsidRDefault="00DD778F">
      <w:r>
        <w:separator/>
      </w:r>
    </w:p>
  </w:footnote>
  <w:footnote w:type="continuationSeparator" w:id="0">
    <w:p w14:paraId="1B7139A0" w14:textId="77777777" w:rsidR="00DD778F" w:rsidRDefault="00DD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411D" w14:textId="77777777" w:rsidR="00F87E0C" w:rsidRDefault="00F87E0C">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5C2C" w14:textId="77777777" w:rsidR="00F87E0C" w:rsidRDefault="00F87E0C">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4185" w14:textId="77777777" w:rsidR="00F87E0C" w:rsidRDefault="00000000">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21E67CF3" wp14:editId="22542C61">
          <wp:extent cx="5274310" cy="791210"/>
          <wp:effectExtent l="0" t="0" r="0" b="0"/>
          <wp:docPr id="4" name="image1.pn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png" descr="Desenho de personagem de desenho animado&#10;&#10;Descrição gerada automaticamente com confiança média"/>
                  <pic:cNvPicPr preferRelativeResize="0"/>
                </pic:nvPicPr>
                <pic:blipFill>
                  <a:blip r:embed="rId1"/>
                  <a:srcRect/>
                  <a:stretch>
                    <a:fillRect/>
                  </a:stretch>
                </pic:blipFill>
                <pic:spPr>
                  <a:xfrm>
                    <a:off x="0" y="0"/>
                    <a:ext cx="5274310" cy="7912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E0C"/>
    <w:rsid w:val="00061214"/>
    <w:rsid w:val="00193F98"/>
    <w:rsid w:val="00352316"/>
    <w:rsid w:val="005541F5"/>
    <w:rsid w:val="00930315"/>
    <w:rsid w:val="00943D37"/>
    <w:rsid w:val="00A473AA"/>
    <w:rsid w:val="00B435B3"/>
    <w:rsid w:val="00C70ED8"/>
    <w:rsid w:val="00DD778F"/>
    <w:rsid w:val="00F87E0C"/>
    <w:rsid w:val="00FB11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C895D"/>
  <w15:docId w15:val="{FC5D6760-4093-4FAF-917A-04FCB7FC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18"/>
      <w:ind w:left="107"/>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o">
    <w:name w:val="Revision"/>
    <w:hidden/>
    <w:uiPriority w:val="99"/>
    <w:semiHidden/>
    <w:rsid w:val="00352316"/>
    <w:pPr>
      <w:widowControl/>
    </w:pPr>
  </w:style>
  <w:style w:type="character" w:styleId="Refdecomentrio">
    <w:name w:val="annotation reference"/>
    <w:basedOn w:val="Fontepargpadro"/>
    <w:uiPriority w:val="99"/>
    <w:semiHidden/>
    <w:unhideWhenUsed/>
    <w:rsid w:val="00352316"/>
    <w:rPr>
      <w:sz w:val="16"/>
      <w:szCs w:val="16"/>
    </w:rPr>
  </w:style>
  <w:style w:type="paragraph" w:styleId="Textodecomentrio">
    <w:name w:val="annotation text"/>
    <w:basedOn w:val="Normal"/>
    <w:link w:val="TextodecomentrioChar"/>
    <w:uiPriority w:val="99"/>
    <w:unhideWhenUsed/>
    <w:rsid w:val="00352316"/>
    <w:rPr>
      <w:sz w:val="20"/>
      <w:szCs w:val="20"/>
    </w:rPr>
  </w:style>
  <w:style w:type="character" w:customStyle="1" w:styleId="TextodecomentrioChar">
    <w:name w:val="Texto de comentário Char"/>
    <w:basedOn w:val="Fontepargpadro"/>
    <w:link w:val="Textodecomentrio"/>
    <w:uiPriority w:val="99"/>
    <w:rsid w:val="00352316"/>
    <w:rPr>
      <w:sz w:val="20"/>
      <w:szCs w:val="20"/>
    </w:rPr>
  </w:style>
  <w:style w:type="paragraph" w:styleId="Assuntodocomentrio">
    <w:name w:val="annotation subject"/>
    <w:basedOn w:val="Textodecomentrio"/>
    <w:next w:val="Textodecomentrio"/>
    <w:link w:val="AssuntodocomentrioChar"/>
    <w:uiPriority w:val="99"/>
    <w:semiHidden/>
    <w:unhideWhenUsed/>
    <w:rsid w:val="00352316"/>
    <w:rPr>
      <w:b/>
      <w:bCs/>
    </w:rPr>
  </w:style>
  <w:style w:type="character" w:customStyle="1" w:styleId="AssuntodocomentrioChar">
    <w:name w:val="Assunto do comentário Char"/>
    <w:basedOn w:val="TextodecomentrioChar"/>
    <w:link w:val="Assuntodocomentrio"/>
    <w:uiPriority w:val="99"/>
    <w:semiHidden/>
    <w:rsid w:val="003523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semadesc.ms.gov.br/abelhas-polinizadoras-importantes-para-a-agricultura-brasileira/"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repositorio.ufersa.edu.br/handle/prefix/5183"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seer.ufu.br/index.php/biosciencejournal/article/download/6829/4519/"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mailto:israel.almeida@alunos.ufersa.edu.br" TargetMode="External"/><Relationship Id="rId11" Type="http://schemas.openxmlformats.org/officeDocument/2006/relationships/hyperlink" Target="https://www.researchgate.net/publication/326357445"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ufmg.br/sustentabilidade/noticia/competicao-entre-abelhas-pode-afetar-populacao-de-especies-nativas/" TargetMode="External"/><Relationship Id="rId23" Type="http://schemas.openxmlformats.org/officeDocument/2006/relationships/fontTable" Target="fontTable.xml"/><Relationship Id="rId10" Type="http://schemas.openxmlformats.org/officeDocument/2006/relationships/hyperlink" Target="http://dx.doi.org/10.21674/2448-0479.34.694-703"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hyperlink" Target="https://ainfo.cnptia.embrapa.br/digital/bitstream/item/187803/1/Tese-de-Doutorado-FINAL-Geice-Ribeiro-da-Silva-Fabio-M-Diniz-CAPA.pdf"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lmei\Downloads\Fazenda%20Ufersa%20Lista%20das%20Plant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lmei\Downloads\Fazenda%20Ufersa%20Lista%20das%20Plant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lmei\Downloads\Fazenda%20Ufersa%20Lista%20das%20Planta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[Fazenda Ufersa Lista das Plantas.xlsx]Forma de Vida!Tabela dinâmica2</c:name>
    <c:fmtId val="-1"/>
  </c:pivotSource>
  <c:chart>
    <c:autoTitleDeleted val="1"/>
    <c:pivotFmts>
      <c:pivotFmt>
        <c:idx val="0"/>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marker>
          <c:symbol val="circle"/>
          <c:size val="6"/>
          <c:spPr>
            <a:solidFill>
              <a:schemeClr val="accent1"/>
            </a:solidFill>
            <a:ln>
              <a:noFill/>
            </a:ln>
            <a:effectLst/>
          </c:spPr>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1"/>
        <c:dLbl>
          <c:idx val="0"/>
          <c:showLegendKey val="0"/>
          <c:showVal val="1"/>
          <c:showCatName val="0"/>
          <c:showSerName val="0"/>
          <c:showPercent val="0"/>
          <c:showBubbleSize val="0"/>
          <c:extLst>
            <c:ext xmlns:c15="http://schemas.microsoft.com/office/drawing/2012/chart" uri="{CE6537A1-D6FC-4f65-9D91-7224C49458BB}"/>
          </c:extLst>
        </c:dLbl>
      </c:pivotFmt>
      <c:pivotFmt>
        <c:idx val="2"/>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
        <c:idx val="3"/>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extLst>
            <c:ext xmlns:c15="http://schemas.microsoft.com/office/drawing/2012/chart" uri="{CE6537A1-D6FC-4f65-9D91-7224C49458BB}"/>
          </c:extLst>
        </c:dLbl>
      </c:pivotFmt>
    </c:pivotFmts>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w="25400">
          <a:noFill/>
        </a:ln>
        <a:effectLst/>
        <a:sp3d/>
      </c:spPr>
    </c:backWall>
    <c:plotArea>
      <c:layout/>
      <c:bar3DChart>
        <c:barDir val="col"/>
        <c:grouping val="clustered"/>
        <c:varyColors val="0"/>
        <c:ser>
          <c:idx val="0"/>
          <c:order val="0"/>
          <c:tx>
            <c:strRef>
              <c:f>'Forma de Vida'!$B$3</c:f>
              <c:strCache>
                <c:ptCount val="1"/>
                <c:pt idx="0">
                  <c:v>Total</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'Forma de Vida'!$A$4:$A$7</c:f>
              <c:strCache>
                <c:ptCount val="3"/>
                <c:pt idx="0">
                  <c:v>Arbórea</c:v>
                </c:pt>
                <c:pt idx="1">
                  <c:v>Arbustiva</c:v>
                </c:pt>
                <c:pt idx="2">
                  <c:v>Herbácea</c:v>
                </c:pt>
              </c:strCache>
            </c:strRef>
          </c:cat>
          <c:val>
            <c:numRef>
              <c:f>'Forma de Vida'!$B$4:$B$7</c:f>
              <c:numCache>
                <c:formatCode>General</c:formatCode>
                <c:ptCount val="3"/>
                <c:pt idx="0">
                  <c:v>35</c:v>
                </c:pt>
                <c:pt idx="1">
                  <c:v>21</c:v>
                </c:pt>
                <c:pt idx="2">
                  <c:v>47</c:v>
                </c:pt>
              </c:numCache>
            </c:numRef>
          </c:val>
          <c:extLst>
            <c:ext xmlns:c16="http://schemas.microsoft.com/office/drawing/2014/chart" uri="{C3380CC4-5D6E-409C-BE32-E72D297353CC}">
              <c16:uniqueId val="{00000000-61B4-491C-9879-CE790643FCD4}"/>
            </c:ext>
          </c:extLst>
        </c:ser>
        <c:dLbls>
          <c:showLegendKey val="0"/>
          <c:showVal val="1"/>
          <c:showCatName val="0"/>
          <c:showSerName val="0"/>
          <c:showPercent val="0"/>
          <c:showBubbleSize val="0"/>
        </c:dLbls>
        <c:gapWidth val="160"/>
        <c:gapDepth val="0"/>
        <c:shape val="box"/>
        <c:axId val="1091084496"/>
        <c:axId val="1091089296"/>
        <c:axId val="0"/>
      </c:bar3DChart>
      <c:catAx>
        <c:axId val="10910844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091089296"/>
        <c:crosses val="autoZero"/>
        <c:auto val="1"/>
        <c:lblAlgn val="ctr"/>
        <c:lblOffset val="100"/>
        <c:noMultiLvlLbl val="0"/>
      </c:catAx>
      <c:valAx>
        <c:axId val="10910892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091084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[Fazenda Ufersa Lista das Plantas.xlsx]época de floração!Tabela dinâmica4</c:name>
    <c:fmtId val="-1"/>
  </c:pivotSource>
  <c:chart>
    <c:title>
      <c:tx>
        <c:rich>
          <a:bodyPr rot="0" spcFirstLastPara="1" vertOverflow="ellipsis" vert="horz" wrap="square" anchor="ctr" anchorCtr="1"/>
          <a:lstStyle/>
          <a:p>
            <a:pPr>
              <a:defRPr sz="1400" b="1" i="0" u="none" strike="noStrike" kern="1200" cap="all" baseline="0">
                <a:solidFill>
                  <a:schemeClr val="tx1">
                    <a:lumMod val="65000"/>
                    <a:lumOff val="35000"/>
                  </a:schemeClr>
                </a:solidFill>
                <a:latin typeface="+mn-lt"/>
                <a:ea typeface="+mn-ea"/>
                <a:cs typeface="+mn-cs"/>
              </a:defRPr>
            </a:pPr>
            <a:r>
              <a:rPr lang="en-US" sz="1400"/>
              <a:t>Época de Floração </a:t>
            </a:r>
          </a:p>
        </c:rich>
      </c:tx>
      <c:overlay val="0"/>
      <c:spPr>
        <a:noFill/>
        <a:ln>
          <a:noFill/>
        </a:ln>
        <a:effectLst/>
      </c:spPr>
      <c:txPr>
        <a:bodyPr rot="0" spcFirstLastPara="1" vertOverflow="ellipsis" vert="horz" wrap="square" anchor="ctr" anchorCtr="1"/>
        <a:lstStyle/>
        <a:p>
          <a:pPr>
            <a:defRPr sz="1400" b="1" i="0" u="none" strike="noStrike" kern="1200" cap="all"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marker>
          <c:symbol val="circle"/>
          <c:size val="6"/>
        </c:marker>
        <c:dLbl>
          <c:idx val="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pt-BR"/>
            </a:p>
          </c:txPr>
          <c:dLblPos val="inEnd"/>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Lbl>
          <c:idx val="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pt-BR"/>
            </a:p>
          </c:txPr>
          <c:dLblPos val="inEnd"/>
          <c:showLegendKey val="0"/>
          <c:showVal val="0"/>
          <c:showCatName val="1"/>
          <c:showSerName val="0"/>
          <c:showPercent val="1"/>
          <c:showBubbleSize val="0"/>
          <c:extLst>
            <c:ext xmlns:c15="http://schemas.microsoft.com/office/drawing/2012/chart" uri="{CE6537A1-D6FC-4f65-9D91-7224C49458BB}">
              <c15:xForSave val="1"/>
            </c:ext>
          </c:extLst>
        </c:dLbl>
      </c:pivotFmt>
      <c:pivotFmt>
        <c:idx val="2"/>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Lbl>
          <c:idx val="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pt-BR"/>
            </a:p>
          </c:txPr>
          <c:dLblPos val="inEnd"/>
          <c:showLegendKey val="0"/>
          <c:showVal val="0"/>
          <c:showCatName val="1"/>
          <c:showSerName val="0"/>
          <c:showPercent val="1"/>
          <c:showBubbleSize val="0"/>
          <c:extLst>
            <c:ext xmlns:c15="http://schemas.microsoft.com/office/drawing/2012/chart" uri="{CE6537A1-D6FC-4f65-9D91-7224C49458BB}">
              <c15:xForSave val="1"/>
            </c:ext>
          </c:extLst>
        </c:dLbl>
      </c:pivotFmt>
      <c:pivotFmt>
        <c:idx val="3"/>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dLbl>
          <c:idx val="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pt-BR"/>
            </a:p>
          </c:txPr>
          <c:dLblPos val="inEnd"/>
          <c:showLegendKey val="0"/>
          <c:showVal val="0"/>
          <c:showCatName val="1"/>
          <c:showSerName val="0"/>
          <c:showPercent val="1"/>
          <c:showBubbleSize val="0"/>
          <c:extLst>
            <c:ext xmlns:c15="http://schemas.microsoft.com/office/drawing/2012/chart" uri="{CE6537A1-D6FC-4f65-9D91-7224C49458BB}">
              <c15:xForSave val="1"/>
            </c:ext>
          </c:extLst>
        </c:dLbl>
      </c:pivotFmt>
      <c:pivotFmt>
        <c:idx val="4"/>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marker>
          <c:symbol val="none"/>
        </c:marker>
        <c:dLbl>
          <c:idx val="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pt-BR"/>
            </a:p>
          </c:txPr>
          <c:dLblPos val="inEnd"/>
          <c:showLegendKey val="0"/>
          <c:showVal val="0"/>
          <c:showCatName val="1"/>
          <c:showSerName val="0"/>
          <c:showPercent val="1"/>
          <c:showBubbleSize val="0"/>
          <c:extLst>
            <c:ext xmlns:c15="http://schemas.microsoft.com/office/drawing/2012/chart" uri="{CE6537A1-D6FC-4f65-9D91-7224C49458BB}"/>
          </c:extLst>
        </c:dLbl>
      </c:pivotFmt>
      <c:pivotFmt>
        <c:idx val="5"/>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Lbl>
          <c:idx val="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pt-BR"/>
            </a:p>
          </c:txPr>
          <c:dLblPos val="inEnd"/>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Lbl>
          <c:idx val="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pt-BR"/>
            </a:p>
          </c:txPr>
          <c:dLblPos val="inEnd"/>
          <c:showLegendKey val="0"/>
          <c:showVal val="0"/>
          <c:showCatName val="1"/>
          <c:showSerName val="0"/>
          <c:showPercent val="1"/>
          <c:showBubbleSize val="0"/>
          <c:extLst>
            <c:ext xmlns:c15="http://schemas.microsoft.com/office/drawing/2012/chart" uri="{CE6537A1-D6FC-4f65-9D91-7224C49458BB}"/>
          </c:extLst>
        </c:dLbl>
      </c:pivotFmt>
      <c:pivotFmt>
        <c:idx val="7"/>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Lbl>
          <c:idx val="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pt-BR"/>
            </a:p>
          </c:txPr>
          <c:dLblPos val="inEnd"/>
          <c:showLegendKey val="0"/>
          <c:showVal val="0"/>
          <c:showCatName val="1"/>
          <c:showSerName val="0"/>
          <c:showPercent val="1"/>
          <c:showBubbleSize val="0"/>
          <c:extLst>
            <c:ext xmlns:c15="http://schemas.microsoft.com/office/drawing/2012/chart" uri="{CE6537A1-D6FC-4f65-9D91-7224C49458BB}"/>
          </c:extLst>
        </c:dLbl>
      </c:pivotFmt>
      <c:pivotFmt>
        <c:idx val="8"/>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marker>
          <c:symbol val="none"/>
        </c:marker>
        <c:dLbl>
          <c:idx val="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pt-BR"/>
            </a:p>
          </c:txPr>
          <c:dLblPos val="inEnd"/>
          <c:showLegendKey val="0"/>
          <c:showVal val="0"/>
          <c:showCatName val="1"/>
          <c:showSerName val="0"/>
          <c:showPercent val="1"/>
          <c:showBubbleSize val="0"/>
          <c:extLst>
            <c:ext xmlns:c15="http://schemas.microsoft.com/office/drawing/2012/chart" uri="{CE6537A1-D6FC-4f65-9D91-7224C49458BB}"/>
          </c:extLst>
        </c:dLbl>
      </c:pivotFmt>
      <c:pivotFmt>
        <c:idx val="9"/>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Lbl>
          <c:idx val="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pt-BR"/>
            </a:p>
          </c:txPr>
          <c:dLblPos val="inEnd"/>
          <c:showLegendKey val="0"/>
          <c:showVal val="0"/>
          <c:showCatName val="1"/>
          <c:showSerName val="0"/>
          <c:showPercent val="1"/>
          <c:showBubbleSize val="0"/>
          <c:extLst>
            <c:ext xmlns:c15="http://schemas.microsoft.com/office/drawing/2012/chart" uri="{CE6537A1-D6FC-4f65-9D91-7224C49458BB}"/>
          </c:extLst>
        </c:dLbl>
      </c:pivotFmt>
      <c:pivotFmt>
        <c:idx val="1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Lbl>
          <c:idx val="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pt-BR"/>
            </a:p>
          </c:txPr>
          <c:dLblPos val="inEnd"/>
          <c:showLegendKey val="0"/>
          <c:showVal val="0"/>
          <c:showCatName val="1"/>
          <c:showSerName val="0"/>
          <c:showPercent val="1"/>
          <c:showBubbleSize val="0"/>
          <c:extLst>
            <c:ext xmlns:c15="http://schemas.microsoft.com/office/drawing/2012/chart" uri="{CE6537A1-D6FC-4f65-9D91-7224C49458BB}"/>
          </c:extLst>
        </c:dLbl>
      </c:pivotFmt>
      <c:pivotFmt>
        <c:idx val="11"/>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Lbl>
          <c:idx val="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pt-BR"/>
            </a:p>
          </c:txPr>
          <c:dLblPos val="inEnd"/>
          <c:showLegendKey val="0"/>
          <c:showVal val="0"/>
          <c:showCatName val="1"/>
          <c:showSerName val="0"/>
          <c:showPercent val="1"/>
          <c:showBubbleSize val="0"/>
          <c:extLst>
            <c:ext xmlns:c15="http://schemas.microsoft.com/office/drawing/2012/chart" uri="{CE6537A1-D6FC-4f65-9D91-7224C49458BB}"/>
          </c:extLst>
        </c:dLbl>
      </c:pivotFmt>
    </c:pivotFmts>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175188600167638E-2"/>
          <c:y val="0.23477477477477479"/>
          <c:w val="0.66448693494201738"/>
          <c:h val="0.71117117117117112"/>
        </c:manualLayout>
      </c:layout>
      <c:pie3DChart>
        <c:varyColors val="1"/>
        <c:ser>
          <c:idx val="0"/>
          <c:order val="0"/>
          <c:tx>
            <c:strRef>
              <c:f>'época de floração'!$B$3</c:f>
              <c:strCache>
                <c:ptCount val="1"/>
                <c:pt idx="0">
                  <c:v>Total</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C2E4-48CC-940E-4A54390CE060}"/>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C2E4-48CC-940E-4A54390CE060}"/>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C2E4-48CC-940E-4A54390CE060}"/>
              </c:ext>
            </c:extLst>
          </c:dPt>
          <c:dLbls>
            <c:dLbl>
              <c:idx val="0"/>
              <c:layout>
                <c:manualLayout>
                  <c:x val="2.7083182079188969E-2"/>
                  <c:y val="-0.26849576682292148"/>
                </c:manualLayout>
              </c:layout>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ln>
                        <a:noFill/>
                      </a:ln>
                      <a:solidFill>
                        <a:schemeClr val="accent1"/>
                      </a:solidFill>
                      <a:effectLst/>
                      <a:latin typeface="+mn-lt"/>
                      <a:ea typeface="+mn-ea"/>
                      <a:cs typeface="+mn-cs"/>
                    </a:defRPr>
                  </a:pPr>
                  <a:endParaRPr lang="pt-B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2E4-48CC-940E-4A54390CE060}"/>
                </c:ext>
              </c:extLst>
            </c:dLbl>
            <c:dLbl>
              <c:idx val="1"/>
              <c:layout>
                <c:manualLayout>
                  <c:x val="-1.6383496907815275E-2"/>
                  <c:y val="4.7259413584975034E-3"/>
                </c:manualLayout>
              </c:layout>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pt-B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2E4-48CC-940E-4A54390CE060}"/>
                </c:ext>
              </c:extLst>
            </c:dLbl>
            <c:dLbl>
              <c:idx val="2"/>
              <c:layout>
                <c:manualLayout>
                  <c:x val="-7.2230795123786398E-2"/>
                  <c:y val="1.9355168152619055E-2"/>
                </c:manualLayout>
              </c:layout>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pt-B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2E4-48CC-940E-4A54390CE060}"/>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pt-BR"/>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'época de floração'!$A$4:$A$7</c:f>
              <c:strCache>
                <c:ptCount val="3"/>
                <c:pt idx="0">
                  <c:v>Chuvosa</c:v>
                </c:pt>
                <c:pt idx="1">
                  <c:v>Chuvosa e Seca</c:v>
                </c:pt>
                <c:pt idx="2">
                  <c:v>Seca</c:v>
                </c:pt>
              </c:strCache>
            </c:strRef>
          </c:cat>
          <c:val>
            <c:numRef>
              <c:f>'época de floração'!$B$4:$B$7</c:f>
              <c:numCache>
                <c:formatCode>General</c:formatCode>
                <c:ptCount val="3"/>
                <c:pt idx="0">
                  <c:v>53</c:v>
                </c:pt>
                <c:pt idx="1">
                  <c:v>33</c:v>
                </c:pt>
                <c:pt idx="2">
                  <c:v>16</c:v>
                </c:pt>
              </c:numCache>
            </c:numRef>
          </c:val>
          <c:extLst>
            <c:ext xmlns:c16="http://schemas.microsoft.com/office/drawing/2014/chart" uri="{C3380CC4-5D6E-409C-BE32-E72D297353CC}">
              <c16:uniqueId val="{00000006-C2E4-48CC-940E-4A54390CE060}"/>
            </c:ext>
          </c:extLst>
        </c:ser>
        <c:dLbls>
          <c:dLblPos val="inEnd"/>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2483898858828733"/>
          <c:y val="0.53442812891631786"/>
          <c:w val="0.2416320927193405"/>
          <c:h val="0.304056182166418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[Fazenda Ufersa Lista das Plantas.xlsx]Néctar e Polen!Tabela dinâmica3</c:name>
    <c:fmtId val="-1"/>
  </c:pivotSource>
  <c:chart>
    <c:autoTitleDeleted val="1"/>
    <c:pivotFmts>
      <c:pivotFmt>
        <c:idx val="0"/>
        <c:spPr>
          <a:solidFill>
            <a:schemeClr val="accent1"/>
          </a:solidFill>
          <a:ln>
            <a:noFill/>
          </a:ln>
          <a:effectLst>
            <a:outerShdw blurRad="317500" algn="ctr" rotWithShape="0">
              <a:prstClr val="black">
                <a:alpha val="25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showLegendKey val="0"/>
          <c:showVal val="1"/>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317500" algn="ctr" rotWithShape="0">
              <a:prstClr val="black">
                <a:alpha val="25000"/>
              </a:prstClr>
            </a:outerShdw>
          </a:effectLst>
        </c:spPr>
      </c:pivotFmt>
      <c:pivotFmt>
        <c:idx val="2"/>
        <c:spPr>
          <a:solidFill>
            <a:schemeClr val="accent1"/>
          </a:solidFill>
          <a:ln>
            <a:noFill/>
          </a:ln>
          <a:effectLst>
            <a:outerShdw blurRad="317500" algn="ctr" rotWithShape="0">
              <a:prstClr val="black">
                <a:alpha val="25000"/>
              </a:prstClr>
            </a:outerShdw>
          </a:effectLst>
        </c:spPr>
      </c:pivotFmt>
      <c:pivotFmt>
        <c:idx val="3"/>
        <c:spPr>
          <a:solidFill>
            <a:schemeClr val="accent1"/>
          </a:solidFill>
          <a:ln>
            <a:noFill/>
          </a:ln>
          <a:effectLst>
            <a:outerShdw blurRad="317500" algn="ctr" rotWithShape="0">
              <a:prstClr val="black">
                <a:alpha val="25000"/>
              </a:prstClr>
            </a:outerShdw>
          </a:effectLst>
        </c:spPr>
      </c:pivotFmt>
      <c:pivotFmt>
        <c:idx val="4"/>
        <c:spPr>
          <a:solidFill>
            <a:schemeClr val="accent1"/>
          </a:solidFill>
          <a:ln>
            <a:noFill/>
          </a:ln>
          <a:effectLst>
            <a:outerShdw blurRad="317500" algn="ctr" rotWithShape="0">
              <a:prstClr val="black">
                <a:alpha val="25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showLegendKey val="0"/>
          <c:showVal val="1"/>
          <c:showCatName val="0"/>
          <c:showSerName val="0"/>
          <c:showPercent val="1"/>
          <c:showBubbleSize val="0"/>
          <c:extLst>
            <c:ext xmlns:c15="http://schemas.microsoft.com/office/drawing/2012/chart" uri="{CE6537A1-D6FC-4f65-9D91-7224C49458BB}"/>
          </c:extLst>
        </c:dLbl>
      </c:pivotFmt>
      <c:pivotFmt>
        <c:idx val="5"/>
        <c:spPr>
          <a:solidFill>
            <a:schemeClr val="accent1"/>
          </a:solidFill>
          <a:ln>
            <a:noFill/>
          </a:ln>
          <a:effectLst>
            <a:outerShdw blurRad="317500" algn="ctr" rotWithShape="0">
              <a:prstClr val="black">
                <a:alpha val="25000"/>
              </a:prstClr>
            </a:outerShdw>
          </a:effectLst>
        </c:spPr>
      </c:pivotFmt>
      <c:pivotFmt>
        <c:idx val="6"/>
        <c:spPr>
          <a:solidFill>
            <a:schemeClr val="accent1"/>
          </a:solidFill>
          <a:ln>
            <a:noFill/>
          </a:ln>
          <a:effectLst>
            <a:outerShdw blurRad="317500" algn="ctr" rotWithShape="0">
              <a:prstClr val="black">
                <a:alpha val="25000"/>
              </a:prstClr>
            </a:outerShdw>
          </a:effectLst>
        </c:spPr>
      </c:pivotFmt>
      <c:pivotFmt>
        <c:idx val="7"/>
        <c:spPr>
          <a:solidFill>
            <a:schemeClr val="accent1"/>
          </a:solidFill>
          <a:ln>
            <a:noFill/>
          </a:ln>
          <a:effectLst>
            <a:outerShdw blurRad="317500" algn="ctr" rotWithShape="0">
              <a:prstClr val="black">
                <a:alpha val="25000"/>
              </a:prstClr>
            </a:outerShdw>
          </a:effectLst>
        </c:spPr>
      </c:pivotFmt>
      <c:pivotFmt>
        <c:idx val="8"/>
        <c:spPr>
          <a:solidFill>
            <a:schemeClr val="accent1"/>
          </a:solidFill>
          <a:ln>
            <a:noFill/>
          </a:ln>
          <a:effectLst>
            <a:outerShdw blurRad="317500" algn="ctr" rotWithShape="0">
              <a:prstClr val="black">
                <a:alpha val="25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showLegendKey val="0"/>
          <c:showVal val="1"/>
          <c:showCatName val="0"/>
          <c:showSerName val="0"/>
          <c:showPercent val="1"/>
          <c:showBubbleSize val="0"/>
          <c:extLst>
            <c:ext xmlns:c15="http://schemas.microsoft.com/office/drawing/2012/chart" uri="{CE6537A1-D6FC-4f65-9D91-7224C49458BB}"/>
          </c:extLst>
        </c:dLbl>
      </c:pivotFmt>
      <c:pivotFmt>
        <c:idx val="9"/>
        <c:spPr>
          <a:solidFill>
            <a:schemeClr val="accent1"/>
          </a:solidFill>
          <a:ln>
            <a:noFill/>
          </a:ln>
          <a:effectLst>
            <a:outerShdw blurRad="317500" algn="ctr" rotWithShape="0">
              <a:prstClr val="black">
                <a:alpha val="25000"/>
              </a:prstClr>
            </a:outerShdw>
          </a:effectLst>
        </c:spPr>
      </c:pivotFmt>
      <c:pivotFmt>
        <c:idx val="10"/>
        <c:spPr>
          <a:solidFill>
            <a:schemeClr val="accent1"/>
          </a:solidFill>
          <a:ln>
            <a:noFill/>
          </a:ln>
          <a:effectLst>
            <a:outerShdw blurRad="317500" algn="ctr" rotWithShape="0">
              <a:prstClr val="black">
                <a:alpha val="25000"/>
              </a:prstClr>
            </a:outerShdw>
          </a:effectLst>
        </c:spPr>
      </c:pivotFmt>
      <c:pivotFmt>
        <c:idx val="11"/>
        <c:spPr>
          <a:solidFill>
            <a:schemeClr val="accent1"/>
          </a:solidFill>
          <a:ln>
            <a:noFill/>
          </a:ln>
          <a:effectLst>
            <a:outerShdw blurRad="317500" algn="ctr" rotWithShape="0">
              <a:prstClr val="black">
                <a:alpha val="25000"/>
              </a:prstClr>
            </a:outerShdw>
          </a:effectLst>
        </c:spPr>
      </c:pivotFmt>
    </c:pivotFmts>
    <c:plotArea>
      <c:layout/>
      <c:doughnutChart>
        <c:varyColors val="1"/>
        <c:ser>
          <c:idx val="0"/>
          <c:order val="0"/>
          <c:tx>
            <c:strRef>
              <c:f>'Néctar e Polen'!$B$3</c:f>
              <c:strCache>
                <c:ptCount val="1"/>
                <c:pt idx="0">
                  <c:v>Total</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402-4DC8-941F-F68DDB4DE8E0}"/>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402-4DC8-941F-F68DDB4DE8E0}"/>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5402-4DC8-941F-F68DDB4DE8E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'Néctar e Polen'!$A$4:$A$7</c:f>
              <c:strCache>
                <c:ptCount val="3"/>
                <c:pt idx="0">
                  <c:v>Néctar</c:v>
                </c:pt>
                <c:pt idx="1">
                  <c:v>Néctar/Pólen</c:v>
                </c:pt>
                <c:pt idx="2">
                  <c:v>Pólen</c:v>
                </c:pt>
              </c:strCache>
            </c:strRef>
          </c:cat>
          <c:val>
            <c:numRef>
              <c:f>'Néctar e Polen'!$B$4:$B$7</c:f>
              <c:numCache>
                <c:formatCode>General</c:formatCode>
                <c:ptCount val="3"/>
                <c:pt idx="0">
                  <c:v>22</c:v>
                </c:pt>
                <c:pt idx="1">
                  <c:v>63</c:v>
                </c:pt>
                <c:pt idx="2">
                  <c:v>18</c:v>
                </c:pt>
              </c:numCache>
            </c:numRef>
          </c:val>
          <c:extLst>
            <c:ext xmlns:c16="http://schemas.microsoft.com/office/drawing/2014/chart" uri="{C3380CC4-5D6E-409C-BE32-E72D297353CC}">
              <c16:uniqueId val="{00000006-5402-4DC8-941F-F68DDB4DE8E0}"/>
            </c:ext>
          </c:extLst>
        </c:ser>
        <c:dLbls>
          <c:showLegendKey val="0"/>
          <c:showVal val="1"/>
          <c:showCatName val="0"/>
          <c:showSerName val="0"/>
          <c:showPercent val="0"/>
          <c:showBubbleSize val="0"/>
          <c:showLeaderLines val="1"/>
        </c:dLbls>
        <c:firstSliceAng val="0"/>
        <c:holeSize val="70"/>
      </c:doughnutChart>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2393</Words>
  <Characters>12926</Characters>
  <Application>Microsoft Office Word</Application>
  <DocSecurity>0</DocSecurity>
  <Lines>107</Lines>
  <Paragraphs>30</Paragraphs>
  <ScaleCrop>false</ScaleCrop>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almeidasilvarael@gmail.com</cp:lastModifiedBy>
  <cp:revision>2</cp:revision>
  <dcterms:created xsi:type="dcterms:W3CDTF">2025-06-16T14:17:00Z</dcterms:created>
  <dcterms:modified xsi:type="dcterms:W3CDTF">2025-06-19T15:47:00Z</dcterms:modified>
</cp:coreProperties>
</file>