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86ED6" w14:textId="77777777" w:rsidR="003155F1" w:rsidRDefault="00694FE2">
      <w:pPr>
        <w:widowControl/>
        <w:jc w:val="center"/>
        <w:rPr>
          <w:b/>
          <w:sz w:val="24"/>
          <w:szCs w:val="24"/>
        </w:rPr>
      </w:pPr>
      <w:r>
        <w:rPr>
          <w:b/>
          <w:sz w:val="24"/>
          <w:szCs w:val="24"/>
        </w:rPr>
        <w:t>EFEITO DA ACETILAÇÃO NAS PROPRIEDADES FÍSICAS DA MADEIRA DE MARUPÁ</w:t>
      </w:r>
    </w:p>
    <w:p w14:paraId="01E0F0CC" w14:textId="77777777" w:rsidR="003155F1" w:rsidRDefault="003155F1">
      <w:pPr>
        <w:widowControl/>
        <w:jc w:val="center"/>
        <w:rPr>
          <w:b/>
          <w:sz w:val="24"/>
          <w:szCs w:val="24"/>
        </w:rPr>
      </w:pPr>
      <w:bookmarkStart w:id="0" w:name="_heading=h.gjdgxs" w:colFirst="0" w:colLast="0"/>
      <w:bookmarkEnd w:id="0"/>
    </w:p>
    <w:p w14:paraId="2D82688D" w14:textId="44C6666B" w:rsidR="003155F1" w:rsidRDefault="00694FE2">
      <w:pPr>
        <w:spacing w:line="276" w:lineRule="auto"/>
        <w:ind w:left="221" w:right="214"/>
        <w:jc w:val="center"/>
        <w:rPr>
          <w:b/>
          <w:sz w:val="20"/>
          <w:szCs w:val="20"/>
        </w:rPr>
      </w:pPr>
      <w:r>
        <w:rPr>
          <w:b/>
          <w:sz w:val="20"/>
          <w:szCs w:val="20"/>
        </w:rPr>
        <w:t>Alexandre Miguel do Nascimento</w:t>
      </w:r>
      <w:r>
        <w:rPr>
          <w:b/>
          <w:sz w:val="20"/>
          <w:szCs w:val="20"/>
          <w:vertAlign w:val="superscript"/>
        </w:rPr>
        <w:t>1*</w:t>
      </w:r>
      <w:r>
        <w:rPr>
          <w:b/>
          <w:sz w:val="20"/>
          <w:szCs w:val="20"/>
        </w:rPr>
        <w:t>, Daiana Souza de Jesus</w:t>
      </w:r>
      <w:r>
        <w:rPr>
          <w:b/>
          <w:sz w:val="20"/>
          <w:szCs w:val="20"/>
          <w:vertAlign w:val="superscript"/>
        </w:rPr>
        <w:t>1*</w:t>
      </w:r>
      <w:r>
        <w:rPr>
          <w:b/>
          <w:sz w:val="20"/>
          <w:szCs w:val="20"/>
        </w:rPr>
        <w:t>, Jaqueline Rocha de Medeiros</w:t>
      </w:r>
      <w:r>
        <w:rPr>
          <w:b/>
          <w:sz w:val="20"/>
          <w:szCs w:val="20"/>
          <w:vertAlign w:val="superscript"/>
        </w:rPr>
        <w:t>1*</w:t>
      </w:r>
      <w:r>
        <w:rPr>
          <w:b/>
          <w:sz w:val="20"/>
          <w:szCs w:val="20"/>
        </w:rPr>
        <w:t>, Rogério Rodrigues dos Santos</w:t>
      </w:r>
      <w:r>
        <w:rPr>
          <w:b/>
          <w:sz w:val="20"/>
          <w:szCs w:val="20"/>
          <w:vertAlign w:val="superscript"/>
        </w:rPr>
        <w:t>1*</w:t>
      </w:r>
      <w:r>
        <w:rPr>
          <w:b/>
          <w:sz w:val="20"/>
          <w:szCs w:val="20"/>
        </w:rPr>
        <w:t>, Gabriel Iuri Candido Leandro</w:t>
      </w:r>
      <w:r>
        <w:rPr>
          <w:b/>
          <w:sz w:val="20"/>
          <w:szCs w:val="20"/>
          <w:vertAlign w:val="superscript"/>
        </w:rPr>
        <w:t>1*</w:t>
      </w:r>
      <w:r>
        <w:rPr>
          <w:b/>
          <w:sz w:val="20"/>
          <w:szCs w:val="20"/>
        </w:rPr>
        <w:t>,</w:t>
      </w:r>
      <w:r>
        <w:rPr>
          <w:b/>
          <w:sz w:val="20"/>
          <w:szCs w:val="20"/>
          <w:vertAlign w:val="superscript"/>
        </w:rPr>
        <w:t xml:space="preserve"> </w:t>
      </w:r>
      <w:r>
        <w:rPr>
          <w:b/>
          <w:sz w:val="20"/>
          <w:szCs w:val="20"/>
        </w:rPr>
        <w:t xml:space="preserve"> Caroline da Silva Santos</w:t>
      </w:r>
      <w:r>
        <w:rPr>
          <w:b/>
          <w:sz w:val="20"/>
          <w:szCs w:val="20"/>
          <w:vertAlign w:val="superscript"/>
        </w:rPr>
        <w:t>1*</w:t>
      </w:r>
    </w:p>
    <w:p w14:paraId="7EF1A3AA" w14:textId="77777777" w:rsidR="003155F1" w:rsidRDefault="00694FE2">
      <w:pPr>
        <w:spacing w:line="276" w:lineRule="auto"/>
        <w:ind w:left="221" w:right="214"/>
        <w:jc w:val="center"/>
        <w:rPr>
          <w:sz w:val="20"/>
          <w:szCs w:val="20"/>
        </w:rPr>
      </w:pPr>
      <w:r>
        <w:rPr>
          <w:sz w:val="20"/>
          <w:szCs w:val="20"/>
        </w:rPr>
        <w:t>Universidade Federal Rural do Rio de Janeiro (UFRRJ), Seropédica/RJ, Brasil</w:t>
      </w:r>
    </w:p>
    <w:p w14:paraId="1720BBAD" w14:textId="77777777" w:rsidR="003155F1" w:rsidRDefault="00694FE2">
      <w:pPr>
        <w:spacing w:line="276" w:lineRule="auto"/>
        <w:ind w:left="221" w:right="214"/>
        <w:jc w:val="center"/>
        <w:rPr>
          <w:sz w:val="20"/>
          <w:szCs w:val="20"/>
        </w:rPr>
      </w:pPr>
      <w:r>
        <w:rPr>
          <w:sz w:val="20"/>
          <w:szCs w:val="20"/>
        </w:rPr>
        <w:t>* alexmnasci@gmail.com</w:t>
      </w:r>
    </w:p>
    <w:p w14:paraId="5DCCACB2" w14:textId="77777777" w:rsidR="003155F1" w:rsidRDefault="00694FE2">
      <w:pPr>
        <w:jc w:val="center"/>
        <w:rPr>
          <w:sz w:val="20"/>
          <w:szCs w:val="20"/>
        </w:rPr>
      </w:pPr>
      <w:r>
        <w:rPr>
          <w:sz w:val="20"/>
          <w:szCs w:val="20"/>
        </w:rPr>
        <w:t>__________________________________________________________________________________________</w:t>
      </w:r>
    </w:p>
    <w:p w14:paraId="100A0222" w14:textId="77777777" w:rsidR="003155F1" w:rsidRDefault="003155F1">
      <w:pPr>
        <w:jc w:val="both"/>
        <w:rPr>
          <w:sz w:val="20"/>
          <w:szCs w:val="20"/>
        </w:rPr>
      </w:pPr>
    </w:p>
    <w:p w14:paraId="6B00812E" w14:textId="77777777" w:rsidR="003155F1" w:rsidRDefault="00694FE2">
      <w:pPr>
        <w:jc w:val="both"/>
        <w:rPr>
          <w:sz w:val="20"/>
          <w:szCs w:val="20"/>
        </w:rPr>
      </w:pPr>
      <w:r>
        <w:rPr>
          <w:b/>
          <w:sz w:val="20"/>
          <w:szCs w:val="20"/>
        </w:rPr>
        <w:t>RESUMO</w:t>
      </w:r>
    </w:p>
    <w:p w14:paraId="0D68AFB6" w14:textId="2087029E" w:rsidR="003155F1" w:rsidRDefault="00694FE2">
      <w:pPr>
        <w:jc w:val="both"/>
        <w:rPr>
          <w:color w:val="000000"/>
        </w:rPr>
      </w:pPr>
      <w:bookmarkStart w:id="1" w:name="_heading=h.8aq5f9gcyjp" w:colFirst="0" w:colLast="0"/>
      <w:bookmarkEnd w:id="1"/>
      <w:r>
        <w:rPr>
          <w:sz w:val="20"/>
          <w:szCs w:val="20"/>
        </w:rPr>
        <w:t>Este estudo avaliou o efeito da modificação química por acetilação no teor de umidade de equilíbrio, ponto de saturação das fibras e estabilidade dimensional da madeira de marupá. Foram confeccionadas amostras ortogonais nas dimensões de 25x30x50 mm que foram acetiladas com anidrido acético e aquecidas a duas diferentes temperaturas: 100</w:t>
      </w:r>
      <w:r w:rsidR="004F252D">
        <w:rPr>
          <w:sz w:val="20"/>
          <w:szCs w:val="20"/>
        </w:rPr>
        <w:t xml:space="preserve"> </w:t>
      </w:r>
      <w:r>
        <w:rPr>
          <w:sz w:val="20"/>
          <w:szCs w:val="20"/>
        </w:rPr>
        <w:t>°C ou 120 °C e mantidas por 1 hora ou 2 horas. Foram testados dois métodos de secagem antes da acetilação: madeira seca em estufa a 103</w:t>
      </w:r>
      <w:r w:rsidR="004F252D">
        <w:rPr>
          <w:sz w:val="20"/>
          <w:szCs w:val="20"/>
        </w:rPr>
        <w:t>±</w:t>
      </w:r>
      <w:r>
        <w:rPr>
          <w:sz w:val="20"/>
          <w:szCs w:val="20"/>
        </w:rPr>
        <w:t xml:space="preserve"> 2°C e madeira seca em estufa a 60 °C com a aplicação de vácuo a -720 mmHg. O ganho percentual de peso (WPG) foi calculado para determinar a eficiência da acetilação. O teor de umidade de equilíbrio, as contrações lineares (tangencial, radial e longitudinal) e volumétrica foram determinadas através de acordo com a norma ABNT NBR 7190/22 e o ponto de saturação das fibras pelo método da retração volumétrica parcial. O tratamento por acetilação com os maiores WPG reduziram o inchamento da madeira nas diferentes direções (volumétrico, tangencial e radial), diminuíram a umidade de equilíbrio e o ponto de saturação das fibras.</w:t>
      </w:r>
    </w:p>
    <w:p w14:paraId="04297F1C" w14:textId="77777777" w:rsidR="003155F1" w:rsidRDefault="00694FE2">
      <w:pPr>
        <w:widowControl/>
        <w:ind w:right="4"/>
        <w:rPr>
          <w:sz w:val="20"/>
          <w:szCs w:val="20"/>
        </w:rPr>
      </w:pPr>
      <w:r>
        <w:rPr>
          <w:i/>
          <w:sz w:val="20"/>
          <w:szCs w:val="20"/>
        </w:rPr>
        <w:t>Palavras-chave</w:t>
      </w:r>
      <w:r>
        <w:rPr>
          <w:sz w:val="20"/>
          <w:szCs w:val="20"/>
        </w:rPr>
        <w:t>:  Tratamento químico, Densidade aparente, Estabilidade dimensional, Ponto de saturação das fibras.</w:t>
      </w:r>
    </w:p>
    <w:p w14:paraId="46FE0C2B" w14:textId="77777777" w:rsidR="003155F1" w:rsidRDefault="003155F1">
      <w:pPr>
        <w:widowControl/>
        <w:jc w:val="both"/>
        <w:rPr>
          <w:b/>
          <w:color w:val="FF0000"/>
          <w:sz w:val="20"/>
          <w:szCs w:val="20"/>
        </w:rPr>
      </w:pPr>
    </w:p>
    <w:p w14:paraId="1B25B3E7" w14:textId="77777777" w:rsidR="003155F1" w:rsidRDefault="00694FE2">
      <w:pPr>
        <w:widowControl/>
        <w:jc w:val="both"/>
        <w:rPr>
          <w:b/>
          <w:sz w:val="20"/>
          <w:szCs w:val="20"/>
        </w:rPr>
      </w:pPr>
      <w:r>
        <w:rPr>
          <w:b/>
          <w:sz w:val="20"/>
          <w:szCs w:val="20"/>
        </w:rPr>
        <w:t xml:space="preserve">INTRODUÇÃO </w:t>
      </w:r>
    </w:p>
    <w:p w14:paraId="10735613" w14:textId="77777777" w:rsidR="003155F1" w:rsidRDefault="00694FE2">
      <w:pPr>
        <w:widowControl/>
        <w:jc w:val="both"/>
        <w:rPr>
          <w:b/>
          <w:sz w:val="20"/>
          <w:szCs w:val="20"/>
        </w:rPr>
      </w:pPr>
      <w:r>
        <w:rPr>
          <w:b/>
          <w:sz w:val="20"/>
          <w:szCs w:val="20"/>
        </w:rPr>
        <w:tab/>
      </w:r>
    </w:p>
    <w:p w14:paraId="33B9D060" w14:textId="77777777" w:rsidR="003155F1" w:rsidRDefault="00694FE2">
      <w:pPr>
        <w:widowControl/>
        <w:ind w:firstLine="720"/>
        <w:jc w:val="both"/>
        <w:rPr>
          <w:sz w:val="20"/>
          <w:szCs w:val="20"/>
        </w:rPr>
      </w:pPr>
      <w:r>
        <w:rPr>
          <w:sz w:val="20"/>
          <w:szCs w:val="20"/>
        </w:rPr>
        <w:t>Dentre as técnicas de modificação química, a acetilação tem se destacado como um método eficiente para alterar as características da madeira. A acetilação envolve a substituição dos grupos hidroxila na estrutura da parede celular por grupos acetila, resultando em alterações significativas nas propriedades físicas da madeira. A introdução desses grupos químicos modifica a interação da madeira com a água, reduzindo sua capacidade de absorção e liberação de umidade. Como resultado, a madeira acetilada apresenta uma menor variação dimensional em resposta a mudanças no ambiente (Sargent, 2022).</w:t>
      </w:r>
    </w:p>
    <w:p w14:paraId="7A7BB290" w14:textId="77777777" w:rsidR="003155F1" w:rsidRDefault="00694FE2">
      <w:pPr>
        <w:widowControl/>
        <w:ind w:firstLine="720"/>
        <w:jc w:val="both"/>
        <w:rPr>
          <w:sz w:val="20"/>
          <w:szCs w:val="20"/>
        </w:rPr>
      </w:pPr>
      <w:r>
        <w:rPr>
          <w:sz w:val="20"/>
          <w:szCs w:val="20"/>
        </w:rPr>
        <w:t>Além da estabilidade dimensional, a acetilação também pode afetar outras propriedades físicas da madeira. Estudos indicam que essa modificação química pode aumentar a resistência à umidade, alterar a dureza superficial e a cor da madeira, abrindo possibilidades para aplicações estéticas e funcionais (Sadeghifar et al., 2014).</w:t>
      </w:r>
    </w:p>
    <w:p w14:paraId="767E2749" w14:textId="77777777" w:rsidR="003155F1" w:rsidRDefault="00694FE2">
      <w:pPr>
        <w:widowControl/>
        <w:ind w:firstLine="720"/>
        <w:jc w:val="both"/>
        <w:rPr>
          <w:sz w:val="20"/>
          <w:szCs w:val="20"/>
        </w:rPr>
      </w:pPr>
      <w:r>
        <w:rPr>
          <w:sz w:val="20"/>
          <w:szCs w:val="20"/>
        </w:rPr>
        <w:t>Compreender os efeitos da acetilação nas propriedades físicas da madeira é essencial para a utilização eficiente desse processo de modificação química e para o desenvolvimento de produtos de alta qualidade e durabilidade. Com isso, o objetivo da pesquisa foi avaliar o efeito da modificação por acetilação nas propriedades físicas da madeira de Marupá.</w:t>
      </w:r>
    </w:p>
    <w:p w14:paraId="60B607CA" w14:textId="77777777" w:rsidR="003155F1" w:rsidRDefault="003155F1">
      <w:pPr>
        <w:widowControl/>
        <w:jc w:val="both"/>
        <w:rPr>
          <w:sz w:val="20"/>
          <w:szCs w:val="20"/>
        </w:rPr>
      </w:pPr>
    </w:p>
    <w:p w14:paraId="4255BC5B" w14:textId="77777777" w:rsidR="003155F1" w:rsidRDefault="00694FE2">
      <w:pPr>
        <w:widowControl/>
        <w:jc w:val="both"/>
        <w:rPr>
          <w:sz w:val="20"/>
          <w:szCs w:val="20"/>
        </w:rPr>
      </w:pPr>
      <w:r>
        <w:rPr>
          <w:b/>
          <w:sz w:val="20"/>
          <w:szCs w:val="20"/>
        </w:rPr>
        <w:t xml:space="preserve">MATERIAL E MÉTODOS </w:t>
      </w:r>
    </w:p>
    <w:p w14:paraId="6E27BF14" w14:textId="77777777" w:rsidR="003155F1" w:rsidRDefault="003155F1">
      <w:pPr>
        <w:widowControl/>
        <w:rPr>
          <w:sz w:val="20"/>
          <w:szCs w:val="20"/>
        </w:rPr>
      </w:pPr>
    </w:p>
    <w:p w14:paraId="05DA622C" w14:textId="77777777" w:rsidR="003155F1" w:rsidRDefault="00694FE2">
      <w:pPr>
        <w:widowControl/>
        <w:rPr>
          <w:b/>
          <w:sz w:val="20"/>
          <w:szCs w:val="20"/>
        </w:rPr>
      </w:pPr>
      <w:r>
        <w:rPr>
          <w:b/>
          <w:sz w:val="20"/>
          <w:szCs w:val="20"/>
        </w:rPr>
        <w:t xml:space="preserve">Acetilação da madeira </w:t>
      </w:r>
    </w:p>
    <w:p w14:paraId="25F4E7DC" w14:textId="77777777" w:rsidR="003155F1" w:rsidRDefault="003155F1">
      <w:pPr>
        <w:widowControl/>
        <w:rPr>
          <w:b/>
          <w:sz w:val="20"/>
          <w:szCs w:val="20"/>
        </w:rPr>
      </w:pPr>
    </w:p>
    <w:p w14:paraId="3F6FAD67" w14:textId="0B4E4E53" w:rsidR="003155F1" w:rsidRDefault="00694FE2">
      <w:pPr>
        <w:widowControl/>
        <w:jc w:val="both"/>
        <w:rPr>
          <w:sz w:val="20"/>
          <w:szCs w:val="20"/>
        </w:rPr>
      </w:pPr>
      <w:r>
        <w:rPr>
          <w:b/>
          <w:sz w:val="20"/>
          <w:szCs w:val="20"/>
        </w:rPr>
        <w:tab/>
      </w:r>
      <w:r>
        <w:rPr>
          <w:sz w:val="20"/>
          <w:szCs w:val="20"/>
        </w:rPr>
        <w:t xml:space="preserve">Madeira de </w:t>
      </w:r>
      <w:r>
        <w:rPr>
          <w:i/>
          <w:sz w:val="20"/>
          <w:szCs w:val="20"/>
        </w:rPr>
        <w:t xml:space="preserve">Simarouba amara </w:t>
      </w:r>
      <w:r w:rsidRPr="004D2C37">
        <w:rPr>
          <w:iCs/>
          <w:sz w:val="20"/>
          <w:szCs w:val="20"/>
        </w:rPr>
        <w:t>Aubl</w:t>
      </w:r>
      <w:r>
        <w:rPr>
          <w:sz w:val="20"/>
          <w:szCs w:val="20"/>
        </w:rPr>
        <w:t xml:space="preserve"> (marupá) foram adquiridas no comércio local as quais foram processadas e reduzidas para as dimensões de 50x50x450 mm. Em seguida, foram acondicionadas em sala climatizada com temperatura de 22</w:t>
      </w:r>
      <w:r w:rsidR="004F252D">
        <w:rPr>
          <w:sz w:val="20"/>
          <w:szCs w:val="20"/>
        </w:rPr>
        <w:t xml:space="preserve"> </w:t>
      </w:r>
      <w:r>
        <w:rPr>
          <w:sz w:val="20"/>
          <w:szCs w:val="20"/>
        </w:rPr>
        <w:t>°C e umidade relativa de 65%. Posteriormente, corpos de prova foram confeccionados nas dimensões 25x30x50 mm (radial × tangencial × longitudinal) para ensaios de estabilidade. Todo o material permaneceu em ambiente climatizado até o equilíbrio.</w:t>
      </w:r>
    </w:p>
    <w:p w14:paraId="3A5C1106" w14:textId="70018099" w:rsidR="003155F1" w:rsidRDefault="00694FE2">
      <w:pPr>
        <w:widowControl/>
        <w:ind w:firstLine="720"/>
        <w:jc w:val="both"/>
        <w:rPr>
          <w:sz w:val="20"/>
          <w:szCs w:val="20"/>
        </w:rPr>
      </w:pPr>
      <w:r>
        <w:rPr>
          <w:sz w:val="20"/>
          <w:szCs w:val="20"/>
        </w:rPr>
        <w:t>As amostras passaram primeiramente por dois diferentes metodologias de secagem, com o objetivo de deixar a madeira com teor de umidade abaixo de 5%, que foram:  seca em estufa convencional a 103</w:t>
      </w:r>
      <w:r w:rsidR="004F252D">
        <w:rPr>
          <w:sz w:val="20"/>
          <w:szCs w:val="20"/>
        </w:rPr>
        <w:t>±</w:t>
      </w:r>
      <w:r>
        <w:rPr>
          <w:sz w:val="20"/>
          <w:szCs w:val="20"/>
        </w:rPr>
        <w:t>2°C e seca em estufa a 60 °C com a aplicação de vácuo.</w:t>
      </w:r>
    </w:p>
    <w:p w14:paraId="7905ED64" w14:textId="182D2881" w:rsidR="003155F1" w:rsidRDefault="00694FE2">
      <w:pPr>
        <w:widowControl/>
        <w:ind w:firstLine="708"/>
        <w:jc w:val="both"/>
        <w:rPr>
          <w:sz w:val="20"/>
          <w:szCs w:val="20"/>
        </w:rPr>
      </w:pPr>
      <w:r>
        <w:rPr>
          <w:sz w:val="20"/>
          <w:szCs w:val="20"/>
        </w:rPr>
        <w:lastRenderedPageBreak/>
        <w:t>Após secagem, a madeira foi acetilada com anidrido acético PA (C</w:t>
      </w:r>
      <w:r w:rsidRPr="004D2C37">
        <w:rPr>
          <w:sz w:val="20"/>
          <w:szCs w:val="20"/>
          <w:vertAlign w:val="subscript"/>
        </w:rPr>
        <w:t>4</w:t>
      </w:r>
      <w:r>
        <w:rPr>
          <w:sz w:val="20"/>
          <w:szCs w:val="20"/>
        </w:rPr>
        <w:t>H</w:t>
      </w:r>
      <w:r w:rsidRPr="004D2C37">
        <w:rPr>
          <w:sz w:val="20"/>
          <w:szCs w:val="20"/>
          <w:vertAlign w:val="subscript"/>
        </w:rPr>
        <w:t>6</w:t>
      </w:r>
      <w:r>
        <w:rPr>
          <w:sz w:val="20"/>
          <w:szCs w:val="20"/>
        </w:rPr>
        <w:t>O</w:t>
      </w:r>
      <w:r w:rsidRPr="004D2C37">
        <w:rPr>
          <w:sz w:val="20"/>
          <w:szCs w:val="20"/>
          <w:vertAlign w:val="subscript"/>
        </w:rPr>
        <w:t>3</w:t>
      </w:r>
      <w:r>
        <w:rPr>
          <w:sz w:val="20"/>
          <w:szCs w:val="20"/>
        </w:rPr>
        <w:t>) (concentração de 97%) em diferentes condições, dentro de tanque de aço inoxidável de 18,5 litros, com submersão em anidrido acético e aplicação de vácuo de -720 mmHg por 30 minutos, com posterior aplicação de pressão em 1,5 kgf.cm</w:t>
      </w:r>
      <w:r w:rsidRPr="004D2C37">
        <w:rPr>
          <w:sz w:val="20"/>
          <w:szCs w:val="20"/>
          <w:vertAlign w:val="superscript"/>
        </w:rPr>
        <w:t>2</w:t>
      </w:r>
      <w:r>
        <w:rPr>
          <w:sz w:val="20"/>
          <w:szCs w:val="20"/>
        </w:rPr>
        <w:t xml:space="preserve"> por 1 hora a temperatura ambiente. Retirado o excesso do anidrido acético, o tanque de aço foi aquecido nas temperaturas de 100</w:t>
      </w:r>
      <w:r w:rsidR="004F252D">
        <w:rPr>
          <w:sz w:val="20"/>
          <w:szCs w:val="20"/>
        </w:rPr>
        <w:t xml:space="preserve"> </w:t>
      </w:r>
      <w:r>
        <w:rPr>
          <w:sz w:val="20"/>
          <w:szCs w:val="20"/>
        </w:rPr>
        <w:t>°C ou 120 °C e por 1 hora ou por 2 horas.  Após o processo, a madeira acetilada foi lavada com água corrente por 72 horas para remover o anidrido acético residual não reagido e o ácido acético gerado. A madeira acetilada foi então seca a vácuo a -0,07 MPa até peso constante.</w:t>
      </w:r>
    </w:p>
    <w:p w14:paraId="737109D7" w14:textId="77777777" w:rsidR="003155F1" w:rsidRDefault="003155F1">
      <w:pPr>
        <w:widowControl/>
        <w:jc w:val="both"/>
        <w:rPr>
          <w:sz w:val="20"/>
          <w:szCs w:val="20"/>
        </w:rPr>
      </w:pPr>
    </w:p>
    <w:p w14:paraId="52936854" w14:textId="77777777" w:rsidR="003155F1" w:rsidRDefault="00694FE2">
      <w:pPr>
        <w:widowControl/>
        <w:jc w:val="both"/>
        <w:rPr>
          <w:b/>
          <w:sz w:val="20"/>
          <w:szCs w:val="20"/>
        </w:rPr>
      </w:pPr>
      <w:r>
        <w:rPr>
          <w:b/>
          <w:sz w:val="20"/>
          <w:szCs w:val="20"/>
        </w:rPr>
        <w:t xml:space="preserve">O ganho percentual de peso </w:t>
      </w:r>
    </w:p>
    <w:p w14:paraId="7C1635A7" w14:textId="77777777" w:rsidR="003155F1" w:rsidRDefault="00694FE2">
      <w:pPr>
        <w:widowControl/>
        <w:jc w:val="both"/>
        <w:rPr>
          <w:b/>
          <w:sz w:val="20"/>
          <w:szCs w:val="20"/>
        </w:rPr>
      </w:pPr>
      <w:r>
        <w:rPr>
          <w:b/>
          <w:sz w:val="20"/>
          <w:szCs w:val="20"/>
        </w:rPr>
        <w:tab/>
      </w:r>
    </w:p>
    <w:p w14:paraId="7B155162" w14:textId="77777777" w:rsidR="003155F1" w:rsidRDefault="00694FE2">
      <w:pPr>
        <w:widowControl/>
        <w:jc w:val="both"/>
        <w:rPr>
          <w:sz w:val="20"/>
          <w:szCs w:val="20"/>
        </w:rPr>
      </w:pPr>
      <w:r>
        <w:rPr>
          <w:b/>
          <w:sz w:val="20"/>
          <w:szCs w:val="20"/>
        </w:rPr>
        <w:tab/>
      </w:r>
      <w:r>
        <w:rPr>
          <w:sz w:val="20"/>
          <w:szCs w:val="20"/>
        </w:rPr>
        <w:t>O ganho percentual de peso (WPG) da madeira acetilada foi determinado com base no peso seco antes e depois da acetilação. O ganho percentual de peso foi calculado com base na equação 1.</w:t>
      </w:r>
    </w:p>
    <w:p w14:paraId="7BE01768" w14:textId="77777777" w:rsidR="003155F1" w:rsidRDefault="00694FE2">
      <w:pPr>
        <w:widowControl/>
        <w:ind w:left="2160" w:firstLine="720"/>
        <w:jc w:val="both"/>
        <w:rPr>
          <w:sz w:val="20"/>
          <w:szCs w:val="20"/>
        </w:rPr>
      </w:pPr>
      <w:r>
        <w:rPr>
          <w:sz w:val="20"/>
          <w:szCs w:val="20"/>
        </w:rPr>
        <w:t xml:space="preserve"> WPG = (W2 - W1) / W1 × 100%                                             (1)</w:t>
      </w:r>
    </w:p>
    <w:p w14:paraId="5EEEE5E5" w14:textId="77777777" w:rsidR="003155F1" w:rsidRDefault="00694FE2">
      <w:pPr>
        <w:widowControl/>
        <w:jc w:val="both"/>
        <w:rPr>
          <w:sz w:val="20"/>
          <w:szCs w:val="20"/>
        </w:rPr>
      </w:pPr>
      <w:r>
        <w:rPr>
          <w:sz w:val="20"/>
          <w:szCs w:val="20"/>
        </w:rPr>
        <w:t xml:space="preserve"> Onde W2 é o peso seco em estufa da madeira acetilada e W1 é o peso seco da madeira antes da acetilação.</w:t>
      </w:r>
    </w:p>
    <w:p w14:paraId="0DF65870" w14:textId="77777777" w:rsidR="003155F1" w:rsidRDefault="003155F1">
      <w:pPr>
        <w:widowControl/>
        <w:jc w:val="both"/>
        <w:rPr>
          <w:sz w:val="20"/>
          <w:szCs w:val="20"/>
        </w:rPr>
      </w:pPr>
    </w:p>
    <w:p w14:paraId="3EAB76C9" w14:textId="77777777" w:rsidR="003155F1" w:rsidRDefault="00694FE2">
      <w:pPr>
        <w:widowControl/>
        <w:jc w:val="both"/>
        <w:rPr>
          <w:b/>
          <w:sz w:val="20"/>
          <w:szCs w:val="20"/>
        </w:rPr>
      </w:pPr>
      <w:r>
        <w:rPr>
          <w:b/>
          <w:sz w:val="20"/>
          <w:szCs w:val="20"/>
        </w:rPr>
        <w:t xml:space="preserve">Propriedades físicas </w:t>
      </w:r>
    </w:p>
    <w:p w14:paraId="52F8DC67" w14:textId="77777777" w:rsidR="003155F1" w:rsidRDefault="00694FE2">
      <w:pPr>
        <w:widowControl/>
        <w:jc w:val="both"/>
        <w:rPr>
          <w:sz w:val="20"/>
          <w:szCs w:val="20"/>
        </w:rPr>
      </w:pPr>
      <w:r>
        <w:rPr>
          <w:sz w:val="20"/>
          <w:szCs w:val="20"/>
        </w:rPr>
        <w:tab/>
      </w:r>
    </w:p>
    <w:p w14:paraId="302C3E06" w14:textId="3BBFE35C" w:rsidR="003155F1" w:rsidRDefault="00694FE2">
      <w:pPr>
        <w:widowControl/>
        <w:jc w:val="both"/>
        <w:rPr>
          <w:sz w:val="20"/>
          <w:szCs w:val="20"/>
        </w:rPr>
      </w:pPr>
      <w:r>
        <w:rPr>
          <w:sz w:val="20"/>
          <w:szCs w:val="20"/>
        </w:rPr>
        <w:tab/>
        <w:t>A umidade de equilíbrio foi determinada de acordo com a NBR 7190 (ASSOCIAÇÃO BRASILEIRA DE NORMAS TÉCNICAS, 2022) de acordo com a Equação 2. Os corpos de prova foram acondicionados em sala climatizada (21 °C e 65% UR) para entrarem em equilíbrio com o meio. A massa anidra foi obtida após as amostras serem secas em estufa a 103 ±2 °C.</w:t>
      </w:r>
    </w:p>
    <w:p w14:paraId="2C544785" w14:textId="77777777" w:rsidR="003155F1" w:rsidRDefault="00694FE2">
      <w:pPr>
        <w:widowControl/>
        <w:ind w:left="2160" w:firstLine="720"/>
        <w:jc w:val="both"/>
        <w:rPr>
          <w:sz w:val="20"/>
          <w:szCs w:val="20"/>
        </w:rPr>
      </w:pPr>
      <w:r>
        <w:rPr>
          <w:sz w:val="20"/>
          <w:szCs w:val="20"/>
        </w:rPr>
        <w:t>UE (%)= (m_i-m_s)/m_s ×100                                                    (2)</w:t>
      </w:r>
    </w:p>
    <w:p w14:paraId="38487CE7" w14:textId="77777777" w:rsidR="003155F1" w:rsidRDefault="00694FE2">
      <w:pPr>
        <w:widowControl/>
        <w:jc w:val="both"/>
        <w:rPr>
          <w:sz w:val="20"/>
          <w:szCs w:val="20"/>
        </w:rPr>
      </w:pPr>
      <w:r>
        <w:rPr>
          <w:sz w:val="20"/>
          <w:szCs w:val="20"/>
        </w:rPr>
        <w:t xml:space="preserve">Em que: UE (%) é a umidade de equilíbrio da madeira; mi é a massa inicial em condição climatizada; ms é a massa anidra.  </w:t>
      </w:r>
    </w:p>
    <w:p w14:paraId="4FEC7D9D" w14:textId="49F63B45" w:rsidR="003155F1" w:rsidRDefault="00694FE2">
      <w:pPr>
        <w:widowControl/>
        <w:jc w:val="both"/>
        <w:rPr>
          <w:sz w:val="20"/>
          <w:szCs w:val="20"/>
        </w:rPr>
      </w:pPr>
      <w:r>
        <w:rPr>
          <w:sz w:val="20"/>
          <w:szCs w:val="20"/>
        </w:rPr>
        <w:tab/>
        <w:t>Para os ensaios de estabilidade dimensional, amostras nas dimensões de 25x30x50 mm (radial × tangencial × longitudinal) foram utilizadas. O ciclo de inchamento e retração da madeira acetilada foi iniciado com os corpos de prova secos em estufa laboratorial a 103 ± 2</w:t>
      </w:r>
      <w:r w:rsidR="004F252D">
        <w:rPr>
          <w:sz w:val="20"/>
          <w:szCs w:val="20"/>
        </w:rPr>
        <w:t xml:space="preserve"> </w:t>
      </w:r>
      <w:r>
        <w:rPr>
          <w:sz w:val="20"/>
          <w:szCs w:val="20"/>
        </w:rPr>
        <w:t>°C até massa constante e em seguida, climatizada em ambiente com 20°C e 65% UR, e por último imersas em água em um dessecador, onde se realizou, de forma intermitente, a aplicação de vácuo, para que ocorresse a saturação. Ao final de cada etapa, as amostras foram pesadas e tomadas suas dimensões. A partir de então, as retrações tangencial, radial, longitudinal, volumétrica e coeficiente de anisotropia foram determinadas. As amostras foram pesadas e medidas antes da acetilação e após o tratamento, quando em umidade de equilíbrio, saturada em água e seca em estufa.  Para as medições foram utilizados balança digital com precisão de 0,0001 gramas e micrômetro digital com precisão de 0,001 mm.</w:t>
      </w:r>
    </w:p>
    <w:p w14:paraId="3E9BC5C1" w14:textId="77777777" w:rsidR="003155F1" w:rsidRDefault="00694FE2">
      <w:pPr>
        <w:widowControl/>
        <w:jc w:val="both"/>
        <w:rPr>
          <w:sz w:val="20"/>
          <w:szCs w:val="20"/>
        </w:rPr>
      </w:pPr>
      <w:r>
        <w:rPr>
          <w:sz w:val="20"/>
          <w:szCs w:val="20"/>
        </w:rPr>
        <w:tab/>
      </w:r>
    </w:p>
    <w:p w14:paraId="78FE4F28" w14:textId="77777777" w:rsidR="003155F1" w:rsidRDefault="00694FE2">
      <w:pPr>
        <w:widowControl/>
        <w:ind w:firstLine="720"/>
        <w:jc w:val="both"/>
        <w:rPr>
          <w:sz w:val="20"/>
          <w:szCs w:val="20"/>
        </w:rPr>
      </w:pPr>
      <w:r>
        <w:rPr>
          <w:sz w:val="20"/>
          <w:szCs w:val="20"/>
        </w:rPr>
        <w:t>Para determinação das porcentagens de inchamento total ou deformações específicas de inchamento (εi,j), com j=1 para a direção longitudinal, j=2 para a direção radial e j=3 para a direção tangencial, usa-se a Equação 3:</w:t>
      </w:r>
    </w:p>
    <w:p w14:paraId="4F2FADC3" w14:textId="77777777" w:rsidR="003155F1" w:rsidRDefault="00694FE2">
      <w:pPr>
        <w:widowControl/>
        <w:jc w:val="both"/>
        <w:rPr>
          <w:sz w:val="20"/>
          <w:szCs w:val="20"/>
        </w:rPr>
      </w:pPr>
      <w:r>
        <w:rPr>
          <w:sz w:val="20"/>
          <w:szCs w:val="20"/>
        </w:rPr>
        <w:t xml:space="preserve"> </w:t>
      </w:r>
    </w:p>
    <w:p w14:paraId="7329F1F8" w14:textId="77777777" w:rsidR="003155F1" w:rsidRDefault="00694FE2">
      <w:pPr>
        <w:widowControl/>
        <w:jc w:val="both"/>
        <w:rPr>
          <w:sz w:val="20"/>
          <w:szCs w:val="20"/>
        </w:rPr>
      </w:pPr>
      <w:r>
        <w:rPr>
          <w:sz w:val="20"/>
          <w:szCs w:val="20"/>
        </w:rPr>
        <w:t xml:space="preserve">                                                            εi,j=((Li,sat-Li,sec)/(Li,sec)).100                                      </w:t>
      </w:r>
      <w:r>
        <w:rPr>
          <w:sz w:val="20"/>
          <w:szCs w:val="20"/>
        </w:rPr>
        <w:tab/>
        <w:t>(3)</w:t>
      </w:r>
    </w:p>
    <w:p w14:paraId="2B34B905" w14:textId="77777777" w:rsidR="003155F1" w:rsidRDefault="00694FE2">
      <w:pPr>
        <w:widowControl/>
        <w:jc w:val="both"/>
        <w:rPr>
          <w:sz w:val="20"/>
          <w:szCs w:val="20"/>
        </w:rPr>
      </w:pPr>
      <w:r>
        <w:rPr>
          <w:sz w:val="20"/>
          <w:szCs w:val="20"/>
        </w:rPr>
        <w:t xml:space="preserve"> Em que: Li,sat = dimensão linear, para umidade igual ou superior ao ponto de saturação das fibras; Li,sec = dimensão linear, para umidade igual a 0%.</w:t>
      </w:r>
    </w:p>
    <w:p w14:paraId="20AACD75" w14:textId="77777777" w:rsidR="003155F1" w:rsidRDefault="00694FE2">
      <w:pPr>
        <w:widowControl/>
        <w:ind w:firstLine="720"/>
        <w:jc w:val="both"/>
        <w:rPr>
          <w:sz w:val="20"/>
          <w:szCs w:val="20"/>
        </w:rPr>
      </w:pPr>
      <w:r>
        <w:rPr>
          <w:sz w:val="20"/>
          <w:szCs w:val="20"/>
        </w:rPr>
        <w:t>Pode-se também determinar a variação volumétrica (ΔV) em função das dimensões do corpo de prova com umidade igual ou superior ao ponto de saturação das fibras PS (Vsat) e com umidade de 0% (Vseca), utilizando a Equação 4:</w:t>
      </w:r>
    </w:p>
    <w:p w14:paraId="5398D6C5" w14:textId="77777777" w:rsidR="003155F1" w:rsidRDefault="00694FE2">
      <w:pPr>
        <w:widowControl/>
        <w:jc w:val="both"/>
        <w:rPr>
          <w:sz w:val="20"/>
          <w:szCs w:val="20"/>
        </w:rPr>
      </w:pPr>
      <w:r>
        <w:rPr>
          <w:sz w:val="20"/>
          <w:szCs w:val="20"/>
        </w:rPr>
        <w:t xml:space="preserve"> </w:t>
      </w:r>
    </w:p>
    <w:p w14:paraId="29743888" w14:textId="77777777" w:rsidR="003155F1" w:rsidRDefault="00694FE2">
      <w:pPr>
        <w:widowControl/>
        <w:jc w:val="both"/>
        <w:rPr>
          <w:sz w:val="20"/>
          <w:szCs w:val="20"/>
        </w:rPr>
      </w:pPr>
      <w:r>
        <w:rPr>
          <w:sz w:val="20"/>
          <w:szCs w:val="20"/>
        </w:rPr>
        <w:t xml:space="preserve">                                                              ΔV=((Vsat-Vseca)/Vseca).100                                               (4)</w:t>
      </w:r>
    </w:p>
    <w:p w14:paraId="6AA981A3" w14:textId="77777777" w:rsidR="003155F1" w:rsidRDefault="00694FE2">
      <w:pPr>
        <w:widowControl/>
        <w:jc w:val="both"/>
        <w:rPr>
          <w:sz w:val="20"/>
          <w:szCs w:val="20"/>
        </w:rPr>
      </w:pPr>
      <w:r>
        <w:rPr>
          <w:sz w:val="20"/>
          <w:szCs w:val="20"/>
        </w:rPr>
        <w:t xml:space="preserve"> Em que: Vsat = L1,sat .L2,sat .L3,sat; Vseca = L1,seca . L2,seca . L3,seca.</w:t>
      </w:r>
    </w:p>
    <w:p w14:paraId="03DF27F4" w14:textId="77777777" w:rsidR="003155F1" w:rsidRDefault="003155F1">
      <w:pPr>
        <w:widowControl/>
        <w:ind w:firstLine="720"/>
        <w:jc w:val="both"/>
        <w:rPr>
          <w:sz w:val="20"/>
          <w:szCs w:val="20"/>
        </w:rPr>
      </w:pPr>
    </w:p>
    <w:p w14:paraId="230C7809" w14:textId="77777777" w:rsidR="003155F1" w:rsidRDefault="00694FE2">
      <w:pPr>
        <w:widowControl/>
        <w:ind w:firstLine="720"/>
        <w:jc w:val="both"/>
        <w:rPr>
          <w:sz w:val="20"/>
          <w:szCs w:val="20"/>
        </w:rPr>
      </w:pPr>
      <w:r>
        <w:rPr>
          <w:sz w:val="20"/>
          <w:szCs w:val="20"/>
        </w:rPr>
        <w:t>O ponto de saturação das fibras (PSF) foi estimado a partir da combinação das medições de inchamento e do teor de umidade, em diferentes umidades relativas e em conjunto com a determinação do inchamento máximo em água. A relação entre o teor de umidade e o inchamento é quase constante para diferentes umidades relativas. Multiplicando-se o valor médio desta relação pelo valor máximo de inchamento, determina-se o teor de umidade correspondente ao PSF.</w:t>
      </w:r>
    </w:p>
    <w:p w14:paraId="3065B42F" w14:textId="77777777" w:rsidR="003155F1" w:rsidRDefault="003155F1">
      <w:pPr>
        <w:widowControl/>
        <w:jc w:val="both"/>
        <w:rPr>
          <w:sz w:val="20"/>
          <w:szCs w:val="20"/>
        </w:rPr>
      </w:pPr>
    </w:p>
    <w:p w14:paraId="48BE2A6B" w14:textId="77777777" w:rsidR="003155F1" w:rsidRDefault="00694FE2">
      <w:pPr>
        <w:widowControl/>
        <w:jc w:val="both"/>
        <w:rPr>
          <w:b/>
          <w:sz w:val="20"/>
          <w:szCs w:val="20"/>
        </w:rPr>
      </w:pPr>
      <w:r>
        <w:rPr>
          <w:b/>
          <w:sz w:val="20"/>
          <w:szCs w:val="20"/>
        </w:rPr>
        <w:t>Análise estatística</w:t>
      </w:r>
    </w:p>
    <w:p w14:paraId="426E1F51" w14:textId="77777777" w:rsidR="003155F1" w:rsidRDefault="003155F1">
      <w:pPr>
        <w:widowControl/>
        <w:jc w:val="both"/>
        <w:rPr>
          <w:sz w:val="20"/>
          <w:szCs w:val="20"/>
        </w:rPr>
      </w:pPr>
    </w:p>
    <w:p w14:paraId="15B4351A" w14:textId="77777777" w:rsidR="003155F1" w:rsidRDefault="00694FE2">
      <w:pPr>
        <w:widowControl/>
        <w:jc w:val="both"/>
        <w:rPr>
          <w:sz w:val="20"/>
          <w:szCs w:val="20"/>
        </w:rPr>
      </w:pPr>
      <w:r>
        <w:rPr>
          <w:sz w:val="20"/>
          <w:szCs w:val="20"/>
        </w:rPr>
        <w:tab/>
        <w:t xml:space="preserve">A análise estatística foi realizada no programa STATISTIC 14.0 para verificar o efeito da temperatura, tempo de tratamento e tipo de secagem nas propriedades da madeira. Quando as variáveis dependentes apresentaram distribuição normal e homogeneidade das variâncias, os dados foram submetidos à análise de </w:t>
      </w:r>
      <w:r>
        <w:rPr>
          <w:sz w:val="20"/>
          <w:szCs w:val="20"/>
        </w:rPr>
        <w:lastRenderedPageBreak/>
        <w:t>variância (Anova) utilizando o teste de Tukey a 95% de probabilidade para comparação das médias, se significativo.</w:t>
      </w:r>
    </w:p>
    <w:p w14:paraId="3D65F5A5" w14:textId="77777777" w:rsidR="003155F1" w:rsidRDefault="003155F1">
      <w:pPr>
        <w:widowControl/>
        <w:jc w:val="both"/>
        <w:rPr>
          <w:sz w:val="20"/>
          <w:szCs w:val="20"/>
        </w:rPr>
      </w:pPr>
    </w:p>
    <w:p w14:paraId="0B8D948F" w14:textId="77777777" w:rsidR="003155F1" w:rsidRDefault="00694FE2">
      <w:pPr>
        <w:widowControl/>
        <w:jc w:val="both"/>
        <w:rPr>
          <w:b/>
          <w:sz w:val="20"/>
          <w:szCs w:val="20"/>
        </w:rPr>
      </w:pPr>
      <w:r>
        <w:rPr>
          <w:b/>
          <w:sz w:val="20"/>
          <w:szCs w:val="20"/>
        </w:rPr>
        <w:t>RESULTADOS E DISCUSSÃO</w:t>
      </w:r>
    </w:p>
    <w:p w14:paraId="5188EEB7" w14:textId="16882BC2" w:rsidR="003155F1" w:rsidRDefault="00694FE2">
      <w:pPr>
        <w:widowControl/>
        <w:ind w:firstLine="709"/>
        <w:jc w:val="both"/>
        <w:rPr>
          <w:sz w:val="20"/>
          <w:szCs w:val="20"/>
        </w:rPr>
      </w:pPr>
      <w:r>
        <w:rPr>
          <w:sz w:val="20"/>
          <w:szCs w:val="20"/>
        </w:rPr>
        <w:t>Os maiores WPG da madeira acetilada foram encontrados nos tratamentos a 2 horas com temperatura de 120</w:t>
      </w:r>
      <w:r w:rsidR="004F252D">
        <w:rPr>
          <w:sz w:val="20"/>
          <w:szCs w:val="20"/>
        </w:rPr>
        <w:t xml:space="preserve"> </w:t>
      </w:r>
      <w:r>
        <w:rPr>
          <w:sz w:val="20"/>
          <w:szCs w:val="20"/>
        </w:rPr>
        <w:t>°C enquanto os menores foram observados nos tratamentos a 1 hora com temperaturas de 100 e 120</w:t>
      </w:r>
      <w:r w:rsidR="004F252D">
        <w:rPr>
          <w:sz w:val="20"/>
          <w:szCs w:val="20"/>
        </w:rPr>
        <w:t xml:space="preserve"> </w:t>
      </w:r>
      <w:r>
        <w:rPr>
          <w:sz w:val="20"/>
          <w:szCs w:val="20"/>
        </w:rPr>
        <w:t xml:space="preserve">°C, segundo afirmação de Chai et al. (2017), de que uma temperatura de acetilação mais alta resulta em uma maior extensão de acetilação da madeira. </w:t>
      </w:r>
    </w:p>
    <w:p w14:paraId="0D3AC83D" w14:textId="77777777" w:rsidR="003155F1" w:rsidRDefault="00694FE2">
      <w:pPr>
        <w:widowControl/>
        <w:ind w:firstLine="709"/>
        <w:jc w:val="both"/>
        <w:rPr>
          <w:sz w:val="20"/>
          <w:szCs w:val="20"/>
        </w:rPr>
      </w:pPr>
      <w:r>
        <w:rPr>
          <w:sz w:val="20"/>
          <w:szCs w:val="20"/>
        </w:rPr>
        <w:t xml:space="preserve">Ganho de peso médio de 13,5% foi alcançado em um tempo de reação de 2 h a 120 ºC. Este valor é semelhante aos encontrados por Sun et al. (2019) com madeira de Pinus sp. e superiores aos do </w:t>
      </w:r>
      <w:r>
        <w:rPr>
          <w:i/>
          <w:sz w:val="20"/>
          <w:szCs w:val="20"/>
        </w:rPr>
        <w:t>Pinus radiata</w:t>
      </w:r>
      <w:r>
        <w:rPr>
          <w:sz w:val="20"/>
          <w:szCs w:val="20"/>
        </w:rPr>
        <w:t xml:space="preserve"> acetilado sem catalisador (Sethy et al., 2012), principalmente devido a diferentes processos de acetilação. É comumente conhecido que ao acetilar o cerne, obtém-se um WPG de 12-20%, em comparação com o alburno que pode ter um WPG de 20-25% (Larsson, 2013), e nesta pesquisa não foi possível diferenciar cerne de alburno pois a madeira já processada em forma de sarrafos. </w:t>
      </w:r>
    </w:p>
    <w:p w14:paraId="232072E6" w14:textId="4C3FFB42" w:rsidR="003155F1" w:rsidRDefault="00694FE2">
      <w:pPr>
        <w:widowControl/>
        <w:ind w:firstLine="709"/>
        <w:jc w:val="both"/>
        <w:rPr>
          <w:sz w:val="20"/>
          <w:szCs w:val="20"/>
        </w:rPr>
      </w:pPr>
      <w:r>
        <w:rPr>
          <w:sz w:val="20"/>
          <w:szCs w:val="20"/>
        </w:rPr>
        <w:t>Pré-secagem à vácuo, gerou maiores valores de WPG, quando a madeira foi posteriormente tratada por uma hora nas duas temperaturas testadas. Quando tratadas por duas horas, a pré</w:t>
      </w:r>
      <w:r w:rsidR="004F252D">
        <w:rPr>
          <w:sz w:val="20"/>
          <w:szCs w:val="20"/>
        </w:rPr>
        <w:t>-</w:t>
      </w:r>
      <w:r>
        <w:rPr>
          <w:sz w:val="20"/>
          <w:szCs w:val="20"/>
        </w:rPr>
        <w:t>secagem em estufa convencional gerou maior valor de WPG, com igualdade em ganho de peso quando tratadas por duas horas na temperatura à 120</w:t>
      </w:r>
      <w:r w:rsidR="004F252D">
        <w:rPr>
          <w:sz w:val="20"/>
          <w:szCs w:val="20"/>
        </w:rPr>
        <w:t xml:space="preserve"> </w:t>
      </w:r>
      <w:r>
        <w:rPr>
          <w:sz w:val="20"/>
          <w:szCs w:val="20"/>
        </w:rPr>
        <w:t>°C.</w:t>
      </w:r>
    </w:p>
    <w:p w14:paraId="2EE4B7E0" w14:textId="77777777" w:rsidR="003155F1" w:rsidRDefault="00694FE2">
      <w:pPr>
        <w:widowControl/>
        <w:ind w:firstLine="709"/>
        <w:jc w:val="both"/>
        <w:rPr>
          <w:sz w:val="20"/>
          <w:szCs w:val="20"/>
        </w:rPr>
      </w:pPr>
      <w:r>
        <w:rPr>
          <w:sz w:val="20"/>
          <w:szCs w:val="20"/>
        </w:rPr>
        <w:t>A duração do tratamento também afeta a profundidade com que o anidrido acético penetra na estrutura da madeira. Tratamentos mais prolongados permitem uma penetração mais profunda, garantindo uma acetilação mais uniforme em toda a amostra de madeira (Sargent, 2022).</w:t>
      </w:r>
    </w:p>
    <w:p w14:paraId="176EC972" w14:textId="77777777" w:rsidR="003155F1" w:rsidRDefault="00694FE2">
      <w:pPr>
        <w:widowControl/>
        <w:ind w:firstLine="709"/>
        <w:jc w:val="both"/>
        <w:rPr>
          <w:sz w:val="20"/>
          <w:szCs w:val="20"/>
        </w:rPr>
      </w:pPr>
      <w:r>
        <w:rPr>
          <w:sz w:val="20"/>
          <w:szCs w:val="20"/>
        </w:rPr>
        <w:t xml:space="preserve">Na reação de acetilação, os grupos hidroxílicos presentes nos componentes da parede celular da madeira são convertidos em grupos acetato, que possuem características hidrofóbicas. Essa substituição dos grupos hidroxílicos pelos grupos acetato resulta em uma expansão permanente da madeira (Homan et al., 2000; Stamm, 1964). </w:t>
      </w:r>
    </w:p>
    <w:p w14:paraId="1032CF51" w14:textId="77777777" w:rsidR="003155F1" w:rsidRDefault="003155F1">
      <w:pPr>
        <w:widowControl/>
        <w:ind w:firstLine="709"/>
        <w:jc w:val="both"/>
        <w:rPr>
          <w:sz w:val="20"/>
          <w:szCs w:val="20"/>
        </w:rPr>
      </w:pPr>
    </w:p>
    <w:p w14:paraId="0848130C" w14:textId="3E80698D" w:rsidR="003155F1" w:rsidRDefault="00694FE2">
      <w:pPr>
        <w:jc w:val="both"/>
        <w:rPr>
          <w:sz w:val="20"/>
          <w:szCs w:val="20"/>
        </w:rPr>
      </w:pPr>
      <w:r>
        <w:rPr>
          <w:sz w:val="20"/>
          <w:szCs w:val="20"/>
        </w:rPr>
        <w:t>Tabela 1. Resultados das análises de inchamento volumétrico, tangencial</w:t>
      </w:r>
      <w:r w:rsidR="00793362">
        <w:rPr>
          <w:sz w:val="20"/>
          <w:szCs w:val="20"/>
        </w:rPr>
        <w:t>,</w:t>
      </w:r>
      <w:r>
        <w:rPr>
          <w:sz w:val="20"/>
          <w:szCs w:val="20"/>
        </w:rPr>
        <w:t xml:space="preserve"> radial e umidade de equilíbrio e ponto de saturação das fibras para madeira de Marupá.</w:t>
      </w:r>
    </w:p>
    <w:p w14:paraId="0D5DCA90" w14:textId="77777777" w:rsidR="00713057" w:rsidRDefault="00713057">
      <w:pPr>
        <w:jc w:val="both"/>
        <w:rPr>
          <w:sz w:val="20"/>
          <w:szCs w:val="20"/>
        </w:rPr>
      </w:pPr>
    </w:p>
    <w:tbl>
      <w:tblPr>
        <w:tblW w:w="5000" w:type="pct"/>
        <w:tblCellMar>
          <w:left w:w="70" w:type="dxa"/>
          <w:right w:w="70" w:type="dxa"/>
        </w:tblCellMar>
        <w:tblLook w:val="04A0" w:firstRow="1" w:lastRow="0" w:firstColumn="1" w:lastColumn="0" w:noHBand="0" w:noVBand="1"/>
      </w:tblPr>
      <w:tblGrid>
        <w:gridCol w:w="1370"/>
        <w:gridCol w:w="1203"/>
        <w:gridCol w:w="967"/>
        <w:gridCol w:w="717"/>
        <w:gridCol w:w="670"/>
        <w:gridCol w:w="717"/>
        <w:gridCol w:w="717"/>
        <w:gridCol w:w="686"/>
        <w:gridCol w:w="670"/>
        <w:gridCol w:w="686"/>
        <w:gridCol w:w="672"/>
        <w:tblGridChange w:id="2">
          <w:tblGrid>
            <w:gridCol w:w="1370"/>
            <w:gridCol w:w="1203"/>
            <w:gridCol w:w="967"/>
            <w:gridCol w:w="717"/>
            <w:gridCol w:w="670"/>
            <w:gridCol w:w="717"/>
            <w:gridCol w:w="717"/>
            <w:gridCol w:w="686"/>
            <w:gridCol w:w="670"/>
            <w:gridCol w:w="686"/>
            <w:gridCol w:w="672"/>
          </w:tblGrid>
        </w:tblGridChange>
      </w:tblGrid>
      <w:tr w:rsidR="00FC5B14" w:rsidRPr="009849D1" w14:paraId="34704500" w14:textId="77777777" w:rsidTr="009849D1">
        <w:trPr>
          <w:trHeight w:val="300"/>
        </w:trPr>
        <w:tc>
          <w:tcPr>
            <w:tcW w:w="755" w:type="pct"/>
            <w:vMerge w:val="restart"/>
            <w:tcBorders>
              <w:top w:val="single" w:sz="4" w:space="0" w:color="auto"/>
              <w:left w:val="nil"/>
              <w:bottom w:val="single" w:sz="4" w:space="0" w:color="000000"/>
              <w:right w:val="single" w:sz="4" w:space="0" w:color="auto"/>
            </w:tcBorders>
            <w:shd w:val="clear" w:color="auto" w:fill="auto"/>
            <w:noWrap/>
            <w:vAlign w:val="center"/>
            <w:hideMark/>
          </w:tcPr>
          <w:p w14:paraId="767B139A" w14:textId="77777777" w:rsidR="009849D1" w:rsidRPr="00FC5B14" w:rsidRDefault="009849D1" w:rsidP="009849D1">
            <w:pPr>
              <w:widowControl/>
              <w:jc w:val="center"/>
              <w:rPr>
                <w:color w:val="000000"/>
                <w:sz w:val="18"/>
                <w:szCs w:val="18"/>
                <w:lang w:bidi="ar-SA"/>
              </w:rPr>
            </w:pPr>
            <w:r w:rsidRPr="00FC5B14">
              <w:rPr>
                <w:color w:val="000000"/>
                <w:sz w:val="18"/>
                <w:szCs w:val="18"/>
                <w:lang w:bidi="ar-SA"/>
              </w:rPr>
              <w:t>Propriedades</w:t>
            </w:r>
          </w:p>
        </w:tc>
        <w:tc>
          <w:tcPr>
            <w:tcW w:w="6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BF620" w14:textId="0410A89A" w:rsidR="009849D1" w:rsidRPr="00FC5B14" w:rsidRDefault="009849D1" w:rsidP="009849D1">
            <w:pPr>
              <w:widowControl/>
              <w:jc w:val="center"/>
              <w:rPr>
                <w:color w:val="000000"/>
                <w:sz w:val="18"/>
                <w:szCs w:val="18"/>
                <w:lang w:bidi="ar-SA"/>
              </w:rPr>
            </w:pPr>
            <w:r w:rsidRPr="00FC5B14">
              <w:rPr>
                <w:color w:val="000000"/>
                <w:sz w:val="18"/>
                <w:szCs w:val="18"/>
                <w:lang w:bidi="ar-SA"/>
              </w:rPr>
              <w:t>Estatísticas</w:t>
            </w:r>
          </w:p>
        </w:tc>
        <w:tc>
          <w:tcPr>
            <w:tcW w:w="53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E1B24" w14:textId="77777777" w:rsidR="009849D1" w:rsidRPr="00FC5B14" w:rsidRDefault="009849D1" w:rsidP="009849D1">
            <w:pPr>
              <w:widowControl/>
              <w:jc w:val="center"/>
              <w:rPr>
                <w:color w:val="000000"/>
                <w:sz w:val="18"/>
                <w:szCs w:val="18"/>
                <w:lang w:bidi="ar-SA"/>
              </w:rPr>
            </w:pPr>
            <w:r w:rsidRPr="00FC5B14">
              <w:rPr>
                <w:color w:val="000000"/>
                <w:sz w:val="18"/>
                <w:szCs w:val="18"/>
                <w:lang w:bidi="ar-SA"/>
              </w:rPr>
              <w:t>Controle</w:t>
            </w:r>
          </w:p>
        </w:tc>
        <w:tc>
          <w:tcPr>
            <w:tcW w:w="1554" w:type="pct"/>
            <w:gridSpan w:val="4"/>
            <w:tcBorders>
              <w:top w:val="single" w:sz="4" w:space="0" w:color="auto"/>
              <w:left w:val="nil"/>
              <w:bottom w:val="single" w:sz="4" w:space="0" w:color="auto"/>
              <w:right w:val="single" w:sz="4" w:space="0" w:color="auto"/>
            </w:tcBorders>
            <w:shd w:val="clear" w:color="auto" w:fill="auto"/>
            <w:noWrap/>
            <w:vAlign w:val="bottom"/>
            <w:hideMark/>
          </w:tcPr>
          <w:p w14:paraId="52341509" w14:textId="77777777" w:rsidR="009849D1" w:rsidRPr="00FC5B14" w:rsidRDefault="009849D1" w:rsidP="009849D1">
            <w:pPr>
              <w:widowControl/>
              <w:jc w:val="center"/>
              <w:rPr>
                <w:color w:val="000000"/>
                <w:sz w:val="18"/>
                <w:szCs w:val="18"/>
                <w:lang w:bidi="ar-SA"/>
              </w:rPr>
            </w:pPr>
            <w:r w:rsidRPr="00FC5B14">
              <w:rPr>
                <w:color w:val="000000"/>
                <w:sz w:val="18"/>
                <w:szCs w:val="18"/>
                <w:lang w:bidi="ar-SA"/>
              </w:rPr>
              <w:t>1 hora</w:t>
            </w:r>
          </w:p>
        </w:tc>
        <w:tc>
          <w:tcPr>
            <w:tcW w:w="1495" w:type="pct"/>
            <w:gridSpan w:val="4"/>
            <w:tcBorders>
              <w:top w:val="single" w:sz="4" w:space="0" w:color="auto"/>
              <w:left w:val="single" w:sz="4" w:space="0" w:color="auto"/>
              <w:bottom w:val="single" w:sz="4" w:space="0" w:color="auto"/>
            </w:tcBorders>
            <w:shd w:val="clear" w:color="auto" w:fill="auto"/>
            <w:noWrap/>
            <w:vAlign w:val="bottom"/>
            <w:hideMark/>
          </w:tcPr>
          <w:p w14:paraId="3317D5C2" w14:textId="77777777" w:rsidR="009849D1" w:rsidRPr="00FC5B14" w:rsidRDefault="009849D1" w:rsidP="009849D1">
            <w:pPr>
              <w:widowControl/>
              <w:jc w:val="center"/>
              <w:rPr>
                <w:color w:val="000000"/>
                <w:sz w:val="18"/>
                <w:szCs w:val="18"/>
                <w:lang w:bidi="ar-SA"/>
              </w:rPr>
            </w:pPr>
            <w:r w:rsidRPr="00FC5B14">
              <w:rPr>
                <w:color w:val="000000"/>
                <w:sz w:val="18"/>
                <w:szCs w:val="18"/>
                <w:lang w:bidi="ar-SA"/>
              </w:rPr>
              <w:t>2 horas</w:t>
            </w:r>
          </w:p>
        </w:tc>
      </w:tr>
      <w:tr w:rsidR="00FC5B14" w:rsidRPr="009849D1" w14:paraId="6F92F183" w14:textId="77777777" w:rsidTr="009849D1">
        <w:trPr>
          <w:trHeight w:val="300"/>
        </w:trPr>
        <w:tc>
          <w:tcPr>
            <w:tcW w:w="755" w:type="pct"/>
            <w:vMerge/>
            <w:tcBorders>
              <w:top w:val="single" w:sz="4" w:space="0" w:color="000000"/>
              <w:left w:val="nil"/>
              <w:bottom w:val="single" w:sz="4" w:space="0" w:color="000000"/>
              <w:right w:val="single" w:sz="4" w:space="0" w:color="auto"/>
            </w:tcBorders>
            <w:vAlign w:val="center"/>
            <w:hideMark/>
          </w:tcPr>
          <w:p w14:paraId="5213DC74" w14:textId="77777777" w:rsidR="009849D1" w:rsidRPr="00FC5B14" w:rsidRDefault="009849D1" w:rsidP="009849D1">
            <w:pPr>
              <w:widowControl/>
              <w:rPr>
                <w:color w:val="000000"/>
                <w:sz w:val="18"/>
                <w:szCs w:val="18"/>
                <w:lang w:bidi="ar-SA"/>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5EFD249B" w14:textId="77777777" w:rsidR="009849D1" w:rsidRPr="00FC5B14" w:rsidRDefault="009849D1" w:rsidP="009849D1">
            <w:pPr>
              <w:widowControl/>
              <w:rPr>
                <w:color w:val="000000"/>
                <w:sz w:val="18"/>
                <w:szCs w:val="18"/>
                <w:lang w:bidi="ar-SA"/>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30723FAD" w14:textId="77777777" w:rsidR="009849D1" w:rsidRPr="00FC5B14" w:rsidRDefault="009849D1" w:rsidP="009849D1">
            <w:pPr>
              <w:widowControl/>
              <w:rPr>
                <w:color w:val="000000"/>
                <w:sz w:val="18"/>
                <w:szCs w:val="18"/>
                <w:lang w:bidi="ar-SA"/>
              </w:rPr>
            </w:pPr>
          </w:p>
        </w:tc>
        <w:tc>
          <w:tcPr>
            <w:tcW w:w="764" w:type="pct"/>
            <w:gridSpan w:val="2"/>
            <w:tcBorders>
              <w:top w:val="single" w:sz="4" w:space="0" w:color="auto"/>
              <w:left w:val="nil"/>
              <w:bottom w:val="single" w:sz="4" w:space="0" w:color="auto"/>
              <w:right w:val="single" w:sz="4" w:space="0" w:color="auto"/>
            </w:tcBorders>
            <w:shd w:val="clear" w:color="auto" w:fill="auto"/>
            <w:noWrap/>
            <w:vAlign w:val="bottom"/>
            <w:hideMark/>
          </w:tcPr>
          <w:p w14:paraId="2A01A2DF" w14:textId="77777777" w:rsidR="009849D1" w:rsidRPr="00FC5B14" w:rsidRDefault="009849D1" w:rsidP="009849D1">
            <w:pPr>
              <w:widowControl/>
              <w:jc w:val="center"/>
              <w:rPr>
                <w:color w:val="000000"/>
                <w:sz w:val="18"/>
                <w:szCs w:val="18"/>
                <w:lang w:bidi="ar-SA"/>
              </w:rPr>
            </w:pPr>
            <w:r w:rsidRPr="00FC5B14">
              <w:rPr>
                <w:color w:val="000000"/>
                <w:sz w:val="18"/>
                <w:szCs w:val="18"/>
                <w:lang w:bidi="ar-SA"/>
              </w:rPr>
              <w:t>100°C</w:t>
            </w:r>
          </w:p>
        </w:tc>
        <w:tc>
          <w:tcPr>
            <w:tcW w:w="790" w:type="pct"/>
            <w:gridSpan w:val="2"/>
            <w:tcBorders>
              <w:top w:val="single" w:sz="4" w:space="0" w:color="auto"/>
              <w:left w:val="nil"/>
              <w:bottom w:val="single" w:sz="4" w:space="0" w:color="auto"/>
              <w:right w:val="single" w:sz="4" w:space="0" w:color="auto"/>
            </w:tcBorders>
            <w:shd w:val="clear" w:color="auto" w:fill="auto"/>
            <w:noWrap/>
            <w:vAlign w:val="bottom"/>
            <w:hideMark/>
          </w:tcPr>
          <w:p w14:paraId="1BD20261" w14:textId="77777777" w:rsidR="009849D1" w:rsidRPr="00FC5B14" w:rsidRDefault="009849D1" w:rsidP="009849D1">
            <w:pPr>
              <w:widowControl/>
              <w:jc w:val="center"/>
              <w:rPr>
                <w:color w:val="000000"/>
                <w:sz w:val="18"/>
                <w:szCs w:val="18"/>
                <w:lang w:bidi="ar-SA"/>
              </w:rPr>
            </w:pPr>
            <w:r w:rsidRPr="00FC5B14">
              <w:rPr>
                <w:color w:val="000000"/>
                <w:sz w:val="18"/>
                <w:szCs w:val="18"/>
                <w:lang w:bidi="ar-SA"/>
              </w:rPr>
              <w:t>120°C</w:t>
            </w:r>
          </w:p>
        </w:tc>
        <w:tc>
          <w:tcPr>
            <w:tcW w:w="747" w:type="pct"/>
            <w:gridSpan w:val="2"/>
            <w:tcBorders>
              <w:top w:val="single" w:sz="4" w:space="0" w:color="auto"/>
              <w:left w:val="nil"/>
              <w:bottom w:val="single" w:sz="4" w:space="0" w:color="auto"/>
              <w:right w:val="single" w:sz="4" w:space="0" w:color="auto"/>
            </w:tcBorders>
            <w:shd w:val="clear" w:color="auto" w:fill="auto"/>
            <w:noWrap/>
            <w:vAlign w:val="bottom"/>
            <w:hideMark/>
          </w:tcPr>
          <w:p w14:paraId="62B21402" w14:textId="77777777" w:rsidR="009849D1" w:rsidRPr="00FC5B14" w:rsidRDefault="009849D1" w:rsidP="009849D1">
            <w:pPr>
              <w:widowControl/>
              <w:jc w:val="center"/>
              <w:rPr>
                <w:color w:val="000000"/>
                <w:sz w:val="18"/>
                <w:szCs w:val="18"/>
                <w:lang w:bidi="ar-SA"/>
              </w:rPr>
            </w:pPr>
            <w:r w:rsidRPr="00FC5B14">
              <w:rPr>
                <w:color w:val="000000"/>
                <w:sz w:val="18"/>
                <w:szCs w:val="18"/>
                <w:lang w:bidi="ar-SA"/>
              </w:rPr>
              <w:t>100°C</w:t>
            </w:r>
          </w:p>
        </w:tc>
        <w:tc>
          <w:tcPr>
            <w:tcW w:w="748" w:type="pct"/>
            <w:gridSpan w:val="2"/>
            <w:tcBorders>
              <w:left w:val="single" w:sz="4" w:space="0" w:color="auto"/>
              <w:bottom w:val="single" w:sz="4" w:space="0" w:color="auto"/>
            </w:tcBorders>
            <w:shd w:val="clear" w:color="auto" w:fill="auto"/>
            <w:noWrap/>
            <w:vAlign w:val="bottom"/>
            <w:hideMark/>
          </w:tcPr>
          <w:p w14:paraId="64B68995" w14:textId="77777777" w:rsidR="009849D1" w:rsidRPr="00FC5B14" w:rsidRDefault="009849D1" w:rsidP="009849D1">
            <w:pPr>
              <w:widowControl/>
              <w:jc w:val="center"/>
              <w:rPr>
                <w:color w:val="000000"/>
                <w:sz w:val="18"/>
                <w:szCs w:val="18"/>
                <w:lang w:bidi="ar-SA"/>
              </w:rPr>
            </w:pPr>
            <w:r w:rsidRPr="00FC5B14">
              <w:rPr>
                <w:color w:val="000000"/>
                <w:sz w:val="18"/>
                <w:szCs w:val="18"/>
                <w:lang w:bidi="ar-SA"/>
              </w:rPr>
              <w:t>120°C</w:t>
            </w:r>
          </w:p>
        </w:tc>
      </w:tr>
      <w:tr w:rsidR="00FC5B14" w:rsidRPr="009849D1" w14:paraId="7BF86900" w14:textId="77777777" w:rsidTr="009849D1">
        <w:trPr>
          <w:trHeight w:val="315"/>
        </w:trPr>
        <w:tc>
          <w:tcPr>
            <w:tcW w:w="755" w:type="pct"/>
            <w:vMerge/>
            <w:tcBorders>
              <w:top w:val="single" w:sz="4" w:space="0" w:color="auto"/>
              <w:left w:val="nil"/>
              <w:bottom w:val="single" w:sz="4" w:space="0" w:color="000000"/>
              <w:right w:val="single" w:sz="4" w:space="0" w:color="auto"/>
            </w:tcBorders>
            <w:vAlign w:val="center"/>
            <w:hideMark/>
          </w:tcPr>
          <w:p w14:paraId="42C98475" w14:textId="77777777" w:rsidR="009849D1" w:rsidRPr="00FC5B14" w:rsidRDefault="009849D1" w:rsidP="009849D1">
            <w:pPr>
              <w:widowControl/>
              <w:rPr>
                <w:color w:val="000000"/>
                <w:sz w:val="18"/>
                <w:szCs w:val="18"/>
                <w:lang w:bidi="ar-SA"/>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47EB4C61" w14:textId="77777777" w:rsidR="009849D1" w:rsidRPr="00FC5B14" w:rsidRDefault="009849D1" w:rsidP="009849D1">
            <w:pPr>
              <w:widowControl/>
              <w:rPr>
                <w:color w:val="000000"/>
                <w:sz w:val="18"/>
                <w:szCs w:val="18"/>
                <w:lang w:bidi="ar-SA"/>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28DDF0D8" w14:textId="77777777" w:rsidR="009849D1" w:rsidRPr="00FC5B14" w:rsidRDefault="009849D1" w:rsidP="009849D1">
            <w:pPr>
              <w:widowControl/>
              <w:rPr>
                <w:color w:val="000000"/>
                <w:sz w:val="18"/>
                <w:szCs w:val="18"/>
                <w:lang w:bidi="ar-SA"/>
              </w:rPr>
            </w:pPr>
          </w:p>
        </w:tc>
        <w:tc>
          <w:tcPr>
            <w:tcW w:w="395" w:type="pct"/>
            <w:tcBorders>
              <w:top w:val="single" w:sz="4" w:space="0" w:color="auto"/>
              <w:left w:val="nil"/>
              <w:bottom w:val="single" w:sz="4" w:space="0" w:color="auto"/>
              <w:right w:val="single" w:sz="4" w:space="0" w:color="auto"/>
            </w:tcBorders>
            <w:shd w:val="clear" w:color="auto" w:fill="auto"/>
            <w:vAlign w:val="center"/>
            <w:hideMark/>
          </w:tcPr>
          <w:p w14:paraId="656D4C82" w14:textId="77777777" w:rsidR="009849D1" w:rsidRPr="00FC5B14" w:rsidRDefault="009849D1" w:rsidP="009849D1">
            <w:pPr>
              <w:widowControl/>
              <w:jc w:val="center"/>
              <w:rPr>
                <w:color w:val="000000"/>
                <w:sz w:val="18"/>
                <w:szCs w:val="18"/>
                <w:lang w:bidi="ar-SA"/>
              </w:rPr>
            </w:pPr>
            <w:r w:rsidRPr="00FC5B14">
              <w:rPr>
                <w:color w:val="000000"/>
                <w:sz w:val="18"/>
                <w:szCs w:val="18"/>
                <w:lang w:bidi="ar-SA"/>
              </w:rPr>
              <w:t>105 ºC</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D005A" w14:textId="77777777" w:rsidR="009849D1" w:rsidRPr="00FC5B14" w:rsidRDefault="009849D1" w:rsidP="009849D1">
            <w:pPr>
              <w:widowControl/>
              <w:jc w:val="center"/>
              <w:rPr>
                <w:color w:val="000000"/>
                <w:sz w:val="18"/>
                <w:szCs w:val="18"/>
                <w:lang w:bidi="ar-SA"/>
              </w:rPr>
            </w:pPr>
            <w:r w:rsidRPr="00FC5B14">
              <w:rPr>
                <w:color w:val="000000"/>
                <w:sz w:val="18"/>
                <w:szCs w:val="18"/>
                <w:lang w:bidi="ar-SA"/>
              </w:rPr>
              <w:t>Vácuo</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A35077" w14:textId="77777777" w:rsidR="009849D1" w:rsidRPr="00FC5B14" w:rsidRDefault="009849D1" w:rsidP="009849D1">
            <w:pPr>
              <w:widowControl/>
              <w:jc w:val="center"/>
              <w:rPr>
                <w:color w:val="000000"/>
                <w:sz w:val="18"/>
                <w:szCs w:val="18"/>
                <w:lang w:bidi="ar-SA"/>
              </w:rPr>
            </w:pPr>
            <w:r w:rsidRPr="00FC5B14">
              <w:rPr>
                <w:color w:val="000000"/>
                <w:sz w:val="18"/>
                <w:szCs w:val="18"/>
                <w:lang w:bidi="ar-SA"/>
              </w:rPr>
              <w:t>105 ºC</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52C1EB" w14:textId="77777777" w:rsidR="009849D1" w:rsidRPr="00FC5B14" w:rsidRDefault="009849D1" w:rsidP="009849D1">
            <w:pPr>
              <w:widowControl/>
              <w:jc w:val="center"/>
              <w:rPr>
                <w:color w:val="000000"/>
                <w:sz w:val="18"/>
                <w:szCs w:val="18"/>
                <w:lang w:bidi="ar-SA"/>
              </w:rPr>
            </w:pPr>
            <w:r w:rsidRPr="00FC5B14">
              <w:rPr>
                <w:color w:val="000000"/>
                <w:sz w:val="18"/>
                <w:szCs w:val="18"/>
                <w:lang w:bidi="ar-SA"/>
              </w:rPr>
              <w:t>Vácuo</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E6224B" w14:textId="77777777" w:rsidR="009849D1" w:rsidRPr="00FC5B14" w:rsidRDefault="009849D1" w:rsidP="009849D1">
            <w:pPr>
              <w:widowControl/>
              <w:jc w:val="center"/>
              <w:rPr>
                <w:color w:val="000000"/>
                <w:sz w:val="18"/>
                <w:szCs w:val="18"/>
                <w:lang w:bidi="ar-SA"/>
              </w:rPr>
            </w:pPr>
            <w:r w:rsidRPr="00FC5B14">
              <w:rPr>
                <w:color w:val="000000"/>
                <w:sz w:val="18"/>
                <w:szCs w:val="18"/>
                <w:lang w:bidi="ar-SA"/>
              </w:rPr>
              <w:t>105 ºC</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BE93DB" w14:textId="77777777" w:rsidR="009849D1" w:rsidRPr="00FC5B14" w:rsidRDefault="009849D1" w:rsidP="009849D1">
            <w:pPr>
              <w:widowControl/>
              <w:jc w:val="center"/>
              <w:rPr>
                <w:color w:val="000000"/>
                <w:sz w:val="18"/>
                <w:szCs w:val="18"/>
                <w:lang w:bidi="ar-SA"/>
              </w:rPr>
            </w:pPr>
            <w:r w:rsidRPr="00FC5B14">
              <w:rPr>
                <w:color w:val="000000"/>
                <w:sz w:val="18"/>
                <w:szCs w:val="18"/>
                <w:lang w:bidi="ar-SA"/>
              </w:rPr>
              <w:t>Vácuo</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3AEEBB" w14:textId="77777777" w:rsidR="009849D1" w:rsidRPr="00FC5B14" w:rsidRDefault="009849D1" w:rsidP="009849D1">
            <w:pPr>
              <w:widowControl/>
              <w:jc w:val="center"/>
              <w:rPr>
                <w:color w:val="000000"/>
                <w:sz w:val="18"/>
                <w:szCs w:val="18"/>
                <w:lang w:bidi="ar-SA"/>
              </w:rPr>
            </w:pPr>
            <w:r w:rsidRPr="00FC5B14">
              <w:rPr>
                <w:color w:val="000000"/>
                <w:sz w:val="18"/>
                <w:szCs w:val="18"/>
                <w:lang w:bidi="ar-SA"/>
              </w:rPr>
              <w:t>105 ºC</w:t>
            </w:r>
          </w:p>
        </w:tc>
        <w:tc>
          <w:tcPr>
            <w:tcW w:w="370" w:type="pct"/>
            <w:tcBorders>
              <w:top w:val="single" w:sz="4" w:space="0" w:color="auto"/>
              <w:left w:val="single" w:sz="4" w:space="0" w:color="auto"/>
              <w:bottom w:val="single" w:sz="4" w:space="0" w:color="auto"/>
            </w:tcBorders>
            <w:shd w:val="clear" w:color="auto" w:fill="auto"/>
            <w:vAlign w:val="center"/>
            <w:hideMark/>
          </w:tcPr>
          <w:p w14:paraId="75E56248" w14:textId="77777777" w:rsidR="009849D1" w:rsidRPr="00FC5B14" w:rsidRDefault="009849D1" w:rsidP="009849D1">
            <w:pPr>
              <w:widowControl/>
              <w:jc w:val="center"/>
              <w:rPr>
                <w:color w:val="000000"/>
                <w:sz w:val="18"/>
                <w:szCs w:val="18"/>
                <w:lang w:bidi="ar-SA"/>
              </w:rPr>
            </w:pPr>
            <w:r w:rsidRPr="00FC5B14">
              <w:rPr>
                <w:color w:val="000000"/>
                <w:sz w:val="18"/>
                <w:szCs w:val="18"/>
                <w:lang w:bidi="ar-SA"/>
              </w:rPr>
              <w:t>Vácuo</w:t>
            </w:r>
          </w:p>
        </w:tc>
      </w:tr>
      <w:tr w:rsidR="00FC5B14" w:rsidRPr="009849D1" w14:paraId="5E50EB1F" w14:textId="77777777" w:rsidTr="009849D1">
        <w:trPr>
          <w:trHeight w:val="300"/>
        </w:trPr>
        <w:tc>
          <w:tcPr>
            <w:tcW w:w="755" w:type="pct"/>
            <w:vMerge w:val="restart"/>
            <w:tcBorders>
              <w:top w:val="single" w:sz="4" w:space="0" w:color="auto"/>
              <w:left w:val="nil"/>
              <w:bottom w:val="single" w:sz="4" w:space="0" w:color="000000"/>
              <w:right w:val="nil"/>
            </w:tcBorders>
            <w:shd w:val="clear" w:color="auto" w:fill="auto"/>
            <w:vAlign w:val="center"/>
            <w:hideMark/>
          </w:tcPr>
          <w:p w14:paraId="03E12728"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 xml:space="preserve">Є </w:t>
            </w:r>
            <w:proofErr w:type="spellStart"/>
            <w:r w:rsidRPr="009849D1">
              <w:rPr>
                <w:color w:val="000000"/>
                <w:sz w:val="18"/>
                <w:szCs w:val="18"/>
                <w:lang w:bidi="ar-SA"/>
              </w:rPr>
              <w:t>voL</w:t>
            </w:r>
            <w:proofErr w:type="spellEnd"/>
          </w:p>
        </w:tc>
        <w:tc>
          <w:tcPr>
            <w:tcW w:w="663" w:type="pct"/>
            <w:tcBorders>
              <w:top w:val="single" w:sz="4" w:space="0" w:color="auto"/>
              <w:left w:val="nil"/>
              <w:bottom w:val="nil"/>
              <w:right w:val="nil"/>
            </w:tcBorders>
            <w:shd w:val="clear" w:color="auto" w:fill="auto"/>
            <w:vAlign w:val="center"/>
            <w:hideMark/>
          </w:tcPr>
          <w:p w14:paraId="6FA7CA46" w14:textId="77777777" w:rsidR="009849D1" w:rsidRPr="009849D1" w:rsidRDefault="009849D1" w:rsidP="00FC5B14">
            <w:pPr>
              <w:widowControl/>
              <w:jc w:val="center"/>
              <w:rPr>
                <w:color w:val="000000"/>
                <w:sz w:val="18"/>
                <w:szCs w:val="18"/>
                <w:lang w:bidi="ar-SA"/>
              </w:rPr>
            </w:pPr>
            <w:r w:rsidRPr="009849D1">
              <w:rPr>
                <w:color w:val="000000"/>
                <w:sz w:val="18"/>
                <w:szCs w:val="18"/>
                <w:lang w:bidi="ar-SA"/>
              </w:rPr>
              <w:t>média</w:t>
            </w:r>
          </w:p>
        </w:tc>
        <w:tc>
          <w:tcPr>
            <w:tcW w:w="533" w:type="pct"/>
            <w:tcBorders>
              <w:top w:val="single" w:sz="4" w:space="0" w:color="auto"/>
              <w:left w:val="nil"/>
              <w:bottom w:val="nil"/>
              <w:right w:val="nil"/>
            </w:tcBorders>
            <w:shd w:val="clear" w:color="auto" w:fill="auto"/>
            <w:vAlign w:val="center"/>
            <w:hideMark/>
          </w:tcPr>
          <w:p w14:paraId="1307C7BC"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4,69</w:t>
            </w:r>
            <w:r w:rsidRPr="009849D1">
              <w:rPr>
                <w:color w:val="000000"/>
                <w:sz w:val="18"/>
                <w:szCs w:val="18"/>
                <w:vertAlign w:val="superscript"/>
                <w:lang w:bidi="ar-SA"/>
              </w:rPr>
              <w:t>a</w:t>
            </w:r>
          </w:p>
        </w:tc>
        <w:tc>
          <w:tcPr>
            <w:tcW w:w="395" w:type="pct"/>
            <w:tcBorders>
              <w:top w:val="single" w:sz="4" w:space="0" w:color="auto"/>
              <w:left w:val="nil"/>
              <w:bottom w:val="nil"/>
              <w:right w:val="nil"/>
            </w:tcBorders>
            <w:shd w:val="clear" w:color="auto" w:fill="auto"/>
            <w:vAlign w:val="center"/>
            <w:hideMark/>
          </w:tcPr>
          <w:p w14:paraId="2C8624C8"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 xml:space="preserve">2,00 </w:t>
            </w:r>
            <w:r w:rsidRPr="009849D1">
              <w:rPr>
                <w:color w:val="000000"/>
                <w:sz w:val="18"/>
                <w:szCs w:val="18"/>
                <w:vertAlign w:val="superscript"/>
                <w:lang w:bidi="ar-SA"/>
              </w:rPr>
              <w:t>bcd</w:t>
            </w:r>
          </w:p>
        </w:tc>
        <w:tc>
          <w:tcPr>
            <w:tcW w:w="369" w:type="pct"/>
            <w:tcBorders>
              <w:top w:val="single" w:sz="4" w:space="0" w:color="auto"/>
              <w:left w:val="nil"/>
              <w:bottom w:val="nil"/>
              <w:right w:val="nil"/>
            </w:tcBorders>
            <w:shd w:val="clear" w:color="auto" w:fill="auto"/>
            <w:vAlign w:val="center"/>
            <w:hideMark/>
          </w:tcPr>
          <w:p w14:paraId="313DC9F3"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 xml:space="preserve">1,66 </w:t>
            </w:r>
            <w:r w:rsidRPr="009849D1">
              <w:rPr>
                <w:color w:val="000000"/>
                <w:sz w:val="18"/>
                <w:szCs w:val="18"/>
                <w:vertAlign w:val="superscript"/>
                <w:lang w:bidi="ar-SA"/>
              </w:rPr>
              <w:t>cd</w:t>
            </w:r>
          </w:p>
        </w:tc>
        <w:tc>
          <w:tcPr>
            <w:tcW w:w="395" w:type="pct"/>
            <w:tcBorders>
              <w:top w:val="single" w:sz="4" w:space="0" w:color="auto"/>
              <w:left w:val="nil"/>
              <w:bottom w:val="nil"/>
              <w:right w:val="nil"/>
            </w:tcBorders>
            <w:shd w:val="clear" w:color="auto" w:fill="auto"/>
            <w:vAlign w:val="center"/>
            <w:hideMark/>
          </w:tcPr>
          <w:p w14:paraId="2A793915"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 xml:space="preserve">1,78 </w:t>
            </w:r>
            <w:r w:rsidRPr="009849D1">
              <w:rPr>
                <w:color w:val="000000"/>
                <w:sz w:val="18"/>
                <w:szCs w:val="18"/>
                <w:vertAlign w:val="superscript"/>
                <w:lang w:bidi="ar-SA"/>
              </w:rPr>
              <w:t>bcd</w:t>
            </w:r>
          </w:p>
        </w:tc>
        <w:tc>
          <w:tcPr>
            <w:tcW w:w="395" w:type="pct"/>
            <w:tcBorders>
              <w:top w:val="single" w:sz="4" w:space="0" w:color="auto"/>
              <w:left w:val="nil"/>
              <w:bottom w:val="nil"/>
              <w:right w:val="nil"/>
            </w:tcBorders>
            <w:shd w:val="clear" w:color="auto" w:fill="auto"/>
            <w:vAlign w:val="center"/>
            <w:hideMark/>
          </w:tcPr>
          <w:p w14:paraId="078FB140"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 xml:space="preserve">1,71 </w:t>
            </w:r>
            <w:r w:rsidRPr="009849D1">
              <w:rPr>
                <w:color w:val="000000"/>
                <w:sz w:val="18"/>
                <w:szCs w:val="18"/>
                <w:vertAlign w:val="superscript"/>
                <w:lang w:bidi="ar-SA"/>
              </w:rPr>
              <w:t>bcd</w:t>
            </w:r>
          </w:p>
        </w:tc>
        <w:tc>
          <w:tcPr>
            <w:tcW w:w="378" w:type="pct"/>
            <w:tcBorders>
              <w:top w:val="single" w:sz="4" w:space="0" w:color="auto"/>
              <w:left w:val="nil"/>
              <w:bottom w:val="nil"/>
              <w:right w:val="nil"/>
            </w:tcBorders>
            <w:shd w:val="clear" w:color="auto" w:fill="auto"/>
            <w:vAlign w:val="center"/>
            <w:hideMark/>
          </w:tcPr>
          <w:p w14:paraId="2E8F96D4"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 xml:space="preserve">1,41 </w:t>
            </w:r>
            <w:r w:rsidRPr="009849D1">
              <w:rPr>
                <w:color w:val="000000"/>
                <w:sz w:val="18"/>
                <w:szCs w:val="18"/>
                <w:vertAlign w:val="superscript"/>
                <w:lang w:bidi="ar-SA"/>
              </w:rPr>
              <w:t>de</w:t>
            </w:r>
          </w:p>
        </w:tc>
        <w:tc>
          <w:tcPr>
            <w:tcW w:w="369" w:type="pct"/>
            <w:tcBorders>
              <w:top w:val="single" w:sz="4" w:space="0" w:color="auto"/>
              <w:left w:val="nil"/>
              <w:bottom w:val="nil"/>
              <w:right w:val="nil"/>
            </w:tcBorders>
            <w:shd w:val="clear" w:color="auto" w:fill="auto"/>
            <w:vAlign w:val="center"/>
            <w:hideMark/>
          </w:tcPr>
          <w:p w14:paraId="559A0DCB"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 xml:space="preserve">1,46 </w:t>
            </w:r>
            <w:r w:rsidRPr="009849D1">
              <w:rPr>
                <w:color w:val="000000"/>
                <w:sz w:val="18"/>
                <w:szCs w:val="18"/>
                <w:vertAlign w:val="superscript"/>
                <w:lang w:bidi="ar-SA"/>
              </w:rPr>
              <w:t>de</w:t>
            </w:r>
          </w:p>
        </w:tc>
        <w:tc>
          <w:tcPr>
            <w:tcW w:w="378" w:type="pct"/>
            <w:tcBorders>
              <w:top w:val="single" w:sz="4" w:space="0" w:color="auto"/>
              <w:left w:val="nil"/>
              <w:bottom w:val="nil"/>
              <w:right w:val="nil"/>
            </w:tcBorders>
            <w:shd w:val="clear" w:color="auto" w:fill="auto"/>
            <w:vAlign w:val="center"/>
            <w:hideMark/>
          </w:tcPr>
          <w:p w14:paraId="1210093A"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 xml:space="preserve">1,05 </w:t>
            </w:r>
            <w:r w:rsidRPr="009849D1">
              <w:rPr>
                <w:color w:val="000000"/>
                <w:sz w:val="18"/>
                <w:szCs w:val="18"/>
                <w:vertAlign w:val="superscript"/>
                <w:lang w:bidi="ar-SA"/>
              </w:rPr>
              <w:t>f</w:t>
            </w:r>
          </w:p>
        </w:tc>
        <w:tc>
          <w:tcPr>
            <w:tcW w:w="370" w:type="pct"/>
            <w:tcBorders>
              <w:top w:val="single" w:sz="4" w:space="0" w:color="auto"/>
              <w:left w:val="nil"/>
              <w:bottom w:val="nil"/>
              <w:right w:val="nil"/>
            </w:tcBorders>
            <w:shd w:val="clear" w:color="auto" w:fill="auto"/>
            <w:vAlign w:val="center"/>
            <w:hideMark/>
          </w:tcPr>
          <w:p w14:paraId="0C3EBFCE"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 xml:space="preserve">1,13 </w:t>
            </w:r>
            <w:r w:rsidRPr="009849D1">
              <w:rPr>
                <w:color w:val="000000"/>
                <w:sz w:val="18"/>
                <w:szCs w:val="18"/>
                <w:vertAlign w:val="superscript"/>
                <w:lang w:bidi="ar-SA"/>
              </w:rPr>
              <w:t>f</w:t>
            </w:r>
          </w:p>
        </w:tc>
      </w:tr>
      <w:tr w:rsidR="00FC5B14" w:rsidRPr="009849D1" w14:paraId="5F30A694" w14:textId="77777777" w:rsidTr="009849D1">
        <w:trPr>
          <w:trHeight w:val="315"/>
        </w:trPr>
        <w:tc>
          <w:tcPr>
            <w:tcW w:w="755" w:type="pct"/>
            <w:vMerge/>
            <w:tcBorders>
              <w:top w:val="nil"/>
              <w:left w:val="nil"/>
              <w:bottom w:val="single" w:sz="4" w:space="0" w:color="000000"/>
              <w:right w:val="nil"/>
            </w:tcBorders>
            <w:vAlign w:val="center"/>
            <w:hideMark/>
          </w:tcPr>
          <w:p w14:paraId="6158E152" w14:textId="77777777" w:rsidR="009849D1" w:rsidRPr="009849D1" w:rsidRDefault="009849D1" w:rsidP="009849D1">
            <w:pPr>
              <w:widowControl/>
              <w:rPr>
                <w:color w:val="000000"/>
                <w:sz w:val="18"/>
                <w:szCs w:val="18"/>
                <w:lang w:bidi="ar-SA"/>
              </w:rPr>
            </w:pPr>
          </w:p>
        </w:tc>
        <w:tc>
          <w:tcPr>
            <w:tcW w:w="663" w:type="pct"/>
            <w:tcBorders>
              <w:top w:val="nil"/>
              <w:left w:val="nil"/>
              <w:bottom w:val="single" w:sz="8" w:space="0" w:color="000000"/>
              <w:right w:val="nil"/>
            </w:tcBorders>
            <w:shd w:val="clear" w:color="auto" w:fill="auto"/>
            <w:vAlign w:val="center"/>
            <w:hideMark/>
          </w:tcPr>
          <w:p w14:paraId="29C8F78F" w14:textId="77777777" w:rsidR="009849D1" w:rsidRPr="009849D1" w:rsidRDefault="009849D1" w:rsidP="00FC5B14">
            <w:pPr>
              <w:widowControl/>
              <w:jc w:val="center"/>
              <w:rPr>
                <w:color w:val="000000"/>
                <w:sz w:val="18"/>
                <w:szCs w:val="18"/>
                <w:lang w:bidi="ar-SA"/>
              </w:rPr>
            </w:pPr>
            <w:r w:rsidRPr="009849D1">
              <w:rPr>
                <w:color w:val="000000"/>
                <w:sz w:val="18"/>
                <w:szCs w:val="18"/>
                <w:lang w:bidi="ar-SA"/>
              </w:rPr>
              <w:t>desvio</w:t>
            </w:r>
          </w:p>
        </w:tc>
        <w:tc>
          <w:tcPr>
            <w:tcW w:w="533" w:type="pct"/>
            <w:tcBorders>
              <w:top w:val="nil"/>
              <w:left w:val="nil"/>
              <w:bottom w:val="single" w:sz="8" w:space="0" w:color="000000"/>
              <w:right w:val="nil"/>
            </w:tcBorders>
            <w:shd w:val="clear" w:color="auto" w:fill="auto"/>
            <w:vAlign w:val="center"/>
            <w:hideMark/>
          </w:tcPr>
          <w:p w14:paraId="1DCDEA97"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0,98</w:t>
            </w:r>
          </w:p>
        </w:tc>
        <w:tc>
          <w:tcPr>
            <w:tcW w:w="395" w:type="pct"/>
            <w:tcBorders>
              <w:top w:val="nil"/>
              <w:left w:val="nil"/>
              <w:bottom w:val="single" w:sz="8" w:space="0" w:color="000000"/>
              <w:right w:val="nil"/>
            </w:tcBorders>
            <w:shd w:val="clear" w:color="auto" w:fill="auto"/>
            <w:vAlign w:val="center"/>
            <w:hideMark/>
          </w:tcPr>
          <w:p w14:paraId="7FAD5AD3"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0,27</w:t>
            </w:r>
          </w:p>
        </w:tc>
        <w:tc>
          <w:tcPr>
            <w:tcW w:w="369" w:type="pct"/>
            <w:tcBorders>
              <w:top w:val="nil"/>
              <w:left w:val="nil"/>
              <w:bottom w:val="single" w:sz="8" w:space="0" w:color="000000"/>
              <w:right w:val="nil"/>
            </w:tcBorders>
            <w:shd w:val="clear" w:color="auto" w:fill="auto"/>
            <w:vAlign w:val="center"/>
            <w:hideMark/>
          </w:tcPr>
          <w:p w14:paraId="388244CB"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0,25</w:t>
            </w:r>
          </w:p>
        </w:tc>
        <w:tc>
          <w:tcPr>
            <w:tcW w:w="395" w:type="pct"/>
            <w:tcBorders>
              <w:top w:val="nil"/>
              <w:left w:val="nil"/>
              <w:bottom w:val="single" w:sz="8" w:space="0" w:color="000000"/>
              <w:right w:val="nil"/>
            </w:tcBorders>
            <w:shd w:val="clear" w:color="auto" w:fill="auto"/>
            <w:vAlign w:val="center"/>
            <w:hideMark/>
          </w:tcPr>
          <w:p w14:paraId="7895E833"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0,27</w:t>
            </w:r>
          </w:p>
        </w:tc>
        <w:tc>
          <w:tcPr>
            <w:tcW w:w="395" w:type="pct"/>
            <w:tcBorders>
              <w:top w:val="nil"/>
              <w:left w:val="nil"/>
              <w:bottom w:val="single" w:sz="8" w:space="0" w:color="000000"/>
              <w:right w:val="nil"/>
            </w:tcBorders>
            <w:shd w:val="clear" w:color="auto" w:fill="auto"/>
            <w:vAlign w:val="center"/>
            <w:hideMark/>
          </w:tcPr>
          <w:p w14:paraId="29F9DF2B"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0,18</w:t>
            </w:r>
          </w:p>
        </w:tc>
        <w:tc>
          <w:tcPr>
            <w:tcW w:w="378" w:type="pct"/>
            <w:tcBorders>
              <w:top w:val="nil"/>
              <w:left w:val="nil"/>
              <w:bottom w:val="single" w:sz="8" w:space="0" w:color="000000"/>
              <w:right w:val="nil"/>
            </w:tcBorders>
            <w:shd w:val="clear" w:color="auto" w:fill="auto"/>
            <w:vAlign w:val="center"/>
            <w:hideMark/>
          </w:tcPr>
          <w:p w14:paraId="71F34B29"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0,28</w:t>
            </w:r>
          </w:p>
        </w:tc>
        <w:tc>
          <w:tcPr>
            <w:tcW w:w="369" w:type="pct"/>
            <w:tcBorders>
              <w:top w:val="nil"/>
              <w:left w:val="nil"/>
              <w:bottom w:val="single" w:sz="8" w:space="0" w:color="000000"/>
              <w:right w:val="nil"/>
            </w:tcBorders>
            <w:shd w:val="clear" w:color="auto" w:fill="auto"/>
            <w:vAlign w:val="center"/>
            <w:hideMark/>
          </w:tcPr>
          <w:p w14:paraId="1D975C3B"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0,24</w:t>
            </w:r>
          </w:p>
        </w:tc>
        <w:tc>
          <w:tcPr>
            <w:tcW w:w="378" w:type="pct"/>
            <w:tcBorders>
              <w:top w:val="nil"/>
              <w:left w:val="nil"/>
              <w:bottom w:val="single" w:sz="8" w:space="0" w:color="000000"/>
              <w:right w:val="nil"/>
            </w:tcBorders>
            <w:shd w:val="clear" w:color="auto" w:fill="auto"/>
            <w:vAlign w:val="center"/>
            <w:hideMark/>
          </w:tcPr>
          <w:p w14:paraId="52BA127B"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0,18</w:t>
            </w:r>
          </w:p>
        </w:tc>
        <w:tc>
          <w:tcPr>
            <w:tcW w:w="370" w:type="pct"/>
            <w:tcBorders>
              <w:top w:val="nil"/>
              <w:left w:val="nil"/>
              <w:bottom w:val="single" w:sz="8" w:space="0" w:color="000000"/>
              <w:right w:val="nil"/>
            </w:tcBorders>
            <w:shd w:val="clear" w:color="auto" w:fill="auto"/>
            <w:vAlign w:val="center"/>
            <w:hideMark/>
          </w:tcPr>
          <w:p w14:paraId="4763EAB9"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0,39</w:t>
            </w:r>
          </w:p>
        </w:tc>
      </w:tr>
      <w:tr w:rsidR="00FC5B14" w:rsidRPr="009849D1" w14:paraId="542446C3" w14:textId="77777777" w:rsidTr="009849D1">
        <w:trPr>
          <w:trHeight w:val="300"/>
        </w:trPr>
        <w:tc>
          <w:tcPr>
            <w:tcW w:w="755" w:type="pct"/>
            <w:vMerge w:val="restart"/>
            <w:tcBorders>
              <w:top w:val="nil"/>
              <w:left w:val="nil"/>
              <w:bottom w:val="single" w:sz="4" w:space="0" w:color="000000"/>
              <w:right w:val="nil"/>
            </w:tcBorders>
            <w:shd w:val="clear" w:color="auto" w:fill="auto"/>
            <w:vAlign w:val="center"/>
            <w:hideMark/>
          </w:tcPr>
          <w:p w14:paraId="687360C4"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 xml:space="preserve">Є </w:t>
            </w:r>
            <w:proofErr w:type="spellStart"/>
            <w:r w:rsidRPr="009849D1">
              <w:rPr>
                <w:color w:val="000000"/>
                <w:sz w:val="18"/>
                <w:szCs w:val="18"/>
                <w:lang w:bidi="ar-SA"/>
              </w:rPr>
              <w:t>tang</w:t>
            </w:r>
            <w:proofErr w:type="spellEnd"/>
          </w:p>
        </w:tc>
        <w:tc>
          <w:tcPr>
            <w:tcW w:w="663" w:type="pct"/>
            <w:tcBorders>
              <w:top w:val="nil"/>
              <w:left w:val="nil"/>
              <w:bottom w:val="nil"/>
              <w:right w:val="nil"/>
            </w:tcBorders>
            <w:shd w:val="clear" w:color="auto" w:fill="auto"/>
            <w:vAlign w:val="center"/>
            <w:hideMark/>
          </w:tcPr>
          <w:p w14:paraId="2D5439B6" w14:textId="77777777" w:rsidR="009849D1" w:rsidRPr="009849D1" w:rsidRDefault="009849D1" w:rsidP="00FC5B14">
            <w:pPr>
              <w:widowControl/>
              <w:jc w:val="center"/>
              <w:rPr>
                <w:color w:val="000000"/>
                <w:sz w:val="18"/>
                <w:szCs w:val="18"/>
                <w:lang w:bidi="ar-SA"/>
              </w:rPr>
            </w:pPr>
            <w:r w:rsidRPr="009849D1">
              <w:rPr>
                <w:color w:val="000000"/>
                <w:sz w:val="18"/>
                <w:szCs w:val="18"/>
                <w:lang w:bidi="ar-SA"/>
              </w:rPr>
              <w:t>média</w:t>
            </w:r>
          </w:p>
        </w:tc>
        <w:tc>
          <w:tcPr>
            <w:tcW w:w="533" w:type="pct"/>
            <w:tcBorders>
              <w:top w:val="nil"/>
              <w:left w:val="nil"/>
              <w:bottom w:val="nil"/>
              <w:right w:val="nil"/>
            </w:tcBorders>
            <w:shd w:val="clear" w:color="auto" w:fill="auto"/>
            <w:vAlign w:val="center"/>
            <w:hideMark/>
          </w:tcPr>
          <w:p w14:paraId="1336D449"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2,89a</w:t>
            </w:r>
          </w:p>
        </w:tc>
        <w:tc>
          <w:tcPr>
            <w:tcW w:w="395" w:type="pct"/>
            <w:tcBorders>
              <w:top w:val="nil"/>
              <w:left w:val="nil"/>
              <w:bottom w:val="nil"/>
              <w:right w:val="nil"/>
            </w:tcBorders>
            <w:shd w:val="clear" w:color="auto" w:fill="auto"/>
            <w:vAlign w:val="center"/>
            <w:hideMark/>
          </w:tcPr>
          <w:p w14:paraId="397AADD7"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1,35</w:t>
            </w:r>
            <w:r w:rsidRPr="009849D1">
              <w:rPr>
                <w:color w:val="000000"/>
                <w:sz w:val="18"/>
                <w:szCs w:val="18"/>
                <w:vertAlign w:val="superscript"/>
                <w:lang w:bidi="ar-SA"/>
              </w:rPr>
              <w:t>b</w:t>
            </w:r>
          </w:p>
        </w:tc>
        <w:tc>
          <w:tcPr>
            <w:tcW w:w="369" w:type="pct"/>
            <w:tcBorders>
              <w:top w:val="nil"/>
              <w:left w:val="nil"/>
              <w:bottom w:val="nil"/>
              <w:right w:val="nil"/>
            </w:tcBorders>
            <w:shd w:val="clear" w:color="auto" w:fill="auto"/>
            <w:vAlign w:val="center"/>
            <w:hideMark/>
          </w:tcPr>
          <w:p w14:paraId="326BE939"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1,09</w:t>
            </w:r>
            <w:r w:rsidRPr="009849D1">
              <w:rPr>
                <w:color w:val="000000"/>
                <w:sz w:val="18"/>
                <w:szCs w:val="18"/>
                <w:vertAlign w:val="superscript"/>
                <w:lang w:bidi="ar-SA"/>
              </w:rPr>
              <w:t>cd</w:t>
            </w:r>
          </w:p>
        </w:tc>
        <w:tc>
          <w:tcPr>
            <w:tcW w:w="395" w:type="pct"/>
            <w:tcBorders>
              <w:top w:val="nil"/>
              <w:left w:val="nil"/>
              <w:bottom w:val="nil"/>
              <w:right w:val="nil"/>
            </w:tcBorders>
            <w:shd w:val="clear" w:color="auto" w:fill="auto"/>
            <w:vAlign w:val="center"/>
            <w:hideMark/>
          </w:tcPr>
          <w:p w14:paraId="70DEFA8F"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1,17</w:t>
            </w:r>
            <w:r w:rsidRPr="009849D1">
              <w:rPr>
                <w:color w:val="000000"/>
                <w:sz w:val="18"/>
                <w:szCs w:val="18"/>
                <w:vertAlign w:val="superscript"/>
                <w:lang w:bidi="ar-SA"/>
              </w:rPr>
              <w:t>bd</w:t>
            </w:r>
          </w:p>
        </w:tc>
        <w:tc>
          <w:tcPr>
            <w:tcW w:w="395" w:type="pct"/>
            <w:tcBorders>
              <w:top w:val="nil"/>
              <w:left w:val="nil"/>
              <w:bottom w:val="nil"/>
              <w:right w:val="nil"/>
            </w:tcBorders>
            <w:shd w:val="clear" w:color="auto" w:fill="auto"/>
            <w:vAlign w:val="center"/>
            <w:hideMark/>
          </w:tcPr>
          <w:p w14:paraId="353F2B66"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1,11</w:t>
            </w:r>
            <w:r w:rsidRPr="009849D1">
              <w:rPr>
                <w:color w:val="000000"/>
                <w:sz w:val="18"/>
                <w:szCs w:val="18"/>
                <w:vertAlign w:val="superscript"/>
                <w:lang w:bidi="ar-SA"/>
              </w:rPr>
              <w:t>cd</w:t>
            </w:r>
          </w:p>
        </w:tc>
        <w:tc>
          <w:tcPr>
            <w:tcW w:w="378" w:type="pct"/>
            <w:tcBorders>
              <w:top w:val="nil"/>
              <w:left w:val="nil"/>
              <w:bottom w:val="nil"/>
              <w:right w:val="nil"/>
            </w:tcBorders>
            <w:shd w:val="clear" w:color="auto" w:fill="auto"/>
            <w:vAlign w:val="center"/>
            <w:hideMark/>
          </w:tcPr>
          <w:p w14:paraId="5370ADD0"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0,92</w:t>
            </w:r>
            <w:r w:rsidRPr="009849D1">
              <w:rPr>
                <w:color w:val="000000"/>
                <w:sz w:val="18"/>
                <w:szCs w:val="18"/>
                <w:vertAlign w:val="superscript"/>
                <w:lang w:bidi="ar-SA"/>
              </w:rPr>
              <w:t>ce</w:t>
            </w:r>
          </w:p>
        </w:tc>
        <w:tc>
          <w:tcPr>
            <w:tcW w:w="369" w:type="pct"/>
            <w:tcBorders>
              <w:top w:val="nil"/>
              <w:left w:val="nil"/>
              <w:bottom w:val="nil"/>
              <w:right w:val="nil"/>
            </w:tcBorders>
            <w:shd w:val="clear" w:color="auto" w:fill="auto"/>
            <w:vAlign w:val="center"/>
            <w:hideMark/>
          </w:tcPr>
          <w:p w14:paraId="24C8E286"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0,93</w:t>
            </w:r>
            <w:r w:rsidRPr="009849D1">
              <w:rPr>
                <w:color w:val="000000"/>
                <w:sz w:val="18"/>
                <w:szCs w:val="18"/>
                <w:vertAlign w:val="superscript"/>
                <w:lang w:bidi="ar-SA"/>
              </w:rPr>
              <w:t>ce</w:t>
            </w:r>
          </w:p>
        </w:tc>
        <w:tc>
          <w:tcPr>
            <w:tcW w:w="378" w:type="pct"/>
            <w:tcBorders>
              <w:top w:val="nil"/>
              <w:left w:val="nil"/>
              <w:bottom w:val="nil"/>
              <w:right w:val="nil"/>
            </w:tcBorders>
            <w:shd w:val="clear" w:color="auto" w:fill="auto"/>
            <w:vAlign w:val="center"/>
            <w:hideMark/>
          </w:tcPr>
          <w:p w14:paraId="49A6FFFA"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0,69</w:t>
            </w:r>
            <w:r w:rsidRPr="009849D1">
              <w:rPr>
                <w:color w:val="000000"/>
                <w:sz w:val="18"/>
                <w:szCs w:val="18"/>
                <w:vertAlign w:val="superscript"/>
                <w:lang w:bidi="ar-SA"/>
              </w:rPr>
              <w:t>f</w:t>
            </w:r>
          </w:p>
        </w:tc>
        <w:tc>
          <w:tcPr>
            <w:tcW w:w="370" w:type="pct"/>
            <w:tcBorders>
              <w:top w:val="nil"/>
              <w:left w:val="nil"/>
              <w:bottom w:val="nil"/>
              <w:right w:val="nil"/>
            </w:tcBorders>
            <w:shd w:val="clear" w:color="auto" w:fill="auto"/>
            <w:vAlign w:val="center"/>
            <w:hideMark/>
          </w:tcPr>
          <w:p w14:paraId="26B6F6BC"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0,75</w:t>
            </w:r>
            <w:r w:rsidRPr="009849D1">
              <w:rPr>
                <w:color w:val="000000"/>
                <w:sz w:val="18"/>
                <w:szCs w:val="18"/>
                <w:vertAlign w:val="superscript"/>
                <w:lang w:bidi="ar-SA"/>
              </w:rPr>
              <w:t>fe</w:t>
            </w:r>
          </w:p>
        </w:tc>
      </w:tr>
      <w:tr w:rsidR="00FC5B14" w:rsidRPr="009849D1" w14:paraId="16DB305D" w14:textId="77777777" w:rsidTr="009849D1">
        <w:trPr>
          <w:trHeight w:val="315"/>
        </w:trPr>
        <w:tc>
          <w:tcPr>
            <w:tcW w:w="755" w:type="pct"/>
            <w:vMerge/>
            <w:tcBorders>
              <w:top w:val="nil"/>
              <w:left w:val="nil"/>
              <w:bottom w:val="single" w:sz="4" w:space="0" w:color="000000"/>
              <w:right w:val="nil"/>
            </w:tcBorders>
            <w:vAlign w:val="center"/>
            <w:hideMark/>
          </w:tcPr>
          <w:p w14:paraId="0EBB9716" w14:textId="77777777" w:rsidR="009849D1" w:rsidRPr="009849D1" w:rsidRDefault="009849D1" w:rsidP="009849D1">
            <w:pPr>
              <w:widowControl/>
              <w:rPr>
                <w:color w:val="000000"/>
                <w:sz w:val="18"/>
                <w:szCs w:val="18"/>
                <w:lang w:bidi="ar-SA"/>
              </w:rPr>
            </w:pPr>
          </w:p>
        </w:tc>
        <w:tc>
          <w:tcPr>
            <w:tcW w:w="663" w:type="pct"/>
            <w:tcBorders>
              <w:top w:val="nil"/>
              <w:left w:val="nil"/>
              <w:bottom w:val="single" w:sz="8" w:space="0" w:color="000000"/>
              <w:right w:val="nil"/>
            </w:tcBorders>
            <w:shd w:val="clear" w:color="auto" w:fill="auto"/>
            <w:vAlign w:val="center"/>
            <w:hideMark/>
          </w:tcPr>
          <w:p w14:paraId="4D9FDE37" w14:textId="77777777" w:rsidR="009849D1" w:rsidRPr="009849D1" w:rsidRDefault="009849D1" w:rsidP="00FC5B14">
            <w:pPr>
              <w:widowControl/>
              <w:jc w:val="center"/>
              <w:rPr>
                <w:color w:val="000000"/>
                <w:sz w:val="18"/>
                <w:szCs w:val="18"/>
                <w:lang w:bidi="ar-SA"/>
              </w:rPr>
            </w:pPr>
            <w:r w:rsidRPr="009849D1">
              <w:rPr>
                <w:color w:val="000000"/>
                <w:sz w:val="18"/>
                <w:szCs w:val="18"/>
                <w:lang w:bidi="ar-SA"/>
              </w:rPr>
              <w:t>desvio</w:t>
            </w:r>
          </w:p>
        </w:tc>
        <w:tc>
          <w:tcPr>
            <w:tcW w:w="533" w:type="pct"/>
            <w:tcBorders>
              <w:top w:val="nil"/>
              <w:left w:val="nil"/>
              <w:bottom w:val="single" w:sz="8" w:space="0" w:color="000000"/>
              <w:right w:val="nil"/>
            </w:tcBorders>
            <w:shd w:val="clear" w:color="auto" w:fill="auto"/>
            <w:vAlign w:val="center"/>
            <w:hideMark/>
          </w:tcPr>
          <w:p w14:paraId="091CB8CE"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0,53</w:t>
            </w:r>
          </w:p>
        </w:tc>
        <w:tc>
          <w:tcPr>
            <w:tcW w:w="395" w:type="pct"/>
            <w:tcBorders>
              <w:top w:val="nil"/>
              <w:left w:val="nil"/>
              <w:bottom w:val="single" w:sz="8" w:space="0" w:color="000000"/>
              <w:right w:val="nil"/>
            </w:tcBorders>
            <w:shd w:val="clear" w:color="auto" w:fill="auto"/>
            <w:vAlign w:val="center"/>
            <w:hideMark/>
          </w:tcPr>
          <w:p w14:paraId="2DEA5BA1"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0,22</w:t>
            </w:r>
          </w:p>
        </w:tc>
        <w:tc>
          <w:tcPr>
            <w:tcW w:w="369" w:type="pct"/>
            <w:tcBorders>
              <w:top w:val="nil"/>
              <w:left w:val="nil"/>
              <w:bottom w:val="single" w:sz="8" w:space="0" w:color="000000"/>
              <w:right w:val="nil"/>
            </w:tcBorders>
            <w:shd w:val="clear" w:color="auto" w:fill="auto"/>
            <w:vAlign w:val="center"/>
            <w:hideMark/>
          </w:tcPr>
          <w:p w14:paraId="12C9EA16"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0,16</w:t>
            </w:r>
          </w:p>
        </w:tc>
        <w:tc>
          <w:tcPr>
            <w:tcW w:w="395" w:type="pct"/>
            <w:tcBorders>
              <w:top w:val="nil"/>
              <w:left w:val="nil"/>
              <w:bottom w:val="single" w:sz="8" w:space="0" w:color="000000"/>
              <w:right w:val="nil"/>
            </w:tcBorders>
            <w:shd w:val="clear" w:color="auto" w:fill="auto"/>
            <w:vAlign w:val="center"/>
            <w:hideMark/>
          </w:tcPr>
          <w:p w14:paraId="6726031D"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0,22</w:t>
            </w:r>
          </w:p>
        </w:tc>
        <w:tc>
          <w:tcPr>
            <w:tcW w:w="395" w:type="pct"/>
            <w:tcBorders>
              <w:top w:val="nil"/>
              <w:left w:val="nil"/>
              <w:bottom w:val="single" w:sz="8" w:space="0" w:color="000000"/>
              <w:right w:val="nil"/>
            </w:tcBorders>
            <w:shd w:val="clear" w:color="auto" w:fill="auto"/>
            <w:vAlign w:val="center"/>
            <w:hideMark/>
          </w:tcPr>
          <w:p w14:paraId="3852676C"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0,13</w:t>
            </w:r>
          </w:p>
        </w:tc>
        <w:tc>
          <w:tcPr>
            <w:tcW w:w="378" w:type="pct"/>
            <w:tcBorders>
              <w:top w:val="nil"/>
              <w:left w:val="nil"/>
              <w:bottom w:val="single" w:sz="8" w:space="0" w:color="000000"/>
              <w:right w:val="nil"/>
            </w:tcBorders>
            <w:shd w:val="clear" w:color="auto" w:fill="auto"/>
            <w:vAlign w:val="center"/>
            <w:hideMark/>
          </w:tcPr>
          <w:p w14:paraId="4C5665B0"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0,18</w:t>
            </w:r>
          </w:p>
        </w:tc>
        <w:tc>
          <w:tcPr>
            <w:tcW w:w="369" w:type="pct"/>
            <w:tcBorders>
              <w:top w:val="nil"/>
              <w:left w:val="nil"/>
              <w:bottom w:val="single" w:sz="8" w:space="0" w:color="000000"/>
              <w:right w:val="nil"/>
            </w:tcBorders>
            <w:shd w:val="clear" w:color="auto" w:fill="auto"/>
            <w:vAlign w:val="center"/>
            <w:hideMark/>
          </w:tcPr>
          <w:p w14:paraId="2987E768"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0,17</w:t>
            </w:r>
          </w:p>
        </w:tc>
        <w:tc>
          <w:tcPr>
            <w:tcW w:w="378" w:type="pct"/>
            <w:tcBorders>
              <w:top w:val="nil"/>
              <w:left w:val="nil"/>
              <w:bottom w:val="single" w:sz="8" w:space="0" w:color="000000"/>
              <w:right w:val="nil"/>
            </w:tcBorders>
            <w:shd w:val="clear" w:color="auto" w:fill="auto"/>
            <w:vAlign w:val="center"/>
            <w:hideMark/>
          </w:tcPr>
          <w:p w14:paraId="5DC54BC8"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0,12</w:t>
            </w:r>
          </w:p>
        </w:tc>
        <w:tc>
          <w:tcPr>
            <w:tcW w:w="370" w:type="pct"/>
            <w:tcBorders>
              <w:top w:val="nil"/>
              <w:left w:val="nil"/>
              <w:bottom w:val="single" w:sz="8" w:space="0" w:color="000000"/>
              <w:right w:val="nil"/>
            </w:tcBorders>
            <w:shd w:val="clear" w:color="auto" w:fill="auto"/>
            <w:vAlign w:val="center"/>
            <w:hideMark/>
          </w:tcPr>
          <w:p w14:paraId="74F9310A"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0,34</w:t>
            </w:r>
          </w:p>
        </w:tc>
      </w:tr>
      <w:tr w:rsidR="00FC5B14" w:rsidRPr="009849D1" w14:paraId="7C80A2B5" w14:textId="77777777" w:rsidTr="009849D1">
        <w:trPr>
          <w:trHeight w:val="300"/>
        </w:trPr>
        <w:tc>
          <w:tcPr>
            <w:tcW w:w="755" w:type="pct"/>
            <w:vMerge w:val="restart"/>
            <w:tcBorders>
              <w:top w:val="nil"/>
              <w:left w:val="nil"/>
              <w:bottom w:val="single" w:sz="4" w:space="0" w:color="000000"/>
              <w:right w:val="nil"/>
            </w:tcBorders>
            <w:shd w:val="clear" w:color="auto" w:fill="auto"/>
            <w:vAlign w:val="center"/>
            <w:hideMark/>
          </w:tcPr>
          <w:p w14:paraId="71DB30A1"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Є radial</w:t>
            </w:r>
          </w:p>
        </w:tc>
        <w:tc>
          <w:tcPr>
            <w:tcW w:w="663" w:type="pct"/>
            <w:tcBorders>
              <w:top w:val="nil"/>
              <w:left w:val="nil"/>
              <w:bottom w:val="nil"/>
              <w:right w:val="nil"/>
            </w:tcBorders>
            <w:shd w:val="clear" w:color="auto" w:fill="auto"/>
            <w:vAlign w:val="center"/>
            <w:hideMark/>
          </w:tcPr>
          <w:p w14:paraId="00E59052" w14:textId="77777777" w:rsidR="009849D1" w:rsidRPr="009849D1" w:rsidRDefault="009849D1" w:rsidP="00FC5B14">
            <w:pPr>
              <w:widowControl/>
              <w:jc w:val="center"/>
              <w:rPr>
                <w:color w:val="000000"/>
                <w:sz w:val="18"/>
                <w:szCs w:val="18"/>
                <w:lang w:bidi="ar-SA"/>
              </w:rPr>
            </w:pPr>
            <w:r w:rsidRPr="009849D1">
              <w:rPr>
                <w:color w:val="000000"/>
                <w:sz w:val="18"/>
                <w:szCs w:val="18"/>
                <w:lang w:bidi="ar-SA"/>
              </w:rPr>
              <w:t>média</w:t>
            </w:r>
          </w:p>
        </w:tc>
        <w:tc>
          <w:tcPr>
            <w:tcW w:w="533" w:type="pct"/>
            <w:tcBorders>
              <w:top w:val="nil"/>
              <w:left w:val="nil"/>
              <w:bottom w:val="nil"/>
              <w:right w:val="nil"/>
            </w:tcBorders>
            <w:shd w:val="clear" w:color="auto" w:fill="auto"/>
            <w:vAlign w:val="center"/>
            <w:hideMark/>
          </w:tcPr>
          <w:p w14:paraId="01DE48C6"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1,53</w:t>
            </w:r>
            <w:r w:rsidRPr="009849D1">
              <w:rPr>
                <w:color w:val="000000"/>
                <w:sz w:val="18"/>
                <w:szCs w:val="18"/>
                <w:vertAlign w:val="superscript"/>
                <w:lang w:bidi="ar-SA"/>
              </w:rPr>
              <w:t>a</w:t>
            </w:r>
          </w:p>
        </w:tc>
        <w:tc>
          <w:tcPr>
            <w:tcW w:w="395" w:type="pct"/>
            <w:tcBorders>
              <w:top w:val="nil"/>
              <w:left w:val="nil"/>
              <w:bottom w:val="nil"/>
              <w:right w:val="nil"/>
            </w:tcBorders>
            <w:shd w:val="clear" w:color="auto" w:fill="auto"/>
            <w:vAlign w:val="center"/>
            <w:hideMark/>
          </w:tcPr>
          <w:p w14:paraId="479A8323"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0,56</w:t>
            </w:r>
            <w:r w:rsidRPr="009849D1">
              <w:rPr>
                <w:color w:val="000000"/>
                <w:sz w:val="18"/>
                <w:szCs w:val="18"/>
                <w:vertAlign w:val="superscript"/>
                <w:lang w:bidi="ar-SA"/>
              </w:rPr>
              <w:t>b</w:t>
            </w:r>
          </w:p>
        </w:tc>
        <w:tc>
          <w:tcPr>
            <w:tcW w:w="369" w:type="pct"/>
            <w:tcBorders>
              <w:top w:val="nil"/>
              <w:left w:val="nil"/>
              <w:bottom w:val="nil"/>
              <w:right w:val="nil"/>
            </w:tcBorders>
            <w:shd w:val="clear" w:color="auto" w:fill="auto"/>
            <w:vAlign w:val="center"/>
            <w:hideMark/>
          </w:tcPr>
          <w:p w14:paraId="0DA5A554"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0,52</w:t>
            </w:r>
            <w:r w:rsidRPr="009849D1">
              <w:rPr>
                <w:color w:val="000000"/>
                <w:sz w:val="18"/>
                <w:szCs w:val="18"/>
                <w:vertAlign w:val="superscript"/>
                <w:lang w:bidi="ar-SA"/>
              </w:rPr>
              <w:t>bc</w:t>
            </w:r>
          </w:p>
        </w:tc>
        <w:tc>
          <w:tcPr>
            <w:tcW w:w="395" w:type="pct"/>
            <w:tcBorders>
              <w:top w:val="nil"/>
              <w:left w:val="nil"/>
              <w:bottom w:val="nil"/>
              <w:right w:val="nil"/>
            </w:tcBorders>
            <w:shd w:val="clear" w:color="auto" w:fill="auto"/>
            <w:vAlign w:val="center"/>
            <w:hideMark/>
          </w:tcPr>
          <w:p w14:paraId="26C436F2"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0,56</w:t>
            </w:r>
            <w:r w:rsidRPr="009849D1">
              <w:rPr>
                <w:color w:val="000000"/>
                <w:sz w:val="18"/>
                <w:szCs w:val="18"/>
                <w:vertAlign w:val="superscript"/>
                <w:lang w:bidi="ar-SA"/>
              </w:rPr>
              <w:t>b</w:t>
            </w:r>
          </w:p>
        </w:tc>
        <w:tc>
          <w:tcPr>
            <w:tcW w:w="395" w:type="pct"/>
            <w:tcBorders>
              <w:top w:val="nil"/>
              <w:left w:val="nil"/>
              <w:bottom w:val="nil"/>
              <w:right w:val="nil"/>
            </w:tcBorders>
            <w:shd w:val="clear" w:color="auto" w:fill="auto"/>
            <w:vAlign w:val="center"/>
            <w:hideMark/>
          </w:tcPr>
          <w:p w14:paraId="507CBAEE"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0,53</w:t>
            </w:r>
            <w:r w:rsidRPr="009849D1">
              <w:rPr>
                <w:color w:val="000000"/>
                <w:sz w:val="18"/>
                <w:szCs w:val="18"/>
                <w:vertAlign w:val="superscript"/>
                <w:lang w:bidi="ar-SA"/>
              </w:rPr>
              <w:t>bc</w:t>
            </w:r>
          </w:p>
        </w:tc>
        <w:tc>
          <w:tcPr>
            <w:tcW w:w="378" w:type="pct"/>
            <w:tcBorders>
              <w:top w:val="nil"/>
              <w:left w:val="nil"/>
              <w:bottom w:val="nil"/>
              <w:right w:val="nil"/>
            </w:tcBorders>
            <w:shd w:val="clear" w:color="auto" w:fill="auto"/>
            <w:vAlign w:val="center"/>
            <w:hideMark/>
          </w:tcPr>
          <w:p w14:paraId="5C1C0E35"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0,47</w:t>
            </w:r>
            <w:r w:rsidRPr="009849D1">
              <w:rPr>
                <w:color w:val="000000"/>
                <w:sz w:val="18"/>
                <w:szCs w:val="18"/>
                <w:vertAlign w:val="superscript"/>
                <w:lang w:bidi="ar-SA"/>
              </w:rPr>
              <w:t>bc</w:t>
            </w:r>
          </w:p>
        </w:tc>
        <w:tc>
          <w:tcPr>
            <w:tcW w:w="369" w:type="pct"/>
            <w:tcBorders>
              <w:top w:val="nil"/>
              <w:left w:val="nil"/>
              <w:bottom w:val="nil"/>
              <w:right w:val="nil"/>
            </w:tcBorders>
            <w:shd w:val="clear" w:color="auto" w:fill="auto"/>
            <w:vAlign w:val="center"/>
            <w:hideMark/>
          </w:tcPr>
          <w:p w14:paraId="3B59E79D"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0,48</w:t>
            </w:r>
            <w:r w:rsidRPr="009849D1">
              <w:rPr>
                <w:color w:val="000000"/>
                <w:sz w:val="18"/>
                <w:szCs w:val="18"/>
                <w:vertAlign w:val="superscript"/>
                <w:lang w:bidi="ar-SA"/>
              </w:rPr>
              <w:t>bc</w:t>
            </w:r>
          </w:p>
        </w:tc>
        <w:tc>
          <w:tcPr>
            <w:tcW w:w="378" w:type="pct"/>
            <w:tcBorders>
              <w:top w:val="nil"/>
              <w:left w:val="nil"/>
              <w:bottom w:val="nil"/>
              <w:right w:val="nil"/>
            </w:tcBorders>
            <w:shd w:val="clear" w:color="auto" w:fill="auto"/>
            <w:vAlign w:val="center"/>
            <w:hideMark/>
          </w:tcPr>
          <w:p w14:paraId="03173C25"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0,33</w:t>
            </w:r>
            <w:r w:rsidRPr="009849D1">
              <w:rPr>
                <w:color w:val="000000"/>
                <w:sz w:val="18"/>
                <w:szCs w:val="18"/>
                <w:vertAlign w:val="superscript"/>
                <w:lang w:bidi="ar-SA"/>
              </w:rPr>
              <w:t>d</w:t>
            </w:r>
          </w:p>
        </w:tc>
        <w:tc>
          <w:tcPr>
            <w:tcW w:w="370" w:type="pct"/>
            <w:tcBorders>
              <w:top w:val="nil"/>
              <w:left w:val="nil"/>
              <w:bottom w:val="nil"/>
              <w:right w:val="nil"/>
            </w:tcBorders>
            <w:shd w:val="clear" w:color="auto" w:fill="auto"/>
            <w:vAlign w:val="center"/>
            <w:hideMark/>
          </w:tcPr>
          <w:p w14:paraId="2D6AFD35"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0,34</w:t>
            </w:r>
            <w:r w:rsidRPr="009849D1">
              <w:rPr>
                <w:color w:val="000000"/>
                <w:sz w:val="18"/>
                <w:szCs w:val="18"/>
                <w:vertAlign w:val="superscript"/>
                <w:lang w:bidi="ar-SA"/>
              </w:rPr>
              <w:t>d</w:t>
            </w:r>
          </w:p>
        </w:tc>
      </w:tr>
      <w:tr w:rsidR="00FC5B14" w:rsidRPr="009849D1" w14:paraId="2B360408" w14:textId="77777777" w:rsidTr="009849D1">
        <w:trPr>
          <w:trHeight w:val="315"/>
        </w:trPr>
        <w:tc>
          <w:tcPr>
            <w:tcW w:w="755" w:type="pct"/>
            <w:vMerge/>
            <w:tcBorders>
              <w:top w:val="nil"/>
              <w:left w:val="nil"/>
              <w:bottom w:val="single" w:sz="4" w:space="0" w:color="000000"/>
              <w:right w:val="nil"/>
            </w:tcBorders>
            <w:vAlign w:val="center"/>
            <w:hideMark/>
          </w:tcPr>
          <w:p w14:paraId="6DEF0365" w14:textId="77777777" w:rsidR="009849D1" w:rsidRPr="009849D1" w:rsidRDefault="009849D1" w:rsidP="009849D1">
            <w:pPr>
              <w:widowControl/>
              <w:rPr>
                <w:color w:val="000000"/>
                <w:sz w:val="18"/>
                <w:szCs w:val="18"/>
                <w:lang w:bidi="ar-SA"/>
              </w:rPr>
            </w:pPr>
          </w:p>
        </w:tc>
        <w:tc>
          <w:tcPr>
            <w:tcW w:w="663" w:type="pct"/>
            <w:tcBorders>
              <w:top w:val="nil"/>
              <w:left w:val="nil"/>
              <w:bottom w:val="single" w:sz="8" w:space="0" w:color="000000"/>
              <w:right w:val="nil"/>
            </w:tcBorders>
            <w:shd w:val="clear" w:color="auto" w:fill="auto"/>
            <w:vAlign w:val="center"/>
            <w:hideMark/>
          </w:tcPr>
          <w:p w14:paraId="05622D76" w14:textId="77777777" w:rsidR="009849D1" w:rsidRPr="009849D1" w:rsidRDefault="009849D1" w:rsidP="00FC5B14">
            <w:pPr>
              <w:widowControl/>
              <w:jc w:val="center"/>
              <w:rPr>
                <w:color w:val="000000"/>
                <w:sz w:val="18"/>
                <w:szCs w:val="18"/>
                <w:lang w:bidi="ar-SA"/>
              </w:rPr>
            </w:pPr>
            <w:r w:rsidRPr="009849D1">
              <w:rPr>
                <w:color w:val="000000"/>
                <w:sz w:val="18"/>
                <w:szCs w:val="18"/>
                <w:lang w:bidi="ar-SA"/>
              </w:rPr>
              <w:t>desvio</w:t>
            </w:r>
          </w:p>
        </w:tc>
        <w:tc>
          <w:tcPr>
            <w:tcW w:w="533" w:type="pct"/>
            <w:tcBorders>
              <w:top w:val="nil"/>
              <w:left w:val="nil"/>
              <w:bottom w:val="single" w:sz="8" w:space="0" w:color="000000"/>
              <w:right w:val="nil"/>
            </w:tcBorders>
            <w:shd w:val="clear" w:color="auto" w:fill="auto"/>
            <w:vAlign w:val="center"/>
            <w:hideMark/>
          </w:tcPr>
          <w:p w14:paraId="2276AD69"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0,42</w:t>
            </w:r>
          </w:p>
        </w:tc>
        <w:tc>
          <w:tcPr>
            <w:tcW w:w="395" w:type="pct"/>
            <w:tcBorders>
              <w:top w:val="nil"/>
              <w:left w:val="nil"/>
              <w:bottom w:val="single" w:sz="8" w:space="0" w:color="000000"/>
              <w:right w:val="nil"/>
            </w:tcBorders>
            <w:shd w:val="clear" w:color="auto" w:fill="auto"/>
            <w:vAlign w:val="center"/>
            <w:hideMark/>
          </w:tcPr>
          <w:p w14:paraId="3DE748B2" w14:textId="4F25F112" w:rsidR="009849D1" w:rsidRPr="009849D1" w:rsidRDefault="009849D1" w:rsidP="009849D1">
            <w:pPr>
              <w:widowControl/>
              <w:jc w:val="center"/>
              <w:rPr>
                <w:color w:val="000000"/>
                <w:sz w:val="18"/>
                <w:szCs w:val="18"/>
                <w:lang w:bidi="ar-SA"/>
              </w:rPr>
            </w:pPr>
            <w:r w:rsidRPr="009849D1">
              <w:rPr>
                <w:color w:val="000000"/>
                <w:sz w:val="18"/>
                <w:szCs w:val="18"/>
                <w:lang w:bidi="ar-SA"/>
              </w:rPr>
              <w:t>0,10</w:t>
            </w:r>
          </w:p>
        </w:tc>
        <w:tc>
          <w:tcPr>
            <w:tcW w:w="369" w:type="pct"/>
            <w:tcBorders>
              <w:top w:val="nil"/>
              <w:left w:val="nil"/>
              <w:bottom w:val="single" w:sz="8" w:space="0" w:color="000000"/>
              <w:right w:val="nil"/>
            </w:tcBorders>
            <w:shd w:val="clear" w:color="auto" w:fill="auto"/>
            <w:vAlign w:val="center"/>
            <w:hideMark/>
          </w:tcPr>
          <w:p w14:paraId="6CDCAD4D"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0,11</w:t>
            </w:r>
          </w:p>
        </w:tc>
        <w:tc>
          <w:tcPr>
            <w:tcW w:w="395" w:type="pct"/>
            <w:tcBorders>
              <w:top w:val="nil"/>
              <w:left w:val="nil"/>
              <w:bottom w:val="single" w:sz="8" w:space="0" w:color="000000"/>
              <w:right w:val="nil"/>
            </w:tcBorders>
            <w:shd w:val="clear" w:color="auto" w:fill="auto"/>
            <w:vAlign w:val="center"/>
            <w:hideMark/>
          </w:tcPr>
          <w:p w14:paraId="68F15E9A"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0,09</w:t>
            </w:r>
          </w:p>
        </w:tc>
        <w:tc>
          <w:tcPr>
            <w:tcW w:w="395" w:type="pct"/>
            <w:tcBorders>
              <w:top w:val="nil"/>
              <w:left w:val="nil"/>
              <w:bottom w:val="single" w:sz="8" w:space="0" w:color="000000"/>
              <w:right w:val="nil"/>
            </w:tcBorders>
            <w:shd w:val="clear" w:color="auto" w:fill="auto"/>
            <w:vAlign w:val="center"/>
            <w:hideMark/>
          </w:tcPr>
          <w:p w14:paraId="0EC72F10"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0,08</w:t>
            </w:r>
          </w:p>
        </w:tc>
        <w:tc>
          <w:tcPr>
            <w:tcW w:w="378" w:type="pct"/>
            <w:tcBorders>
              <w:top w:val="nil"/>
              <w:left w:val="nil"/>
              <w:bottom w:val="single" w:sz="8" w:space="0" w:color="000000"/>
              <w:right w:val="nil"/>
            </w:tcBorders>
            <w:shd w:val="clear" w:color="auto" w:fill="auto"/>
            <w:vAlign w:val="center"/>
            <w:hideMark/>
          </w:tcPr>
          <w:p w14:paraId="0A65289F"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0,13</w:t>
            </w:r>
          </w:p>
        </w:tc>
        <w:tc>
          <w:tcPr>
            <w:tcW w:w="369" w:type="pct"/>
            <w:tcBorders>
              <w:top w:val="nil"/>
              <w:left w:val="nil"/>
              <w:bottom w:val="single" w:sz="8" w:space="0" w:color="000000"/>
              <w:right w:val="nil"/>
            </w:tcBorders>
            <w:shd w:val="clear" w:color="auto" w:fill="auto"/>
            <w:vAlign w:val="center"/>
            <w:hideMark/>
          </w:tcPr>
          <w:p w14:paraId="65D40AE4"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0,09</w:t>
            </w:r>
          </w:p>
        </w:tc>
        <w:tc>
          <w:tcPr>
            <w:tcW w:w="378" w:type="pct"/>
            <w:tcBorders>
              <w:top w:val="nil"/>
              <w:left w:val="nil"/>
              <w:bottom w:val="single" w:sz="8" w:space="0" w:color="000000"/>
              <w:right w:val="nil"/>
            </w:tcBorders>
            <w:shd w:val="clear" w:color="auto" w:fill="auto"/>
            <w:vAlign w:val="center"/>
            <w:hideMark/>
          </w:tcPr>
          <w:p w14:paraId="12B2B056"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0,07</w:t>
            </w:r>
          </w:p>
        </w:tc>
        <w:tc>
          <w:tcPr>
            <w:tcW w:w="370" w:type="pct"/>
            <w:tcBorders>
              <w:top w:val="nil"/>
              <w:left w:val="nil"/>
              <w:bottom w:val="single" w:sz="8" w:space="0" w:color="000000"/>
              <w:right w:val="nil"/>
            </w:tcBorders>
            <w:shd w:val="clear" w:color="auto" w:fill="auto"/>
            <w:vAlign w:val="center"/>
            <w:hideMark/>
          </w:tcPr>
          <w:p w14:paraId="6C238F1C" w14:textId="19E856B7" w:rsidR="009849D1" w:rsidRPr="009849D1" w:rsidRDefault="009849D1" w:rsidP="009849D1">
            <w:pPr>
              <w:widowControl/>
              <w:jc w:val="center"/>
              <w:rPr>
                <w:color w:val="000000"/>
                <w:sz w:val="18"/>
                <w:szCs w:val="18"/>
                <w:lang w:bidi="ar-SA"/>
              </w:rPr>
            </w:pPr>
            <w:r w:rsidRPr="009849D1">
              <w:rPr>
                <w:color w:val="000000"/>
                <w:sz w:val="18"/>
                <w:szCs w:val="18"/>
                <w:lang w:bidi="ar-SA"/>
              </w:rPr>
              <w:t>0,10</w:t>
            </w:r>
          </w:p>
        </w:tc>
      </w:tr>
      <w:tr w:rsidR="00FC5B14" w:rsidRPr="009849D1" w14:paraId="182828FC" w14:textId="77777777" w:rsidTr="009849D1">
        <w:trPr>
          <w:trHeight w:val="300"/>
        </w:trPr>
        <w:tc>
          <w:tcPr>
            <w:tcW w:w="755" w:type="pct"/>
            <w:vMerge w:val="restart"/>
            <w:tcBorders>
              <w:top w:val="nil"/>
              <w:left w:val="nil"/>
              <w:bottom w:val="single" w:sz="4" w:space="0" w:color="000000"/>
              <w:right w:val="nil"/>
            </w:tcBorders>
            <w:shd w:val="clear" w:color="auto" w:fill="auto"/>
            <w:vAlign w:val="center"/>
            <w:hideMark/>
          </w:tcPr>
          <w:p w14:paraId="52457F3F"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TUE</w:t>
            </w:r>
          </w:p>
        </w:tc>
        <w:tc>
          <w:tcPr>
            <w:tcW w:w="663" w:type="pct"/>
            <w:tcBorders>
              <w:top w:val="nil"/>
              <w:left w:val="nil"/>
              <w:bottom w:val="nil"/>
              <w:right w:val="nil"/>
            </w:tcBorders>
            <w:shd w:val="clear" w:color="auto" w:fill="auto"/>
            <w:vAlign w:val="center"/>
            <w:hideMark/>
          </w:tcPr>
          <w:p w14:paraId="4F2F73A5" w14:textId="77777777" w:rsidR="009849D1" w:rsidRPr="009849D1" w:rsidRDefault="009849D1" w:rsidP="00FC5B14">
            <w:pPr>
              <w:widowControl/>
              <w:jc w:val="center"/>
              <w:rPr>
                <w:color w:val="000000"/>
                <w:sz w:val="18"/>
                <w:szCs w:val="18"/>
                <w:lang w:bidi="ar-SA"/>
              </w:rPr>
            </w:pPr>
            <w:r w:rsidRPr="009849D1">
              <w:rPr>
                <w:color w:val="000000"/>
                <w:sz w:val="18"/>
                <w:szCs w:val="18"/>
                <w:lang w:bidi="ar-SA"/>
              </w:rPr>
              <w:t>média</w:t>
            </w:r>
          </w:p>
        </w:tc>
        <w:tc>
          <w:tcPr>
            <w:tcW w:w="533" w:type="pct"/>
            <w:tcBorders>
              <w:top w:val="nil"/>
              <w:left w:val="nil"/>
              <w:bottom w:val="nil"/>
              <w:right w:val="nil"/>
            </w:tcBorders>
            <w:shd w:val="clear" w:color="auto" w:fill="auto"/>
            <w:vAlign w:val="center"/>
            <w:hideMark/>
          </w:tcPr>
          <w:p w14:paraId="6A746006"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11,2</w:t>
            </w:r>
          </w:p>
        </w:tc>
        <w:tc>
          <w:tcPr>
            <w:tcW w:w="395" w:type="pct"/>
            <w:tcBorders>
              <w:top w:val="nil"/>
              <w:left w:val="nil"/>
              <w:bottom w:val="nil"/>
              <w:right w:val="nil"/>
            </w:tcBorders>
            <w:shd w:val="clear" w:color="auto" w:fill="auto"/>
            <w:vAlign w:val="center"/>
            <w:hideMark/>
          </w:tcPr>
          <w:p w14:paraId="0D94B347"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6,4</w:t>
            </w:r>
          </w:p>
        </w:tc>
        <w:tc>
          <w:tcPr>
            <w:tcW w:w="369" w:type="pct"/>
            <w:tcBorders>
              <w:top w:val="nil"/>
              <w:left w:val="nil"/>
              <w:bottom w:val="nil"/>
              <w:right w:val="nil"/>
            </w:tcBorders>
            <w:shd w:val="clear" w:color="auto" w:fill="auto"/>
            <w:vAlign w:val="center"/>
            <w:hideMark/>
          </w:tcPr>
          <w:p w14:paraId="1CAE7041" w14:textId="4C1FB537" w:rsidR="009849D1" w:rsidRPr="009849D1" w:rsidRDefault="009849D1" w:rsidP="009849D1">
            <w:pPr>
              <w:widowControl/>
              <w:jc w:val="center"/>
              <w:rPr>
                <w:color w:val="000000"/>
                <w:sz w:val="18"/>
                <w:szCs w:val="18"/>
                <w:lang w:bidi="ar-SA"/>
              </w:rPr>
            </w:pPr>
            <w:r w:rsidRPr="009849D1">
              <w:rPr>
                <w:color w:val="000000"/>
                <w:sz w:val="18"/>
                <w:szCs w:val="18"/>
                <w:lang w:bidi="ar-SA"/>
              </w:rPr>
              <w:t>6,0</w:t>
            </w:r>
          </w:p>
        </w:tc>
        <w:tc>
          <w:tcPr>
            <w:tcW w:w="395" w:type="pct"/>
            <w:tcBorders>
              <w:top w:val="nil"/>
              <w:left w:val="nil"/>
              <w:bottom w:val="nil"/>
              <w:right w:val="nil"/>
            </w:tcBorders>
            <w:shd w:val="clear" w:color="auto" w:fill="auto"/>
            <w:vAlign w:val="center"/>
            <w:hideMark/>
          </w:tcPr>
          <w:p w14:paraId="6B152FB3"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5,1</w:t>
            </w:r>
          </w:p>
        </w:tc>
        <w:tc>
          <w:tcPr>
            <w:tcW w:w="395" w:type="pct"/>
            <w:tcBorders>
              <w:top w:val="nil"/>
              <w:left w:val="nil"/>
              <w:bottom w:val="nil"/>
              <w:right w:val="nil"/>
            </w:tcBorders>
            <w:shd w:val="clear" w:color="auto" w:fill="auto"/>
            <w:vAlign w:val="center"/>
            <w:hideMark/>
          </w:tcPr>
          <w:p w14:paraId="26D3C7D0"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4,7</w:t>
            </w:r>
          </w:p>
        </w:tc>
        <w:tc>
          <w:tcPr>
            <w:tcW w:w="378" w:type="pct"/>
            <w:tcBorders>
              <w:top w:val="nil"/>
              <w:left w:val="nil"/>
              <w:bottom w:val="nil"/>
              <w:right w:val="nil"/>
            </w:tcBorders>
            <w:shd w:val="clear" w:color="auto" w:fill="auto"/>
            <w:vAlign w:val="center"/>
            <w:hideMark/>
          </w:tcPr>
          <w:p w14:paraId="25A52BB0"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5,3</w:t>
            </w:r>
          </w:p>
        </w:tc>
        <w:tc>
          <w:tcPr>
            <w:tcW w:w="369" w:type="pct"/>
            <w:tcBorders>
              <w:top w:val="nil"/>
              <w:left w:val="nil"/>
              <w:bottom w:val="nil"/>
              <w:right w:val="nil"/>
            </w:tcBorders>
            <w:shd w:val="clear" w:color="auto" w:fill="auto"/>
            <w:vAlign w:val="center"/>
            <w:hideMark/>
          </w:tcPr>
          <w:p w14:paraId="4C89D076"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4,9</w:t>
            </w:r>
          </w:p>
        </w:tc>
        <w:tc>
          <w:tcPr>
            <w:tcW w:w="378" w:type="pct"/>
            <w:tcBorders>
              <w:top w:val="nil"/>
              <w:left w:val="nil"/>
              <w:bottom w:val="nil"/>
              <w:right w:val="nil"/>
            </w:tcBorders>
            <w:shd w:val="clear" w:color="auto" w:fill="auto"/>
            <w:vAlign w:val="center"/>
            <w:hideMark/>
          </w:tcPr>
          <w:p w14:paraId="5E0F0A52"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3,7</w:t>
            </w:r>
          </w:p>
        </w:tc>
        <w:tc>
          <w:tcPr>
            <w:tcW w:w="370" w:type="pct"/>
            <w:tcBorders>
              <w:top w:val="nil"/>
              <w:left w:val="nil"/>
              <w:bottom w:val="nil"/>
              <w:right w:val="nil"/>
            </w:tcBorders>
            <w:shd w:val="clear" w:color="auto" w:fill="auto"/>
            <w:vAlign w:val="center"/>
            <w:hideMark/>
          </w:tcPr>
          <w:p w14:paraId="020BC243"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3,6</w:t>
            </w:r>
          </w:p>
        </w:tc>
      </w:tr>
      <w:tr w:rsidR="00FC5B14" w:rsidRPr="009849D1" w14:paraId="783F4052" w14:textId="77777777" w:rsidTr="009849D1">
        <w:trPr>
          <w:trHeight w:val="315"/>
        </w:trPr>
        <w:tc>
          <w:tcPr>
            <w:tcW w:w="755" w:type="pct"/>
            <w:vMerge/>
            <w:tcBorders>
              <w:top w:val="nil"/>
              <w:left w:val="nil"/>
              <w:bottom w:val="single" w:sz="4" w:space="0" w:color="000000"/>
              <w:right w:val="nil"/>
            </w:tcBorders>
            <w:vAlign w:val="center"/>
            <w:hideMark/>
          </w:tcPr>
          <w:p w14:paraId="57B8F835" w14:textId="77777777" w:rsidR="009849D1" w:rsidRPr="009849D1" w:rsidRDefault="009849D1" w:rsidP="009849D1">
            <w:pPr>
              <w:widowControl/>
              <w:rPr>
                <w:color w:val="000000"/>
                <w:sz w:val="18"/>
                <w:szCs w:val="18"/>
                <w:lang w:bidi="ar-SA"/>
              </w:rPr>
            </w:pPr>
          </w:p>
        </w:tc>
        <w:tc>
          <w:tcPr>
            <w:tcW w:w="663" w:type="pct"/>
            <w:tcBorders>
              <w:top w:val="nil"/>
              <w:left w:val="nil"/>
              <w:bottom w:val="single" w:sz="8" w:space="0" w:color="000000"/>
              <w:right w:val="nil"/>
            </w:tcBorders>
            <w:shd w:val="clear" w:color="auto" w:fill="auto"/>
            <w:vAlign w:val="center"/>
            <w:hideMark/>
          </w:tcPr>
          <w:p w14:paraId="6E16DD9F" w14:textId="77777777" w:rsidR="009849D1" w:rsidRPr="009849D1" w:rsidRDefault="009849D1" w:rsidP="00FC5B14">
            <w:pPr>
              <w:widowControl/>
              <w:jc w:val="center"/>
              <w:rPr>
                <w:color w:val="000000"/>
                <w:sz w:val="18"/>
                <w:szCs w:val="18"/>
                <w:lang w:bidi="ar-SA"/>
              </w:rPr>
            </w:pPr>
            <w:r w:rsidRPr="009849D1">
              <w:rPr>
                <w:color w:val="000000"/>
                <w:sz w:val="18"/>
                <w:szCs w:val="18"/>
                <w:lang w:bidi="ar-SA"/>
              </w:rPr>
              <w:t>desvio</w:t>
            </w:r>
          </w:p>
        </w:tc>
        <w:tc>
          <w:tcPr>
            <w:tcW w:w="533" w:type="pct"/>
            <w:tcBorders>
              <w:top w:val="nil"/>
              <w:left w:val="nil"/>
              <w:bottom w:val="single" w:sz="8" w:space="0" w:color="000000"/>
              <w:right w:val="nil"/>
            </w:tcBorders>
            <w:shd w:val="clear" w:color="auto" w:fill="auto"/>
            <w:vAlign w:val="center"/>
            <w:hideMark/>
          </w:tcPr>
          <w:p w14:paraId="7E410AD4"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0,66</w:t>
            </w:r>
          </w:p>
        </w:tc>
        <w:tc>
          <w:tcPr>
            <w:tcW w:w="395" w:type="pct"/>
            <w:tcBorders>
              <w:top w:val="nil"/>
              <w:left w:val="nil"/>
              <w:bottom w:val="single" w:sz="8" w:space="0" w:color="000000"/>
              <w:right w:val="nil"/>
            </w:tcBorders>
            <w:shd w:val="clear" w:color="auto" w:fill="auto"/>
            <w:vAlign w:val="center"/>
            <w:hideMark/>
          </w:tcPr>
          <w:p w14:paraId="204960C7"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0,32</w:t>
            </w:r>
          </w:p>
        </w:tc>
        <w:tc>
          <w:tcPr>
            <w:tcW w:w="369" w:type="pct"/>
            <w:tcBorders>
              <w:top w:val="nil"/>
              <w:left w:val="nil"/>
              <w:bottom w:val="single" w:sz="8" w:space="0" w:color="000000"/>
              <w:right w:val="nil"/>
            </w:tcBorders>
            <w:shd w:val="clear" w:color="auto" w:fill="auto"/>
            <w:vAlign w:val="center"/>
            <w:hideMark/>
          </w:tcPr>
          <w:p w14:paraId="3A126C37"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0,42</w:t>
            </w:r>
          </w:p>
        </w:tc>
        <w:tc>
          <w:tcPr>
            <w:tcW w:w="395" w:type="pct"/>
            <w:tcBorders>
              <w:top w:val="nil"/>
              <w:left w:val="nil"/>
              <w:bottom w:val="single" w:sz="8" w:space="0" w:color="000000"/>
              <w:right w:val="nil"/>
            </w:tcBorders>
            <w:shd w:val="clear" w:color="auto" w:fill="auto"/>
            <w:vAlign w:val="center"/>
            <w:hideMark/>
          </w:tcPr>
          <w:p w14:paraId="6FCE3D1D"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0,28</w:t>
            </w:r>
          </w:p>
        </w:tc>
        <w:tc>
          <w:tcPr>
            <w:tcW w:w="395" w:type="pct"/>
            <w:tcBorders>
              <w:top w:val="nil"/>
              <w:left w:val="nil"/>
              <w:bottom w:val="single" w:sz="8" w:space="0" w:color="000000"/>
              <w:right w:val="nil"/>
            </w:tcBorders>
            <w:shd w:val="clear" w:color="auto" w:fill="auto"/>
            <w:vAlign w:val="center"/>
            <w:hideMark/>
          </w:tcPr>
          <w:p w14:paraId="560B7825"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0,66</w:t>
            </w:r>
          </w:p>
        </w:tc>
        <w:tc>
          <w:tcPr>
            <w:tcW w:w="378" w:type="pct"/>
            <w:tcBorders>
              <w:top w:val="nil"/>
              <w:left w:val="nil"/>
              <w:bottom w:val="single" w:sz="8" w:space="0" w:color="000000"/>
              <w:right w:val="nil"/>
            </w:tcBorders>
            <w:shd w:val="clear" w:color="auto" w:fill="auto"/>
            <w:vAlign w:val="center"/>
            <w:hideMark/>
          </w:tcPr>
          <w:p w14:paraId="110D11F7"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0,27</w:t>
            </w:r>
          </w:p>
        </w:tc>
        <w:tc>
          <w:tcPr>
            <w:tcW w:w="369" w:type="pct"/>
            <w:tcBorders>
              <w:top w:val="nil"/>
              <w:left w:val="nil"/>
              <w:bottom w:val="single" w:sz="8" w:space="0" w:color="000000"/>
              <w:right w:val="nil"/>
            </w:tcBorders>
            <w:shd w:val="clear" w:color="auto" w:fill="auto"/>
            <w:vAlign w:val="center"/>
            <w:hideMark/>
          </w:tcPr>
          <w:p w14:paraId="3D76E122"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0,28</w:t>
            </w:r>
          </w:p>
        </w:tc>
        <w:tc>
          <w:tcPr>
            <w:tcW w:w="378" w:type="pct"/>
            <w:tcBorders>
              <w:top w:val="nil"/>
              <w:left w:val="nil"/>
              <w:bottom w:val="single" w:sz="8" w:space="0" w:color="000000"/>
              <w:right w:val="nil"/>
            </w:tcBorders>
            <w:shd w:val="clear" w:color="auto" w:fill="auto"/>
            <w:vAlign w:val="center"/>
            <w:hideMark/>
          </w:tcPr>
          <w:p w14:paraId="14A7BC3B"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0,32</w:t>
            </w:r>
          </w:p>
        </w:tc>
        <w:tc>
          <w:tcPr>
            <w:tcW w:w="370" w:type="pct"/>
            <w:tcBorders>
              <w:top w:val="nil"/>
              <w:left w:val="nil"/>
              <w:bottom w:val="single" w:sz="8" w:space="0" w:color="000000"/>
              <w:right w:val="nil"/>
            </w:tcBorders>
            <w:shd w:val="clear" w:color="auto" w:fill="auto"/>
            <w:vAlign w:val="center"/>
            <w:hideMark/>
          </w:tcPr>
          <w:p w14:paraId="01ECE5F9"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0,3</w:t>
            </w:r>
          </w:p>
        </w:tc>
      </w:tr>
      <w:tr w:rsidR="00FC5B14" w:rsidRPr="009849D1" w14:paraId="095E6DEC" w14:textId="77777777" w:rsidTr="009849D1">
        <w:trPr>
          <w:trHeight w:val="300"/>
        </w:trPr>
        <w:tc>
          <w:tcPr>
            <w:tcW w:w="755" w:type="pct"/>
            <w:vMerge w:val="restart"/>
            <w:tcBorders>
              <w:top w:val="nil"/>
              <w:left w:val="nil"/>
              <w:bottom w:val="single" w:sz="4" w:space="0" w:color="000000"/>
              <w:right w:val="nil"/>
            </w:tcBorders>
            <w:shd w:val="clear" w:color="auto" w:fill="auto"/>
            <w:vAlign w:val="center"/>
            <w:hideMark/>
          </w:tcPr>
          <w:p w14:paraId="2D9372D8"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PSF</w:t>
            </w:r>
          </w:p>
        </w:tc>
        <w:tc>
          <w:tcPr>
            <w:tcW w:w="663" w:type="pct"/>
            <w:tcBorders>
              <w:top w:val="nil"/>
              <w:left w:val="nil"/>
              <w:bottom w:val="nil"/>
              <w:right w:val="nil"/>
            </w:tcBorders>
            <w:shd w:val="clear" w:color="auto" w:fill="auto"/>
            <w:vAlign w:val="center"/>
            <w:hideMark/>
          </w:tcPr>
          <w:p w14:paraId="0CA985FD" w14:textId="77777777" w:rsidR="009849D1" w:rsidRPr="009849D1" w:rsidRDefault="009849D1" w:rsidP="00FC5B14">
            <w:pPr>
              <w:widowControl/>
              <w:jc w:val="center"/>
              <w:rPr>
                <w:color w:val="000000"/>
                <w:sz w:val="18"/>
                <w:szCs w:val="18"/>
                <w:lang w:bidi="ar-SA"/>
              </w:rPr>
            </w:pPr>
            <w:r w:rsidRPr="009849D1">
              <w:rPr>
                <w:color w:val="000000"/>
                <w:sz w:val="18"/>
                <w:szCs w:val="18"/>
                <w:lang w:bidi="ar-SA"/>
              </w:rPr>
              <w:t>média</w:t>
            </w:r>
          </w:p>
        </w:tc>
        <w:tc>
          <w:tcPr>
            <w:tcW w:w="533" w:type="pct"/>
            <w:tcBorders>
              <w:top w:val="nil"/>
              <w:left w:val="nil"/>
              <w:bottom w:val="nil"/>
              <w:right w:val="nil"/>
            </w:tcBorders>
            <w:shd w:val="clear" w:color="auto" w:fill="auto"/>
            <w:vAlign w:val="center"/>
            <w:hideMark/>
          </w:tcPr>
          <w:p w14:paraId="5E85F341"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30,1</w:t>
            </w:r>
            <w:r w:rsidRPr="009849D1">
              <w:rPr>
                <w:color w:val="000000"/>
                <w:sz w:val="18"/>
                <w:szCs w:val="18"/>
                <w:vertAlign w:val="superscript"/>
                <w:lang w:bidi="ar-SA"/>
              </w:rPr>
              <w:t>a</w:t>
            </w:r>
          </w:p>
        </w:tc>
        <w:tc>
          <w:tcPr>
            <w:tcW w:w="395" w:type="pct"/>
            <w:tcBorders>
              <w:top w:val="nil"/>
              <w:left w:val="nil"/>
              <w:bottom w:val="nil"/>
              <w:right w:val="nil"/>
            </w:tcBorders>
            <w:shd w:val="clear" w:color="auto" w:fill="auto"/>
            <w:vAlign w:val="center"/>
            <w:hideMark/>
          </w:tcPr>
          <w:p w14:paraId="53D1F53B"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28,4</w:t>
            </w:r>
            <w:r w:rsidRPr="009849D1">
              <w:rPr>
                <w:color w:val="000000"/>
                <w:sz w:val="18"/>
                <w:szCs w:val="18"/>
                <w:vertAlign w:val="superscript"/>
                <w:lang w:bidi="ar-SA"/>
              </w:rPr>
              <w:t>ab</w:t>
            </w:r>
          </w:p>
        </w:tc>
        <w:tc>
          <w:tcPr>
            <w:tcW w:w="369" w:type="pct"/>
            <w:tcBorders>
              <w:top w:val="nil"/>
              <w:left w:val="nil"/>
              <w:bottom w:val="nil"/>
              <w:right w:val="nil"/>
            </w:tcBorders>
            <w:shd w:val="clear" w:color="auto" w:fill="auto"/>
            <w:vAlign w:val="center"/>
            <w:hideMark/>
          </w:tcPr>
          <w:p w14:paraId="38B9B280"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29,8</w:t>
            </w:r>
            <w:r w:rsidRPr="009849D1">
              <w:rPr>
                <w:color w:val="000000"/>
                <w:sz w:val="18"/>
                <w:szCs w:val="18"/>
                <w:vertAlign w:val="superscript"/>
                <w:lang w:bidi="ar-SA"/>
              </w:rPr>
              <w:t>a</w:t>
            </w:r>
          </w:p>
        </w:tc>
        <w:tc>
          <w:tcPr>
            <w:tcW w:w="395" w:type="pct"/>
            <w:tcBorders>
              <w:top w:val="nil"/>
              <w:left w:val="nil"/>
              <w:bottom w:val="nil"/>
              <w:right w:val="nil"/>
            </w:tcBorders>
            <w:shd w:val="clear" w:color="auto" w:fill="auto"/>
            <w:vAlign w:val="center"/>
            <w:hideMark/>
          </w:tcPr>
          <w:p w14:paraId="470198B7"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25,0</w:t>
            </w:r>
            <w:r w:rsidRPr="009849D1">
              <w:rPr>
                <w:color w:val="000000"/>
                <w:sz w:val="18"/>
                <w:szCs w:val="18"/>
                <w:vertAlign w:val="superscript"/>
                <w:lang w:bidi="ar-SA"/>
              </w:rPr>
              <w:t>bcd</w:t>
            </w:r>
          </w:p>
        </w:tc>
        <w:tc>
          <w:tcPr>
            <w:tcW w:w="395" w:type="pct"/>
            <w:tcBorders>
              <w:top w:val="nil"/>
              <w:left w:val="nil"/>
              <w:bottom w:val="nil"/>
              <w:right w:val="nil"/>
            </w:tcBorders>
            <w:shd w:val="clear" w:color="auto" w:fill="auto"/>
            <w:vAlign w:val="center"/>
            <w:hideMark/>
          </w:tcPr>
          <w:p w14:paraId="234C7182"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24,9</w:t>
            </w:r>
            <w:r w:rsidRPr="009849D1">
              <w:rPr>
                <w:color w:val="000000"/>
                <w:sz w:val="18"/>
                <w:szCs w:val="18"/>
                <w:vertAlign w:val="superscript"/>
                <w:lang w:bidi="ar-SA"/>
              </w:rPr>
              <w:t>cd</w:t>
            </w:r>
          </w:p>
        </w:tc>
        <w:tc>
          <w:tcPr>
            <w:tcW w:w="378" w:type="pct"/>
            <w:tcBorders>
              <w:top w:val="nil"/>
              <w:left w:val="nil"/>
              <w:bottom w:val="nil"/>
              <w:right w:val="nil"/>
            </w:tcBorders>
            <w:shd w:val="clear" w:color="auto" w:fill="auto"/>
            <w:vAlign w:val="center"/>
            <w:hideMark/>
          </w:tcPr>
          <w:p w14:paraId="46AB5793"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30,2</w:t>
            </w:r>
            <w:r w:rsidRPr="009849D1">
              <w:rPr>
                <w:color w:val="000000"/>
                <w:sz w:val="18"/>
                <w:szCs w:val="18"/>
                <w:vertAlign w:val="superscript"/>
                <w:lang w:bidi="ar-SA"/>
              </w:rPr>
              <w:t>a</w:t>
            </w:r>
          </w:p>
        </w:tc>
        <w:tc>
          <w:tcPr>
            <w:tcW w:w="369" w:type="pct"/>
            <w:tcBorders>
              <w:top w:val="nil"/>
              <w:left w:val="nil"/>
              <w:bottom w:val="nil"/>
              <w:right w:val="nil"/>
            </w:tcBorders>
            <w:shd w:val="clear" w:color="auto" w:fill="auto"/>
            <w:vAlign w:val="center"/>
            <w:hideMark/>
          </w:tcPr>
          <w:p w14:paraId="364B89F4"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23,8</w:t>
            </w:r>
            <w:r w:rsidRPr="009849D1">
              <w:rPr>
                <w:color w:val="000000"/>
                <w:sz w:val="18"/>
                <w:szCs w:val="18"/>
                <w:vertAlign w:val="superscript"/>
                <w:lang w:bidi="ar-SA"/>
              </w:rPr>
              <w:t>cde</w:t>
            </w:r>
          </w:p>
        </w:tc>
        <w:tc>
          <w:tcPr>
            <w:tcW w:w="378" w:type="pct"/>
            <w:tcBorders>
              <w:top w:val="nil"/>
              <w:left w:val="nil"/>
              <w:bottom w:val="nil"/>
              <w:right w:val="nil"/>
            </w:tcBorders>
            <w:shd w:val="clear" w:color="auto" w:fill="auto"/>
            <w:vAlign w:val="center"/>
            <w:hideMark/>
          </w:tcPr>
          <w:p w14:paraId="0AF83088"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20,7</w:t>
            </w:r>
            <w:r w:rsidRPr="009849D1">
              <w:rPr>
                <w:color w:val="000000"/>
                <w:sz w:val="18"/>
                <w:szCs w:val="18"/>
                <w:vertAlign w:val="superscript"/>
                <w:lang w:bidi="ar-SA"/>
              </w:rPr>
              <w:t>ef</w:t>
            </w:r>
          </w:p>
        </w:tc>
        <w:tc>
          <w:tcPr>
            <w:tcW w:w="370" w:type="pct"/>
            <w:tcBorders>
              <w:top w:val="nil"/>
              <w:left w:val="nil"/>
              <w:bottom w:val="nil"/>
              <w:right w:val="nil"/>
            </w:tcBorders>
            <w:shd w:val="clear" w:color="auto" w:fill="auto"/>
            <w:vAlign w:val="center"/>
            <w:hideMark/>
          </w:tcPr>
          <w:p w14:paraId="6E6A918B"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18,7</w:t>
            </w:r>
            <w:r w:rsidRPr="009849D1">
              <w:rPr>
                <w:color w:val="000000"/>
                <w:sz w:val="18"/>
                <w:szCs w:val="18"/>
                <w:vertAlign w:val="superscript"/>
                <w:lang w:bidi="ar-SA"/>
              </w:rPr>
              <w:t>f</w:t>
            </w:r>
          </w:p>
        </w:tc>
      </w:tr>
      <w:tr w:rsidR="00FC5B14" w:rsidRPr="009849D1" w14:paraId="3E7A93AE" w14:textId="77777777" w:rsidTr="009849D1">
        <w:trPr>
          <w:trHeight w:val="315"/>
        </w:trPr>
        <w:tc>
          <w:tcPr>
            <w:tcW w:w="755" w:type="pct"/>
            <w:vMerge/>
            <w:tcBorders>
              <w:top w:val="nil"/>
              <w:left w:val="nil"/>
              <w:bottom w:val="single" w:sz="4" w:space="0" w:color="000000"/>
              <w:right w:val="nil"/>
            </w:tcBorders>
            <w:vAlign w:val="center"/>
            <w:hideMark/>
          </w:tcPr>
          <w:p w14:paraId="06ABA3EC" w14:textId="77777777" w:rsidR="009849D1" w:rsidRPr="009849D1" w:rsidRDefault="009849D1" w:rsidP="009849D1">
            <w:pPr>
              <w:widowControl/>
              <w:rPr>
                <w:color w:val="000000"/>
                <w:sz w:val="18"/>
                <w:szCs w:val="18"/>
                <w:lang w:bidi="ar-SA"/>
              </w:rPr>
            </w:pPr>
          </w:p>
        </w:tc>
        <w:tc>
          <w:tcPr>
            <w:tcW w:w="663" w:type="pct"/>
            <w:tcBorders>
              <w:top w:val="nil"/>
              <w:left w:val="nil"/>
              <w:bottom w:val="single" w:sz="8" w:space="0" w:color="000000"/>
              <w:right w:val="nil"/>
            </w:tcBorders>
            <w:shd w:val="clear" w:color="auto" w:fill="auto"/>
            <w:vAlign w:val="center"/>
            <w:hideMark/>
          </w:tcPr>
          <w:p w14:paraId="01BC3628" w14:textId="77777777" w:rsidR="009849D1" w:rsidRPr="009849D1" w:rsidRDefault="009849D1" w:rsidP="00FC5B14">
            <w:pPr>
              <w:widowControl/>
              <w:jc w:val="center"/>
              <w:rPr>
                <w:color w:val="000000"/>
                <w:sz w:val="18"/>
                <w:szCs w:val="18"/>
                <w:lang w:bidi="ar-SA"/>
              </w:rPr>
            </w:pPr>
            <w:r w:rsidRPr="009849D1">
              <w:rPr>
                <w:color w:val="000000"/>
                <w:sz w:val="18"/>
                <w:szCs w:val="18"/>
                <w:lang w:bidi="ar-SA"/>
              </w:rPr>
              <w:t>desvio</w:t>
            </w:r>
          </w:p>
        </w:tc>
        <w:tc>
          <w:tcPr>
            <w:tcW w:w="533" w:type="pct"/>
            <w:tcBorders>
              <w:top w:val="nil"/>
              <w:left w:val="nil"/>
              <w:bottom w:val="single" w:sz="8" w:space="0" w:color="000000"/>
              <w:right w:val="nil"/>
            </w:tcBorders>
            <w:shd w:val="clear" w:color="auto" w:fill="auto"/>
            <w:vAlign w:val="center"/>
            <w:hideMark/>
          </w:tcPr>
          <w:p w14:paraId="2C765075"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2,37</w:t>
            </w:r>
          </w:p>
        </w:tc>
        <w:tc>
          <w:tcPr>
            <w:tcW w:w="395" w:type="pct"/>
            <w:tcBorders>
              <w:top w:val="nil"/>
              <w:left w:val="nil"/>
              <w:bottom w:val="single" w:sz="8" w:space="0" w:color="000000"/>
              <w:right w:val="nil"/>
            </w:tcBorders>
            <w:shd w:val="clear" w:color="auto" w:fill="auto"/>
            <w:vAlign w:val="center"/>
            <w:hideMark/>
          </w:tcPr>
          <w:p w14:paraId="51F96DA0"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2,63</w:t>
            </w:r>
          </w:p>
        </w:tc>
        <w:tc>
          <w:tcPr>
            <w:tcW w:w="369" w:type="pct"/>
            <w:tcBorders>
              <w:top w:val="nil"/>
              <w:left w:val="nil"/>
              <w:bottom w:val="single" w:sz="8" w:space="0" w:color="000000"/>
              <w:right w:val="nil"/>
            </w:tcBorders>
            <w:shd w:val="clear" w:color="auto" w:fill="auto"/>
            <w:vAlign w:val="center"/>
            <w:hideMark/>
          </w:tcPr>
          <w:p w14:paraId="68EF6ACA"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2,04</w:t>
            </w:r>
          </w:p>
        </w:tc>
        <w:tc>
          <w:tcPr>
            <w:tcW w:w="395" w:type="pct"/>
            <w:tcBorders>
              <w:top w:val="nil"/>
              <w:left w:val="nil"/>
              <w:bottom w:val="single" w:sz="8" w:space="0" w:color="000000"/>
              <w:right w:val="nil"/>
            </w:tcBorders>
            <w:shd w:val="clear" w:color="auto" w:fill="auto"/>
            <w:vAlign w:val="center"/>
            <w:hideMark/>
          </w:tcPr>
          <w:p w14:paraId="43E0B527"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2,67</w:t>
            </w:r>
          </w:p>
        </w:tc>
        <w:tc>
          <w:tcPr>
            <w:tcW w:w="395" w:type="pct"/>
            <w:tcBorders>
              <w:top w:val="nil"/>
              <w:left w:val="nil"/>
              <w:bottom w:val="single" w:sz="8" w:space="0" w:color="000000"/>
              <w:right w:val="nil"/>
            </w:tcBorders>
            <w:shd w:val="clear" w:color="auto" w:fill="auto"/>
            <w:vAlign w:val="center"/>
            <w:hideMark/>
          </w:tcPr>
          <w:p w14:paraId="1E9276FB"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2,88</w:t>
            </w:r>
          </w:p>
        </w:tc>
        <w:tc>
          <w:tcPr>
            <w:tcW w:w="378" w:type="pct"/>
            <w:tcBorders>
              <w:top w:val="nil"/>
              <w:left w:val="nil"/>
              <w:bottom w:val="single" w:sz="8" w:space="0" w:color="000000"/>
              <w:right w:val="nil"/>
            </w:tcBorders>
            <w:shd w:val="clear" w:color="auto" w:fill="auto"/>
            <w:vAlign w:val="center"/>
            <w:hideMark/>
          </w:tcPr>
          <w:p w14:paraId="73EB3E8B"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2,55</w:t>
            </w:r>
          </w:p>
        </w:tc>
        <w:tc>
          <w:tcPr>
            <w:tcW w:w="369" w:type="pct"/>
            <w:tcBorders>
              <w:top w:val="nil"/>
              <w:left w:val="nil"/>
              <w:bottom w:val="single" w:sz="8" w:space="0" w:color="000000"/>
              <w:right w:val="nil"/>
            </w:tcBorders>
            <w:shd w:val="clear" w:color="auto" w:fill="auto"/>
            <w:vAlign w:val="center"/>
            <w:hideMark/>
          </w:tcPr>
          <w:p w14:paraId="22CB3FA7"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2,41</w:t>
            </w:r>
          </w:p>
        </w:tc>
        <w:tc>
          <w:tcPr>
            <w:tcW w:w="378" w:type="pct"/>
            <w:tcBorders>
              <w:top w:val="nil"/>
              <w:left w:val="nil"/>
              <w:bottom w:val="single" w:sz="8" w:space="0" w:color="000000"/>
              <w:right w:val="nil"/>
            </w:tcBorders>
            <w:shd w:val="clear" w:color="auto" w:fill="auto"/>
            <w:vAlign w:val="center"/>
            <w:hideMark/>
          </w:tcPr>
          <w:p w14:paraId="6A55A589"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2,11</w:t>
            </w:r>
          </w:p>
        </w:tc>
        <w:tc>
          <w:tcPr>
            <w:tcW w:w="370" w:type="pct"/>
            <w:tcBorders>
              <w:top w:val="nil"/>
              <w:left w:val="nil"/>
              <w:bottom w:val="single" w:sz="8" w:space="0" w:color="000000"/>
              <w:right w:val="nil"/>
            </w:tcBorders>
            <w:shd w:val="clear" w:color="auto" w:fill="auto"/>
            <w:vAlign w:val="center"/>
            <w:hideMark/>
          </w:tcPr>
          <w:p w14:paraId="72BC57A0"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3,73</w:t>
            </w:r>
          </w:p>
        </w:tc>
      </w:tr>
      <w:tr w:rsidR="00FC5B14" w:rsidRPr="009849D1" w14:paraId="35AA8D77" w14:textId="77777777" w:rsidTr="009849D1">
        <w:trPr>
          <w:trHeight w:val="315"/>
        </w:trPr>
        <w:tc>
          <w:tcPr>
            <w:tcW w:w="1418" w:type="pct"/>
            <w:gridSpan w:val="2"/>
            <w:tcBorders>
              <w:top w:val="nil"/>
              <w:left w:val="nil"/>
              <w:bottom w:val="single" w:sz="4" w:space="0" w:color="auto"/>
              <w:right w:val="nil"/>
            </w:tcBorders>
            <w:shd w:val="clear" w:color="auto" w:fill="auto"/>
            <w:vAlign w:val="center"/>
            <w:hideMark/>
          </w:tcPr>
          <w:p w14:paraId="7F804C1B" w14:textId="77777777" w:rsidR="009849D1" w:rsidRPr="009849D1" w:rsidRDefault="009849D1" w:rsidP="009849D1">
            <w:pPr>
              <w:widowControl/>
              <w:rPr>
                <w:color w:val="000000"/>
                <w:sz w:val="18"/>
                <w:szCs w:val="18"/>
                <w:lang w:bidi="ar-SA"/>
              </w:rPr>
            </w:pPr>
            <w:r w:rsidRPr="009849D1">
              <w:rPr>
                <w:color w:val="000000"/>
                <w:sz w:val="18"/>
                <w:szCs w:val="18"/>
                <w:lang w:bidi="ar-SA"/>
              </w:rPr>
              <w:t xml:space="preserve">       C.A</w:t>
            </w:r>
          </w:p>
        </w:tc>
        <w:tc>
          <w:tcPr>
            <w:tcW w:w="533" w:type="pct"/>
            <w:tcBorders>
              <w:top w:val="nil"/>
              <w:left w:val="nil"/>
              <w:bottom w:val="single" w:sz="8" w:space="0" w:color="000000"/>
              <w:right w:val="nil"/>
            </w:tcBorders>
            <w:shd w:val="clear" w:color="auto" w:fill="auto"/>
            <w:vAlign w:val="center"/>
            <w:hideMark/>
          </w:tcPr>
          <w:p w14:paraId="77F4961A"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1,9</w:t>
            </w:r>
          </w:p>
        </w:tc>
        <w:tc>
          <w:tcPr>
            <w:tcW w:w="395" w:type="pct"/>
            <w:tcBorders>
              <w:top w:val="nil"/>
              <w:left w:val="nil"/>
              <w:bottom w:val="single" w:sz="8" w:space="0" w:color="000000"/>
              <w:right w:val="nil"/>
            </w:tcBorders>
            <w:shd w:val="clear" w:color="auto" w:fill="auto"/>
            <w:vAlign w:val="center"/>
            <w:hideMark/>
          </w:tcPr>
          <w:p w14:paraId="7D2F4BAB"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2,4</w:t>
            </w:r>
          </w:p>
        </w:tc>
        <w:tc>
          <w:tcPr>
            <w:tcW w:w="369" w:type="pct"/>
            <w:tcBorders>
              <w:top w:val="nil"/>
              <w:left w:val="nil"/>
              <w:bottom w:val="single" w:sz="8" w:space="0" w:color="000000"/>
              <w:right w:val="nil"/>
            </w:tcBorders>
            <w:shd w:val="clear" w:color="auto" w:fill="auto"/>
            <w:vAlign w:val="center"/>
            <w:hideMark/>
          </w:tcPr>
          <w:p w14:paraId="1A76D270"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2,1</w:t>
            </w:r>
          </w:p>
        </w:tc>
        <w:tc>
          <w:tcPr>
            <w:tcW w:w="395" w:type="pct"/>
            <w:tcBorders>
              <w:top w:val="nil"/>
              <w:left w:val="nil"/>
              <w:bottom w:val="single" w:sz="8" w:space="0" w:color="000000"/>
              <w:right w:val="nil"/>
            </w:tcBorders>
            <w:shd w:val="clear" w:color="auto" w:fill="auto"/>
            <w:vAlign w:val="center"/>
            <w:hideMark/>
          </w:tcPr>
          <w:p w14:paraId="5B73DB24"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2,1</w:t>
            </w:r>
          </w:p>
        </w:tc>
        <w:tc>
          <w:tcPr>
            <w:tcW w:w="395" w:type="pct"/>
            <w:tcBorders>
              <w:top w:val="nil"/>
              <w:left w:val="nil"/>
              <w:bottom w:val="single" w:sz="8" w:space="0" w:color="000000"/>
              <w:right w:val="nil"/>
            </w:tcBorders>
            <w:shd w:val="clear" w:color="auto" w:fill="auto"/>
            <w:vAlign w:val="center"/>
            <w:hideMark/>
          </w:tcPr>
          <w:p w14:paraId="06AAE6B9"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2,1</w:t>
            </w:r>
          </w:p>
        </w:tc>
        <w:tc>
          <w:tcPr>
            <w:tcW w:w="378" w:type="pct"/>
            <w:tcBorders>
              <w:top w:val="nil"/>
              <w:left w:val="nil"/>
              <w:bottom w:val="single" w:sz="8" w:space="0" w:color="000000"/>
              <w:right w:val="nil"/>
            </w:tcBorders>
            <w:shd w:val="clear" w:color="auto" w:fill="auto"/>
            <w:vAlign w:val="center"/>
            <w:hideMark/>
          </w:tcPr>
          <w:p w14:paraId="6561F73C"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2,1</w:t>
            </w:r>
          </w:p>
        </w:tc>
        <w:tc>
          <w:tcPr>
            <w:tcW w:w="369" w:type="pct"/>
            <w:tcBorders>
              <w:top w:val="nil"/>
              <w:left w:val="nil"/>
              <w:bottom w:val="single" w:sz="8" w:space="0" w:color="000000"/>
              <w:right w:val="nil"/>
            </w:tcBorders>
            <w:shd w:val="clear" w:color="auto" w:fill="auto"/>
            <w:vAlign w:val="center"/>
            <w:hideMark/>
          </w:tcPr>
          <w:p w14:paraId="7A56A331" w14:textId="098DCC1C" w:rsidR="009849D1" w:rsidRPr="009849D1" w:rsidRDefault="009849D1" w:rsidP="009849D1">
            <w:pPr>
              <w:widowControl/>
              <w:jc w:val="center"/>
              <w:rPr>
                <w:color w:val="000000"/>
                <w:sz w:val="18"/>
                <w:szCs w:val="18"/>
                <w:lang w:bidi="ar-SA"/>
              </w:rPr>
            </w:pPr>
            <w:r w:rsidRPr="009849D1">
              <w:rPr>
                <w:color w:val="000000"/>
                <w:sz w:val="18"/>
                <w:szCs w:val="18"/>
                <w:lang w:bidi="ar-SA"/>
              </w:rPr>
              <w:t>2,0</w:t>
            </w:r>
          </w:p>
        </w:tc>
        <w:tc>
          <w:tcPr>
            <w:tcW w:w="378" w:type="pct"/>
            <w:tcBorders>
              <w:top w:val="nil"/>
              <w:left w:val="nil"/>
              <w:bottom w:val="single" w:sz="8" w:space="0" w:color="000000"/>
              <w:right w:val="nil"/>
            </w:tcBorders>
            <w:shd w:val="clear" w:color="auto" w:fill="auto"/>
            <w:vAlign w:val="center"/>
            <w:hideMark/>
          </w:tcPr>
          <w:p w14:paraId="68BF8C4E"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2,1</w:t>
            </w:r>
          </w:p>
        </w:tc>
        <w:tc>
          <w:tcPr>
            <w:tcW w:w="370" w:type="pct"/>
            <w:tcBorders>
              <w:top w:val="nil"/>
              <w:left w:val="nil"/>
              <w:bottom w:val="single" w:sz="8" w:space="0" w:color="000000"/>
              <w:right w:val="nil"/>
            </w:tcBorders>
            <w:shd w:val="clear" w:color="auto" w:fill="auto"/>
            <w:vAlign w:val="center"/>
            <w:hideMark/>
          </w:tcPr>
          <w:p w14:paraId="17766FC5"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2,2</w:t>
            </w:r>
          </w:p>
        </w:tc>
      </w:tr>
      <w:tr w:rsidR="00FC5B14" w:rsidRPr="009849D1" w14:paraId="2EDCC777" w14:textId="77777777" w:rsidTr="009849D1">
        <w:trPr>
          <w:trHeight w:val="300"/>
        </w:trPr>
        <w:tc>
          <w:tcPr>
            <w:tcW w:w="1950" w:type="pct"/>
            <w:gridSpan w:val="3"/>
            <w:tcBorders>
              <w:top w:val="nil"/>
              <w:left w:val="nil"/>
              <w:bottom w:val="nil"/>
              <w:right w:val="nil"/>
            </w:tcBorders>
            <w:shd w:val="clear" w:color="auto" w:fill="auto"/>
            <w:vAlign w:val="center"/>
            <w:hideMark/>
          </w:tcPr>
          <w:p w14:paraId="6B01F135" w14:textId="0F2A7F2B" w:rsidR="009849D1" w:rsidRPr="009849D1" w:rsidRDefault="009849D1" w:rsidP="00FC5B14">
            <w:pPr>
              <w:widowControl/>
              <w:rPr>
                <w:color w:val="000000"/>
                <w:sz w:val="18"/>
                <w:szCs w:val="18"/>
                <w:lang w:bidi="ar-SA"/>
              </w:rPr>
            </w:pPr>
            <w:r w:rsidRPr="009849D1">
              <w:rPr>
                <w:color w:val="000000"/>
                <w:sz w:val="18"/>
                <w:szCs w:val="18"/>
                <w:lang w:bidi="ar-SA"/>
              </w:rPr>
              <w:t xml:space="preserve">    WPG</w:t>
            </w:r>
          </w:p>
        </w:tc>
        <w:tc>
          <w:tcPr>
            <w:tcW w:w="395" w:type="pct"/>
            <w:tcBorders>
              <w:top w:val="nil"/>
              <w:left w:val="nil"/>
              <w:bottom w:val="nil"/>
              <w:right w:val="nil"/>
            </w:tcBorders>
            <w:shd w:val="clear" w:color="auto" w:fill="auto"/>
            <w:vAlign w:val="center"/>
            <w:hideMark/>
          </w:tcPr>
          <w:p w14:paraId="448F7C6F"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2,1</w:t>
            </w:r>
          </w:p>
        </w:tc>
        <w:tc>
          <w:tcPr>
            <w:tcW w:w="369" w:type="pct"/>
            <w:tcBorders>
              <w:top w:val="nil"/>
              <w:left w:val="nil"/>
              <w:bottom w:val="nil"/>
              <w:right w:val="nil"/>
            </w:tcBorders>
            <w:shd w:val="clear" w:color="auto" w:fill="auto"/>
            <w:vAlign w:val="center"/>
            <w:hideMark/>
          </w:tcPr>
          <w:p w14:paraId="4FA583AB"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4,3</w:t>
            </w:r>
          </w:p>
        </w:tc>
        <w:tc>
          <w:tcPr>
            <w:tcW w:w="395" w:type="pct"/>
            <w:tcBorders>
              <w:top w:val="nil"/>
              <w:left w:val="nil"/>
              <w:bottom w:val="nil"/>
              <w:right w:val="nil"/>
            </w:tcBorders>
            <w:shd w:val="clear" w:color="auto" w:fill="auto"/>
            <w:vAlign w:val="center"/>
            <w:hideMark/>
          </w:tcPr>
          <w:p w14:paraId="1BB90CB1"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5,5</w:t>
            </w:r>
          </w:p>
        </w:tc>
        <w:tc>
          <w:tcPr>
            <w:tcW w:w="395" w:type="pct"/>
            <w:tcBorders>
              <w:top w:val="nil"/>
              <w:left w:val="nil"/>
              <w:bottom w:val="nil"/>
              <w:right w:val="nil"/>
            </w:tcBorders>
            <w:shd w:val="clear" w:color="auto" w:fill="auto"/>
            <w:vAlign w:val="center"/>
            <w:hideMark/>
          </w:tcPr>
          <w:p w14:paraId="2528A66A"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7,4</w:t>
            </w:r>
          </w:p>
        </w:tc>
        <w:tc>
          <w:tcPr>
            <w:tcW w:w="378" w:type="pct"/>
            <w:tcBorders>
              <w:top w:val="nil"/>
              <w:left w:val="nil"/>
              <w:bottom w:val="nil"/>
              <w:right w:val="nil"/>
            </w:tcBorders>
            <w:shd w:val="clear" w:color="auto" w:fill="auto"/>
            <w:vAlign w:val="center"/>
            <w:hideMark/>
          </w:tcPr>
          <w:p w14:paraId="2384E842" w14:textId="77777777" w:rsidR="009849D1" w:rsidRPr="009849D1" w:rsidRDefault="009849D1" w:rsidP="009849D1">
            <w:pPr>
              <w:widowControl/>
              <w:jc w:val="center"/>
              <w:rPr>
                <w:b/>
                <w:bCs/>
                <w:color w:val="000000"/>
                <w:sz w:val="18"/>
                <w:szCs w:val="18"/>
                <w:lang w:bidi="ar-SA"/>
              </w:rPr>
            </w:pPr>
            <w:r w:rsidRPr="009849D1">
              <w:rPr>
                <w:b/>
                <w:bCs/>
                <w:color w:val="000000"/>
                <w:sz w:val="18"/>
                <w:szCs w:val="18"/>
                <w:lang w:bidi="ar-SA"/>
              </w:rPr>
              <w:t>13</w:t>
            </w:r>
          </w:p>
        </w:tc>
        <w:tc>
          <w:tcPr>
            <w:tcW w:w="369" w:type="pct"/>
            <w:tcBorders>
              <w:top w:val="nil"/>
              <w:left w:val="nil"/>
              <w:bottom w:val="nil"/>
              <w:right w:val="nil"/>
            </w:tcBorders>
            <w:shd w:val="clear" w:color="auto" w:fill="auto"/>
            <w:vAlign w:val="center"/>
            <w:hideMark/>
          </w:tcPr>
          <w:p w14:paraId="3CCEE4D9"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8,6</w:t>
            </w:r>
          </w:p>
        </w:tc>
        <w:tc>
          <w:tcPr>
            <w:tcW w:w="378" w:type="pct"/>
            <w:tcBorders>
              <w:top w:val="nil"/>
              <w:left w:val="nil"/>
              <w:bottom w:val="nil"/>
              <w:right w:val="nil"/>
            </w:tcBorders>
            <w:shd w:val="clear" w:color="auto" w:fill="auto"/>
            <w:vAlign w:val="center"/>
            <w:hideMark/>
          </w:tcPr>
          <w:p w14:paraId="682E2D80" w14:textId="77777777" w:rsidR="009849D1" w:rsidRPr="009849D1" w:rsidRDefault="009849D1" w:rsidP="009849D1">
            <w:pPr>
              <w:widowControl/>
              <w:jc w:val="center"/>
              <w:rPr>
                <w:b/>
                <w:bCs/>
                <w:color w:val="000000"/>
                <w:sz w:val="18"/>
                <w:szCs w:val="18"/>
                <w:lang w:bidi="ar-SA"/>
              </w:rPr>
            </w:pPr>
            <w:r w:rsidRPr="009849D1">
              <w:rPr>
                <w:b/>
                <w:bCs/>
                <w:color w:val="000000"/>
                <w:sz w:val="18"/>
                <w:szCs w:val="18"/>
                <w:lang w:bidi="ar-SA"/>
              </w:rPr>
              <w:t>13</w:t>
            </w:r>
          </w:p>
        </w:tc>
        <w:tc>
          <w:tcPr>
            <w:tcW w:w="370" w:type="pct"/>
            <w:tcBorders>
              <w:top w:val="nil"/>
              <w:left w:val="nil"/>
              <w:bottom w:val="nil"/>
              <w:right w:val="nil"/>
            </w:tcBorders>
            <w:shd w:val="clear" w:color="auto" w:fill="auto"/>
            <w:vAlign w:val="center"/>
            <w:hideMark/>
          </w:tcPr>
          <w:p w14:paraId="4E946B14" w14:textId="77777777" w:rsidR="009849D1" w:rsidRPr="009849D1" w:rsidRDefault="009849D1" w:rsidP="009849D1">
            <w:pPr>
              <w:widowControl/>
              <w:jc w:val="center"/>
              <w:rPr>
                <w:b/>
                <w:bCs/>
                <w:color w:val="000000"/>
                <w:sz w:val="18"/>
                <w:szCs w:val="18"/>
                <w:lang w:bidi="ar-SA"/>
              </w:rPr>
            </w:pPr>
            <w:r w:rsidRPr="009849D1">
              <w:rPr>
                <w:b/>
                <w:bCs/>
                <w:color w:val="000000"/>
                <w:sz w:val="18"/>
                <w:szCs w:val="18"/>
                <w:lang w:bidi="ar-SA"/>
              </w:rPr>
              <w:t>13,5</w:t>
            </w:r>
          </w:p>
        </w:tc>
      </w:tr>
      <w:tr w:rsidR="00FC5B14" w:rsidRPr="009849D1" w14:paraId="1912B53F" w14:textId="77777777" w:rsidTr="009849D1">
        <w:trPr>
          <w:trHeight w:val="300"/>
        </w:trPr>
        <w:tc>
          <w:tcPr>
            <w:tcW w:w="1950" w:type="pct"/>
            <w:gridSpan w:val="3"/>
            <w:tcBorders>
              <w:top w:val="nil"/>
              <w:left w:val="nil"/>
              <w:bottom w:val="nil"/>
              <w:right w:val="nil"/>
            </w:tcBorders>
            <w:shd w:val="clear" w:color="auto" w:fill="auto"/>
            <w:vAlign w:val="center"/>
            <w:hideMark/>
          </w:tcPr>
          <w:p w14:paraId="66DCFAF7" w14:textId="45319ED9" w:rsidR="009849D1" w:rsidRPr="00FC5B14" w:rsidRDefault="009849D1" w:rsidP="00FC5B14">
            <w:pPr>
              <w:widowControl/>
              <w:rPr>
                <w:color w:val="000000"/>
                <w:lang w:bidi="ar-SA"/>
              </w:rPr>
            </w:pPr>
            <w:r w:rsidRPr="00FC5B14">
              <w:rPr>
                <w:color w:val="000000"/>
                <w:lang w:bidi="ar-SA"/>
              </w:rPr>
              <w:t xml:space="preserve"> </w:t>
            </w:r>
            <w:r w:rsidRPr="009849D1">
              <w:rPr>
                <w:color w:val="000000"/>
                <w:sz w:val="28"/>
                <w:szCs w:val="28"/>
                <w:lang w:bidi="ar-SA"/>
              </w:rPr>
              <w:t xml:space="preserve"> </w:t>
            </w:r>
            <w:r w:rsidRPr="00FC5B14">
              <w:rPr>
                <w:color w:val="000000"/>
                <w:sz w:val="28"/>
                <w:szCs w:val="28"/>
                <w:lang w:bidi="ar-SA"/>
              </w:rPr>
              <w:t>∆є</w:t>
            </w:r>
            <w:r w:rsidRPr="00FC5B14">
              <w:rPr>
                <w:color w:val="000000"/>
                <w:lang w:bidi="ar-SA"/>
              </w:rPr>
              <w:t xml:space="preserve"> vol</w:t>
            </w:r>
          </w:p>
        </w:tc>
        <w:tc>
          <w:tcPr>
            <w:tcW w:w="395" w:type="pct"/>
            <w:tcBorders>
              <w:top w:val="nil"/>
              <w:left w:val="nil"/>
              <w:bottom w:val="nil"/>
              <w:right w:val="nil"/>
            </w:tcBorders>
            <w:shd w:val="clear" w:color="auto" w:fill="auto"/>
            <w:vAlign w:val="center"/>
            <w:hideMark/>
          </w:tcPr>
          <w:p w14:paraId="4694D4A9"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-57,4</w:t>
            </w:r>
          </w:p>
        </w:tc>
        <w:tc>
          <w:tcPr>
            <w:tcW w:w="369" w:type="pct"/>
            <w:tcBorders>
              <w:top w:val="nil"/>
              <w:left w:val="nil"/>
              <w:bottom w:val="nil"/>
              <w:right w:val="nil"/>
            </w:tcBorders>
            <w:shd w:val="clear" w:color="auto" w:fill="auto"/>
            <w:vAlign w:val="center"/>
            <w:hideMark/>
          </w:tcPr>
          <w:p w14:paraId="56AF25B2" w14:textId="77777777" w:rsidR="009849D1" w:rsidRPr="009849D1" w:rsidRDefault="009849D1" w:rsidP="009849D1">
            <w:pPr>
              <w:widowControl/>
              <w:jc w:val="center"/>
              <w:rPr>
                <w:i/>
                <w:iCs/>
                <w:color w:val="000000"/>
                <w:sz w:val="18"/>
                <w:szCs w:val="18"/>
                <w:u w:val="single"/>
                <w:lang w:bidi="ar-SA"/>
              </w:rPr>
            </w:pPr>
            <w:r w:rsidRPr="009849D1">
              <w:rPr>
                <w:i/>
                <w:iCs/>
                <w:color w:val="000000"/>
                <w:sz w:val="18"/>
                <w:szCs w:val="18"/>
                <w:u w:val="single"/>
                <w:lang w:bidi="ar-SA"/>
              </w:rPr>
              <w:t>-64,6</w:t>
            </w:r>
          </w:p>
        </w:tc>
        <w:tc>
          <w:tcPr>
            <w:tcW w:w="395" w:type="pct"/>
            <w:tcBorders>
              <w:top w:val="nil"/>
              <w:left w:val="nil"/>
              <w:bottom w:val="nil"/>
              <w:right w:val="nil"/>
            </w:tcBorders>
            <w:shd w:val="clear" w:color="auto" w:fill="auto"/>
            <w:vAlign w:val="center"/>
            <w:hideMark/>
          </w:tcPr>
          <w:p w14:paraId="1845F063"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-62</w:t>
            </w:r>
          </w:p>
        </w:tc>
        <w:tc>
          <w:tcPr>
            <w:tcW w:w="395" w:type="pct"/>
            <w:tcBorders>
              <w:top w:val="nil"/>
              <w:left w:val="nil"/>
              <w:bottom w:val="nil"/>
              <w:right w:val="nil"/>
            </w:tcBorders>
            <w:shd w:val="clear" w:color="auto" w:fill="auto"/>
            <w:vAlign w:val="center"/>
            <w:hideMark/>
          </w:tcPr>
          <w:p w14:paraId="4E23CDD2" w14:textId="77777777" w:rsidR="009849D1" w:rsidRPr="009849D1" w:rsidRDefault="009849D1" w:rsidP="009849D1">
            <w:pPr>
              <w:widowControl/>
              <w:jc w:val="center"/>
              <w:rPr>
                <w:i/>
                <w:iCs/>
                <w:color w:val="000000"/>
                <w:sz w:val="18"/>
                <w:szCs w:val="18"/>
                <w:u w:val="single"/>
                <w:lang w:bidi="ar-SA"/>
              </w:rPr>
            </w:pPr>
            <w:r w:rsidRPr="009849D1">
              <w:rPr>
                <w:i/>
                <w:iCs/>
                <w:color w:val="000000"/>
                <w:sz w:val="18"/>
                <w:szCs w:val="18"/>
                <w:u w:val="single"/>
                <w:lang w:bidi="ar-SA"/>
              </w:rPr>
              <w:t>-63,5</w:t>
            </w:r>
          </w:p>
        </w:tc>
        <w:tc>
          <w:tcPr>
            <w:tcW w:w="378" w:type="pct"/>
            <w:tcBorders>
              <w:top w:val="nil"/>
              <w:left w:val="nil"/>
              <w:bottom w:val="nil"/>
              <w:right w:val="nil"/>
            </w:tcBorders>
            <w:shd w:val="clear" w:color="auto" w:fill="auto"/>
            <w:vAlign w:val="center"/>
            <w:hideMark/>
          </w:tcPr>
          <w:p w14:paraId="4E9BD28C"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-69,9</w:t>
            </w:r>
          </w:p>
        </w:tc>
        <w:tc>
          <w:tcPr>
            <w:tcW w:w="369" w:type="pct"/>
            <w:tcBorders>
              <w:top w:val="nil"/>
              <w:left w:val="nil"/>
              <w:bottom w:val="nil"/>
              <w:right w:val="nil"/>
            </w:tcBorders>
            <w:shd w:val="clear" w:color="auto" w:fill="auto"/>
            <w:vAlign w:val="center"/>
            <w:hideMark/>
          </w:tcPr>
          <w:p w14:paraId="4AE915DB"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-68,9</w:t>
            </w:r>
          </w:p>
        </w:tc>
        <w:tc>
          <w:tcPr>
            <w:tcW w:w="378" w:type="pct"/>
            <w:tcBorders>
              <w:top w:val="nil"/>
              <w:left w:val="nil"/>
              <w:bottom w:val="nil"/>
              <w:right w:val="nil"/>
            </w:tcBorders>
            <w:shd w:val="clear" w:color="auto" w:fill="auto"/>
            <w:vAlign w:val="center"/>
            <w:hideMark/>
          </w:tcPr>
          <w:p w14:paraId="6AF859F5"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-77,6</w:t>
            </w:r>
          </w:p>
        </w:tc>
        <w:tc>
          <w:tcPr>
            <w:tcW w:w="370" w:type="pct"/>
            <w:tcBorders>
              <w:top w:val="nil"/>
              <w:left w:val="nil"/>
              <w:bottom w:val="nil"/>
              <w:right w:val="nil"/>
            </w:tcBorders>
            <w:shd w:val="clear" w:color="auto" w:fill="auto"/>
            <w:vAlign w:val="center"/>
            <w:hideMark/>
          </w:tcPr>
          <w:p w14:paraId="549FFF51"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-75,9</w:t>
            </w:r>
          </w:p>
        </w:tc>
      </w:tr>
      <w:tr w:rsidR="00FC5B14" w:rsidRPr="009849D1" w14:paraId="4300995F" w14:textId="77777777" w:rsidTr="009849D1">
        <w:trPr>
          <w:trHeight w:val="300"/>
        </w:trPr>
        <w:tc>
          <w:tcPr>
            <w:tcW w:w="1950" w:type="pct"/>
            <w:gridSpan w:val="3"/>
            <w:tcBorders>
              <w:top w:val="nil"/>
              <w:left w:val="nil"/>
              <w:bottom w:val="nil"/>
              <w:right w:val="nil"/>
            </w:tcBorders>
            <w:shd w:val="clear" w:color="auto" w:fill="auto"/>
            <w:vAlign w:val="center"/>
            <w:hideMark/>
          </w:tcPr>
          <w:p w14:paraId="7DBFFE29" w14:textId="74DD3106" w:rsidR="009849D1" w:rsidRPr="00FC5B14" w:rsidRDefault="009849D1" w:rsidP="00FC5B14">
            <w:pPr>
              <w:widowControl/>
              <w:rPr>
                <w:color w:val="000000"/>
                <w:lang w:bidi="ar-SA"/>
              </w:rPr>
            </w:pPr>
            <w:r w:rsidRPr="00FC5B14">
              <w:rPr>
                <w:color w:val="000000"/>
                <w:lang w:bidi="ar-SA"/>
              </w:rPr>
              <w:t xml:space="preserve">  </w:t>
            </w:r>
            <w:r w:rsidRPr="00FC5B14">
              <w:rPr>
                <w:color w:val="000000"/>
                <w:sz w:val="28"/>
                <w:szCs w:val="28"/>
                <w:lang w:bidi="ar-SA"/>
              </w:rPr>
              <w:t>∆є</w:t>
            </w:r>
            <w:r w:rsidRPr="00FC5B14">
              <w:rPr>
                <w:color w:val="000000"/>
                <w:lang w:bidi="ar-SA"/>
              </w:rPr>
              <w:t xml:space="preserve"> tang</w:t>
            </w:r>
          </w:p>
        </w:tc>
        <w:tc>
          <w:tcPr>
            <w:tcW w:w="395" w:type="pct"/>
            <w:tcBorders>
              <w:top w:val="nil"/>
              <w:left w:val="nil"/>
              <w:bottom w:val="nil"/>
              <w:right w:val="nil"/>
            </w:tcBorders>
            <w:shd w:val="clear" w:color="auto" w:fill="auto"/>
            <w:vAlign w:val="center"/>
            <w:hideMark/>
          </w:tcPr>
          <w:p w14:paraId="498667A6"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-53,3</w:t>
            </w:r>
          </w:p>
        </w:tc>
        <w:tc>
          <w:tcPr>
            <w:tcW w:w="369" w:type="pct"/>
            <w:tcBorders>
              <w:top w:val="nil"/>
              <w:left w:val="nil"/>
              <w:bottom w:val="nil"/>
              <w:right w:val="nil"/>
            </w:tcBorders>
            <w:shd w:val="clear" w:color="auto" w:fill="auto"/>
            <w:vAlign w:val="center"/>
            <w:hideMark/>
          </w:tcPr>
          <w:p w14:paraId="444335C7" w14:textId="77777777" w:rsidR="009849D1" w:rsidRPr="009849D1" w:rsidRDefault="009849D1" w:rsidP="009849D1">
            <w:pPr>
              <w:widowControl/>
              <w:jc w:val="center"/>
              <w:rPr>
                <w:i/>
                <w:iCs/>
                <w:color w:val="000000"/>
                <w:sz w:val="18"/>
                <w:szCs w:val="18"/>
                <w:u w:val="single"/>
                <w:lang w:bidi="ar-SA"/>
              </w:rPr>
            </w:pPr>
            <w:r w:rsidRPr="009849D1">
              <w:rPr>
                <w:i/>
                <w:iCs/>
                <w:color w:val="000000"/>
                <w:sz w:val="18"/>
                <w:szCs w:val="18"/>
                <w:u w:val="single"/>
                <w:lang w:bidi="ar-SA"/>
              </w:rPr>
              <w:t>-62,3</w:t>
            </w:r>
          </w:p>
        </w:tc>
        <w:tc>
          <w:tcPr>
            <w:tcW w:w="395" w:type="pct"/>
            <w:tcBorders>
              <w:top w:val="nil"/>
              <w:left w:val="nil"/>
              <w:bottom w:val="nil"/>
              <w:right w:val="nil"/>
            </w:tcBorders>
            <w:shd w:val="clear" w:color="auto" w:fill="auto"/>
            <w:vAlign w:val="center"/>
            <w:hideMark/>
          </w:tcPr>
          <w:p w14:paraId="6172F167"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-59,5</w:t>
            </w:r>
          </w:p>
        </w:tc>
        <w:tc>
          <w:tcPr>
            <w:tcW w:w="395" w:type="pct"/>
            <w:tcBorders>
              <w:top w:val="nil"/>
              <w:left w:val="nil"/>
              <w:bottom w:val="nil"/>
              <w:right w:val="nil"/>
            </w:tcBorders>
            <w:shd w:val="clear" w:color="auto" w:fill="auto"/>
            <w:vAlign w:val="center"/>
            <w:hideMark/>
          </w:tcPr>
          <w:p w14:paraId="11A3DBA8" w14:textId="77777777" w:rsidR="009849D1" w:rsidRPr="009849D1" w:rsidRDefault="009849D1" w:rsidP="009849D1">
            <w:pPr>
              <w:widowControl/>
              <w:jc w:val="center"/>
              <w:rPr>
                <w:i/>
                <w:iCs/>
                <w:color w:val="000000"/>
                <w:sz w:val="18"/>
                <w:szCs w:val="18"/>
                <w:u w:val="single"/>
                <w:lang w:bidi="ar-SA"/>
              </w:rPr>
            </w:pPr>
            <w:r w:rsidRPr="009849D1">
              <w:rPr>
                <w:i/>
                <w:iCs/>
                <w:color w:val="000000"/>
                <w:sz w:val="18"/>
                <w:szCs w:val="18"/>
                <w:u w:val="single"/>
                <w:lang w:bidi="ar-SA"/>
              </w:rPr>
              <w:t>-61,6</w:t>
            </w:r>
          </w:p>
        </w:tc>
        <w:tc>
          <w:tcPr>
            <w:tcW w:w="378" w:type="pct"/>
            <w:tcBorders>
              <w:top w:val="nil"/>
              <w:left w:val="nil"/>
              <w:bottom w:val="nil"/>
              <w:right w:val="nil"/>
            </w:tcBorders>
            <w:shd w:val="clear" w:color="auto" w:fill="auto"/>
            <w:vAlign w:val="center"/>
            <w:hideMark/>
          </w:tcPr>
          <w:p w14:paraId="562E6A56"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-68,2</w:t>
            </w:r>
          </w:p>
        </w:tc>
        <w:tc>
          <w:tcPr>
            <w:tcW w:w="369" w:type="pct"/>
            <w:tcBorders>
              <w:top w:val="nil"/>
              <w:left w:val="nil"/>
              <w:bottom w:val="nil"/>
              <w:right w:val="nil"/>
            </w:tcBorders>
            <w:shd w:val="clear" w:color="auto" w:fill="auto"/>
            <w:vAlign w:val="center"/>
            <w:hideMark/>
          </w:tcPr>
          <w:p w14:paraId="4DB248D2"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-67,8</w:t>
            </w:r>
          </w:p>
        </w:tc>
        <w:tc>
          <w:tcPr>
            <w:tcW w:w="378" w:type="pct"/>
            <w:tcBorders>
              <w:top w:val="nil"/>
              <w:left w:val="nil"/>
              <w:bottom w:val="nil"/>
              <w:right w:val="nil"/>
            </w:tcBorders>
            <w:shd w:val="clear" w:color="auto" w:fill="auto"/>
            <w:vAlign w:val="center"/>
            <w:hideMark/>
          </w:tcPr>
          <w:p w14:paraId="4BA0897D"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-76,1</w:t>
            </w:r>
          </w:p>
        </w:tc>
        <w:tc>
          <w:tcPr>
            <w:tcW w:w="370" w:type="pct"/>
            <w:tcBorders>
              <w:top w:val="nil"/>
              <w:left w:val="nil"/>
              <w:bottom w:val="nil"/>
              <w:right w:val="nil"/>
            </w:tcBorders>
            <w:shd w:val="clear" w:color="auto" w:fill="auto"/>
            <w:vAlign w:val="center"/>
            <w:hideMark/>
          </w:tcPr>
          <w:p w14:paraId="68C75B25"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-74</w:t>
            </w:r>
          </w:p>
        </w:tc>
      </w:tr>
      <w:tr w:rsidR="00FC5B14" w:rsidRPr="009849D1" w14:paraId="153C6E69" w14:textId="77777777" w:rsidTr="009849D1">
        <w:trPr>
          <w:trHeight w:val="315"/>
        </w:trPr>
        <w:tc>
          <w:tcPr>
            <w:tcW w:w="1950" w:type="pct"/>
            <w:gridSpan w:val="3"/>
            <w:tcBorders>
              <w:top w:val="nil"/>
              <w:left w:val="nil"/>
              <w:bottom w:val="single" w:sz="8" w:space="0" w:color="000000"/>
              <w:right w:val="nil"/>
            </w:tcBorders>
            <w:shd w:val="clear" w:color="auto" w:fill="auto"/>
            <w:vAlign w:val="center"/>
            <w:hideMark/>
          </w:tcPr>
          <w:p w14:paraId="09089FD1" w14:textId="5D9A38EF" w:rsidR="009849D1" w:rsidRPr="00FC5B14" w:rsidRDefault="009849D1" w:rsidP="00FC5B14">
            <w:pPr>
              <w:widowControl/>
              <w:rPr>
                <w:color w:val="000000"/>
                <w:lang w:bidi="ar-SA"/>
              </w:rPr>
            </w:pPr>
            <w:r w:rsidRPr="00FC5B14">
              <w:rPr>
                <w:color w:val="000000"/>
                <w:lang w:bidi="ar-SA"/>
              </w:rPr>
              <w:t xml:space="preserve">  </w:t>
            </w:r>
            <w:r w:rsidRPr="00FC5B14">
              <w:rPr>
                <w:color w:val="000000"/>
                <w:sz w:val="28"/>
                <w:szCs w:val="28"/>
                <w:lang w:bidi="ar-SA"/>
              </w:rPr>
              <w:t>∆є</w:t>
            </w:r>
            <w:r w:rsidRPr="00FC5B14">
              <w:rPr>
                <w:color w:val="000000"/>
                <w:lang w:bidi="ar-SA"/>
              </w:rPr>
              <w:t xml:space="preserve"> radial</w:t>
            </w:r>
          </w:p>
        </w:tc>
        <w:tc>
          <w:tcPr>
            <w:tcW w:w="395" w:type="pct"/>
            <w:tcBorders>
              <w:top w:val="nil"/>
              <w:left w:val="nil"/>
              <w:bottom w:val="single" w:sz="8" w:space="0" w:color="000000"/>
              <w:right w:val="nil"/>
            </w:tcBorders>
            <w:shd w:val="clear" w:color="auto" w:fill="auto"/>
            <w:vAlign w:val="center"/>
            <w:hideMark/>
          </w:tcPr>
          <w:p w14:paraId="2AE7C149"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-63,4</w:t>
            </w:r>
          </w:p>
        </w:tc>
        <w:tc>
          <w:tcPr>
            <w:tcW w:w="369" w:type="pct"/>
            <w:tcBorders>
              <w:top w:val="nil"/>
              <w:left w:val="nil"/>
              <w:bottom w:val="single" w:sz="8" w:space="0" w:color="000000"/>
              <w:right w:val="nil"/>
            </w:tcBorders>
            <w:shd w:val="clear" w:color="auto" w:fill="auto"/>
            <w:vAlign w:val="center"/>
            <w:hideMark/>
          </w:tcPr>
          <w:p w14:paraId="17EED561" w14:textId="77777777" w:rsidR="009849D1" w:rsidRPr="009849D1" w:rsidRDefault="009849D1" w:rsidP="009849D1">
            <w:pPr>
              <w:widowControl/>
              <w:jc w:val="center"/>
              <w:rPr>
                <w:i/>
                <w:iCs/>
                <w:color w:val="000000"/>
                <w:sz w:val="18"/>
                <w:szCs w:val="18"/>
                <w:u w:val="single"/>
                <w:lang w:bidi="ar-SA"/>
              </w:rPr>
            </w:pPr>
            <w:r w:rsidRPr="009849D1">
              <w:rPr>
                <w:i/>
                <w:iCs/>
                <w:color w:val="000000"/>
                <w:sz w:val="18"/>
                <w:szCs w:val="18"/>
                <w:u w:val="single"/>
                <w:lang w:bidi="ar-SA"/>
              </w:rPr>
              <w:t>-66</w:t>
            </w:r>
          </w:p>
        </w:tc>
        <w:tc>
          <w:tcPr>
            <w:tcW w:w="395" w:type="pct"/>
            <w:tcBorders>
              <w:top w:val="nil"/>
              <w:left w:val="nil"/>
              <w:bottom w:val="single" w:sz="8" w:space="0" w:color="000000"/>
              <w:right w:val="nil"/>
            </w:tcBorders>
            <w:shd w:val="clear" w:color="auto" w:fill="auto"/>
            <w:vAlign w:val="center"/>
            <w:hideMark/>
          </w:tcPr>
          <w:p w14:paraId="407CA522"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-63,4</w:t>
            </w:r>
          </w:p>
        </w:tc>
        <w:tc>
          <w:tcPr>
            <w:tcW w:w="395" w:type="pct"/>
            <w:tcBorders>
              <w:top w:val="nil"/>
              <w:left w:val="nil"/>
              <w:bottom w:val="single" w:sz="8" w:space="0" w:color="000000"/>
              <w:right w:val="nil"/>
            </w:tcBorders>
            <w:shd w:val="clear" w:color="auto" w:fill="auto"/>
            <w:vAlign w:val="center"/>
            <w:hideMark/>
          </w:tcPr>
          <w:p w14:paraId="08D7DA5A" w14:textId="77777777" w:rsidR="009849D1" w:rsidRPr="009849D1" w:rsidRDefault="009849D1" w:rsidP="009849D1">
            <w:pPr>
              <w:widowControl/>
              <w:jc w:val="center"/>
              <w:rPr>
                <w:i/>
                <w:iCs/>
                <w:color w:val="000000"/>
                <w:sz w:val="18"/>
                <w:szCs w:val="18"/>
                <w:u w:val="single"/>
                <w:lang w:bidi="ar-SA"/>
              </w:rPr>
            </w:pPr>
            <w:r w:rsidRPr="009849D1">
              <w:rPr>
                <w:i/>
                <w:iCs/>
                <w:color w:val="000000"/>
                <w:sz w:val="18"/>
                <w:szCs w:val="18"/>
                <w:u w:val="single"/>
                <w:lang w:bidi="ar-SA"/>
              </w:rPr>
              <w:t>-65,4</w:t>
            </w:r>
          </w:p>
        </w:tc>
        <w:tc>
          <w:tcPr>
            <w:tcW w:w="378" w:type="pct"/>
            <w:tcBorders>
              <w:top w:val="nil"/>
              <w:left w:val="nil"/>
              <w:bottom w:val="single" w:sz="8" w:space="0" w:color="000000"/>
              <w:right w:val="nil"/>
            </w:tcBorders>
            <w:shd w:val="clear" w:color="auto" w:fill="auto"/>
            <w:vAlign w:val="center"/>
            <w:hideMark/>
          </w:tcPr>
          <w:p w14:paraId="5BE06FBB"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-69,3</w:t>
            </w:r>
          </w:p>
        </w:tc>
        <w:tc>
          <w:tcPr>
            <w:tcW w:w="369" w:type="pct"/>
            <w:tcBorders>
              <w:top w:val="nil"/>
              <w:left w:val="nil"/>
              <w:bottom w:val="single" w:sz="8" w:space="0" w:color="000000"/>
              <w:right w:val="nil"/>
            </w:tcBorders>
            <w:shd w:val="clear" w:color="auto" w:fill="auto"/>
            <w:vAlign w:val="center"/>
            <w:hideMark/>
          </w:tcPr>
          <w:p w14:paraId="4C2B4C3F"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-68,6</w:t>
            </w:r>
          </w:p>
        </w:tc>
        <w:tc>
          <w:tcPr>
            <w:tcW w:w="378" w:type="pct"/>
            <w:tcBorders>
              <w:top w:val="nil"/>
              <w:left w:val="nil"/>
              <w:bottom w:val="single" w:sz="8" w:space="0" w:color="000000"/>
              <w:right w:val="nil"/>
            </w:tcBorders>
            <w:shd w:val="clear" w:color="auto" w:fill="auto"/>
            <w:vAlign w:val="center"/>
            <w:hideMark/>
          </w:tcPr>
          <w:p w14:paraId="3418FBA2"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-78,4</w:t>
            </w:r>
          </w:p>
        </w:tc>
        <w:tc>
          <w:tcPr>
            <w:tcW w:w="370" w:type="pct"/>
            <w:tcBorders>
              <w:top w:val="nil"/>
              <w:left w:val="nil"/>
              <w:bottom w:val="single" w:sz="8" w:space="0" w:color="000000"/>
              <w:right w:val="nil"/>
            </w:tcBorders>
            <w:shd w:val="clear" w:color="auto" w:fill="auto"/>
            <w:vAlign w:val="center"/>
            <w:hideMark/>
          </w:tcPr>
          <w:p w14:paraId="3D7A3B29" w14:textId="77777777" w:rsidR="009849D1" w:rsidRPr="009849D1" w:rsidRDefault="009849D1" w:rsidP="009849D1">
            <w:pPr>
              <w:widowControl/>
              <w:jc w:val="center"/>
              <w:rPr>
                <w:color w:val="000000"/>
                <w:sz w:val="18"/>
                <w:szCs w:val="18"/>
                <w:lang w:bidi="ar-SA"/>
              </w:rPr>
            </w:pPr>
            <w:r w:rsidRPr="009849D1">
              <w:rPr>
                <w:color w:val="000000"/>
                <w:sz w:val="18"/>
                <w:szCs w:val="18"/>
                <w:lang w:bidi="ar-SA"/>
              </w:rPr>
              <w:t>-77,8</w:t>
            </w:r>
          </w:p>
        </w:tc>
      </w:tr>
    </w:tbl>
    <w:p w14:paraId="177E55BA" w14:textId="77777777" w:rsidR="003155F1" w:rsidRDefault="00694FE2">
      <w:pPr>
        <w:widowControl/>
        <w:jc w:val="both"/>
        <w:rPr>
          <w:sz w:val="20"/>
          <w:szCs w:val="20"/>
        </w:rPr>
      </w:pPr>
      <w:r>
        <w:rPr>
          <w:sz w:val="20"/>
          <w:szCs w:val="20"/>
        </w:rPr>
        <w:t>Em que: Médias seguidas pela letra minúscula nas colunas, não diferem entre si (Tukey, p &gt; 0,05). Valores sobrescritos entre as colunas se referem ao desvio padrão.</w:t>
      </w:r>
    </w:p>
    <w:p w14:paraId="64AB8128" w14:textId="77777777" w:rsidR="003155F1" w:rsidRDefault="003155F1">
      <w:pPr>
        <w:widowControl/>
        <w:jc w:val="both"/>
        <w:rPr>
          <w:sz w:val="16"/>
          <w:szCs w:val="16"/>
        </w:rPr>
      </w:pPr>
    </w:p>
    <w:p w14:paraId="2286CB67" w14:textId="77777777" w:rsidR="003155F1" w:rsidRDefault="00694FE2">
      <w:pPr>
        <w:widowControl/>
        <w:jc w:val="both"/>
        <w:rPr>
          <w:sz w:val="20"/>
          <w:szCs w:val="20"/>
        </w:rPr>
      </w:pPr>
      <w:r>
        <w:rPr>
          <w:sz w:val="20"/>
          <w:szCs w:val="20"/>
        </w:rPr>
        <w:lastRenderedPageBreak/>
        <w:tab/>
        <w:t xml:space="preserve">Na Tabela 1, fica evidente redução no inchamento da madeira (volumétrico, tangencial e radial). Essa redução é mais significativa nos tratamentos em que a madeira é submetida à acetilação por 2 horas a temperaturas de 100 e 120 ºC, pois nestas condições, são alcançados os maiores níveis de WPG (grau de eficiência da acetilação), mostrando que a acetilação aumenta a estabilidade dimensional da madeira.  O coeficiente de anisotropia da madeira acetilada foi significativamente superior ao da madeira controle sob todas as condições de umidade relativa. </w:t>
      </w:r>
    </w:p>
    <w:p w14:paraId="2835E92A" w14:textId="77777777" w:rsidR="003155F1" w:rsidRDefault="00694FE2">
      <w:pPr>
        <w:widowControl/>
        <w:ind w:firstLine="720"/>
        <w:jc w:val="both"/>
        <w:rPr>
          <w:sz w:val="20"/>
          <w:szCs w:val="20"/>
        </w:rPr>
      </w:pPr>
      <w:r>
        <w:rPr>
          <w:sz w:val="20"/>
          <w:szCs w:val="20"/>
        </w:rPr>
        <w:t xml:space="preserve">Variação relativa de inchamento volumétrico, como radial e tangencial, foram maiores quando a madeira foi pré seca em vácuo a 60°C comparado a secagem em estufa convencional, assim como os valores de WPG e acetiladas por uma hora. </w:t>
      </w:r>
    </w:p>
    <w:p w14:paraId="373EB352" w14:textId="77777777" w:rsidR="003155F1" w:rsidRDefault="00694FE2">
      <w:pPr>
        <w:widowControl/>
        <w:ind w:firstLine="720"/>
        <w:jc w:val="both"/>
        <w:rPr>
          <w:b/>
          <w:sz w:val="20"/>
          <w:szCs w:val="20"/>
        </w:rPr>
      </w:pPr>
      <w:r>
        <w:rPr>
          <w:sz w:val="20"/>
          <w:szCs w:val="20"/>
        </w:rPr>
        <w:t>O ponto de saturação das fibras da madeira reduziu à medida que se aumentou a temperatura e tempo de acetilação, com maior redução no tempo de 2 horas a temperatura de 120°C que faz com que a madeira acetilada tenda a permanecer inchada, o que resulta em uma redução do volume de fibras (Hill, 2009; Sadeghifar et al., 2014). Nos tratamentos à 100 ºC por 1 hora e no tratamento à 100 ºC por 2 horas com secagem a estufa a 105 ºC não houve diferença significativa quando comparado com a madeira não tratada.</w:t>
      </w:r>
    </w:p>
    <w:p w14:paraId="7B721A11" w14:textId="77777777" w:rsidR="003155F1" w:rsidRDefault="003155F1">
      <w:pPr>
        <w:widowControl/>
        <w:ind w:left="851"/>
        <w:jc w:val="both"/>
        <w:rPr>
          <w:b/>
          <w:sz w:val="20"/>
          <w:szCs w:val="20"/>
        </w:rPr>
      </w:pPr>
    </w:p>
    <w:p w14:paraId="635EF0BD" w14:textId="77777777" w:rsidR="003155F1" w:rsidRDefault="003155F1">
      <w:pPr>
        <w:widowControl/>
        <w:ind w:left="851"/>
        <w:jc w:val="both"/>
        <w:rPr>
          <w:b/>
          <w:sz w:val="20"/>
          <w:szCs w:val="20"/>
        </w:rPr>
      </w:pPr>
    </w:p>
    <w:p w14:paraId="4C467886" w14:textId="77777777" w:rsidR="003155F1" w:rsidRDefault="00694FE2">
      <w:pPr>
        <w:widowControl/>
        <w:jc w:val="both"/>
        <w:rPr>
          <w:b/>
          <w:sz w:val="20"/>
          <w:szCs w:val="20"/>
        </w:rPr>
      </w:pPr>
      <w:r>
        <w:rPr>
          <w:b/>
          <w:sz w:val="20"/>
          <w:szCs w:val="20"/>
        </w:rPr>
        <w:t xml:space="preserve">CONCLUSÕES </w:t>
      </w:r>
    </w:p>
    <w:p w14:paraId="468A7BCE" w14:textId="77777777" w:rsidR="003155F1" w:rsidRDefault="003155F1">
      <w:pPr>
        <w:widowControl/>
        <w:jc w:val="both"/>
        <w:rPr>
          <w:b/>
          <w:sz w:val="20"/>
          <w:szCs w:val="20"/>
        </w:rPr>
      </w:pPr>
    </w:p>
    <w:p w14:paraId="49BC607B" w14:textId="77777777" w:rsidR="003155F1" w:rsidRDefault="00694FE2">
      <w:pPr>
        <w:widowControl/>
        <w:jc w:val="both"/>
        <w:rPr>
          <w:sz w:val="20"/>
          <w:szCs w:val="20"/>
        </w:rPr>
      </w:pPr>
      <w:r>
        <w:rPr>
          <w:b/>
          <w:sz w:val="20"/>
          <w:szCs w:val="20"/>
        </w:rPr>
        <w:tab/>
      </w:r>
      <w:r>
        <w:rPr>
          <w:sz w:val="20"/>
          <w:szCs w:val="20"/>
        </w:rPr>
        <w:t xml:space="preserve">Os maiores níveis de acetilação foram encontrados nos tratamentos com maiores tempos e maiores temperaturas, enquanto os menores percentuais foram observados nos tratamentos com menor tempo e menor temperatura. Não foi possível observar um padrão na variação da secagem em função da espécie, temperatura e tempo de tratamento aplicado sendo que a secagem da madeira à vácuo apresentou resultados à semelhança da secagem convencional. O tratamento por acetilação com os maiores WPG reduziram o inchamento da madeira nas diferentes direções (tangencial e radial) e no volume, diminuíram a umidade de equilíbrio e o ponto de saturação das fibras. O tempo de tratamento é um dos fatores mais críticos que influenciam a acetilação da madeira. </w:t>
      </w:r>
    </w:p>
    <w:p w14:paraId="5ACE35EF" w14:textId="77777777" w:rsidR="003155F1" w:rsidRDefault="00694FE2" w:rsidP="004D2C37">
      <w:pPr>
        <w:widowControl/>
        <w:ind w:firstLine="720"/>
        <w:jc w:val="both"/>
        <w:rPr>
          <w:sz w:val="20"/>
          <w:szCs w:val="20"/>
        </w:rPr>
      </w:pPr>
      <w:r>
        <w:rPr>
          <w:sz w:val="20"/>
          <w:szCs w:val="20"/>
        </w:rPr>
        <w:t xml:space="preserve">Processo de acetilação com ganho de massa abaixo de 5%, garante à madeira de marupá uma redução de adsorção de quase 50% em relação à madeira original e acima de 50% quanto à variação dimensional. </w:t>
      </w:r>
    </w:p>
    <w:p w14:paraId="33F7F734" w14:textId="77777777" w:rsidR="003155F1" w:rsidRDefault="003155F1">
      <w:pPr>
        <w:widowControl/>
        <w:jc w:val="both"/>
        <w:rPr>
          <w:sz w:val="20"/>
          <w:szCs w:val="20"/>
        </w:rPr>
      </w:pPr>
    </w:p>
    <w:p w14:paraId="4AD35683" w14:textId="77777777" w:rsidR="003155F1" w:rsidRDefault="003155F1">
      <w:pPr>
        <w:widowControl/>
        <w:ind w:firstLine="709"/>
        <w:jc w:val="both"/>
        <w:rPr>
          <w:sz w:val="20"/>
          <w:szCs w:val="20"/>
        </w:rPr>
      </w:pPr>
    </w:p>
    <w:p w14:paraId="28AACA84" w14:textId="77777777" w:rsidR="003155F1" w:rsidRPr="00FC5B14" w:rsidRDefault="00694FE2">
      <w:pPr>
        <w:widowControl/>
        <w:jc w:val="both"/>
        <w:rPr>
          <w:sz w:val="20"/>
          <w:szCs w:val="20"/>
          <w:lang w:val="en-US"/>
        </w:rPr>
      </w:pPr>
      <w:r w:rsidRPr="00FC5B14">
        <w:rPr>
          <w:b/>
          <w:sz w:val="20"/>
          <w:szCs w:val="20"/>
          <w:lang w:val="en-US"/>
        </w:rPr>
        <w:t xml:space="preserve">REFERÊNCIAS </w:t>
      </w:r>
    </w:p>
    <w:p w14:paraId="3B27E526" w14:textId="77777777" w:rsidR="003155F1" w:rsidRPr="00FC5B14" w:rsidRDefault="003155F1">
      <w:pPr>
        <w:widowControl/>
        <w:spacing w:after="120"/>
        <w:jc w:val="both"/>
        <w:rPr>
          <w:sz w:val="20"/>
          <w:szCs w:val="20"/>
          <w:lang w:val="en-US"/>
        </w:rPr>
      </w:pPr>
    </w:p>
    <w:p w14:paraId="3FC67E6D" w14:textId="08AE07DC" w:rsidR="00B75321" w:rsidRPr="00FC5B14" w:rsidRDefault="00B75321">
      <w:pPr>
        <w:widowControl/>
        <w:spacing w:after="120"/>
        <w:jc w:val="both"/>
        <w:rPr>
          <w:sz w:val="20"/>
          <w:szCs w:val="20"/>
          <w:lang w:val="en-US"/>
        </w:rPr>
      </w:pPr>
      <w:r w:rsidRPr="00B75321">
        <w:rPr>
          <w:sz w:val="20"/>
          <w:szCs w:val="20"/>
        </w:rPr>
        <w:t>ASSOCIAÇÃO BRASILEIRA DE NORMAS TÉCNICAS. NBR 7190: projeto de estruturas de madeira. Rio de Janeiro, 2022.</w:t>
      </w:r>
    </w:p>
    <w:p w14:paraId="048EA951" w14:textId="08765C7B" w:rsidR="003155F1" w:rsidRPr="006910BA" w:rsidRDefault="00694FE2">
      <w:pPr>
        <w:widowControl/>
        <w:spacing w:after="120"/>
        <w:jc w:val="both"/>
        <w:rPr>
          <w:sz w:val="20"/>
          <w:szCs w:val="20"/>
          <w:lang w:val="en-US"/>
        </w:rPr>
      </w:pPr>
      <w:r w:rsidRPr="00FC5B14">
        <w:rPr>
          <w:sz w:val="20"/>
          <w:szCs w:val="20"/>
          <w:lang w:val="en-US"/>
        </w:rPr>
        <w:t xml:space="preserve">CHAI, Y.; et al. </w:t>
      </w:r>
      <w:r w:rsidRPr="004D2C37">
        <w:rPr>
          <w:sz w:val="20"/>
          <w:szCs w:val="20"/>
          <w:lang w:val="en-US"/>
        </w:rPr>
        <w:t xml:space="preserve">Acetylated poplar wood. </w:t>
      </w:r>
      <w:r w:rsidRPr="006910BA">
        <w:rPr>
          <w:b/>
          <w:sz w:val="20"/>
          <w:szCs w:val="20"/>
          <w:lang w:val="en-US"/>
        </w:rPr>
        <w:t>BioResources</w:t>
      </w:r>
      <w:r w:rsidRPr="006910BA">
        <w:rPr>
          <w:sz w:val="20"/>
          <w:szCs w:val="20"/>
          <w:lang w:val="en-US"/>
        </w:rPr>
        <w:t>, v. 12, n. 1, p. 912-922, 2017.</w:t>
      </w:r>
    </w:p>
    <w:p w14:paraId="700238FA" w14:textId="77777777" w:rsidR="003155F1" w:rsidRPr="004D2C37" w:rsidRDefault="00694FE2">
      <w:pPr>
        <w:widowControl/>
        <w:spacing w:after="120"/>
        <w:jc w:val="both"/>
        <w:rPr>
          <w:sz w:val="20"/>
          <w:szCs w:val="20"/>
          <w:lang w:val="en-US"/>
        </w:rPr>
      </w:pPr>
      <w:r w:rsidRPr="006910BA">
        <w:rPr>
          <w:sz w:val="20"/>
          <w:szCs w:val="20"/>
          <w:lang w:val="en-US"/>
        </w:rPr>
        <w:t xml:space="preserve">HILL, C.A.S. </w:t>
      </w:r>
      <w:r w:rsidRPr="006910BA">
        <w:rPr>
          <w:b/>
          <w:sz w:val="20"/>
          <w:szCs w:val="20"/>
          <w:lang w:val="en-US"/>
        </w:rPr>
        <w:t xml:space="preserve">Why does acetylation protect wood from microbiological attack? </w:t>
      </w:r>
      <w:r w:rsidRPr="004D2C37">
        <w:rPr>
          <w:b/>
          <w:sz w:val="20"/>
          <w:szCs w:val="20"/>
          <w:lang w:val="en-US"/>
        </w:rPr>
        <w:t>Wood Material Science &amp; Engineering</w:t>
      </w:r>
      <w:r w:rsidRPr="004D2C37">
        <w:rPr>
          <w:sz w:val="20"/>
          <w:szCs w:val="20"/>
          <w:lang w:val="en-US"/>
        </w:rPr>
        <w:t>: 2009.</w:t>
      </w:r>
    </w:p>
    <w:p w14:paraId="2050C3A3" w14:textId="77777777" w:rsidR="003155F1" w:rsidRPr="006910BA" w:rsidRDefault="00694FE2">
      <w:pPr>
        <w:widowControl/>
        <w:spacing w:after="120"/>
        <w:jc w:val="both"/>
        <w:rPr>
          <w:sz w:val="20"/>
          <w:szCs w:val="20"/>
          <w:lang w:val="en-US"/>
        </w:rPr>
      </w:pPr>
      <w:r w:rsidRPr="004D2C37">
        <w:rPr>
          <w:sz w:val="20"/>
          <w:szCs w:val="20"/>
          <w:lang w:val="en-US"/>
        </w:rPr>
        <w:t xml:space="preserve">HOMAN, W.;  et al. </w:t>
      </w:r>
      <w:r w:rsidRPr="004D2C37">
        <w:rPr>
          <w:b/>
          <w:sz w:val="20"/>
          <w:szCs w:val="20"/>
          <w:lang w:val="en-US"/>
        </w:rPr>
        <w:t>Structural and other properties of modified wood.</w:t>
      </w:r>
      <w:r w:rsidRPr="004D2C37">
        <w:rPr>
          <w:sz w:val="20"/>
          <w:szCs w:val="20"/>
          <w:lang w:val="en-US"/>
        </w:rPr>
        <w:t xml:space="preserve"> </w:t>
      </w:r>
      <w:r w:rsidRPr="006910BA">
        <w:rPr>
          <w:sz w:val="20"/>
          <w:szCs w:val="20"/>
          <w:lang w:val="en-US"/>
        </w:rPr>
        <w:t>In: World Conference on Timber Engineering. 2000.</w:t>
      </w:r>
    </w:p>
    <w:p w14:paraId="556DFE95" w14:textId="77777777" w:rsidR="003155F1" w:rsidRPr="006910BA" w:rsidRDefault="00694FE2">
      <w:pPr>
        <w:widowControl/>
        <w:spacing w:after="120"/>
        <w:jc w:val="both"/>
        <w:rPr>
          <w:sz w:val="20"/>
          <w:szCs w:val="20"/>
          <w:lang w:val="en-US"/>
        </w:rPr>
      </w:pPr>
      <w:r w:rsidRPr="006910BA">
        <w:rPr>
          <w:sz w:val="20"/>
          <w:szCs w:val="20"/>
          <w:lang w:val="en-US"/>
        </w:rPr>
        <w:t xml:space="preserve">LARSSON, B., P. </w:t>
      </w:r>
      <w:r w:rsidRPr="006910BA">
        <w:rPr>
          <w:b/>
          <w:sz w:val="20"/>
          <w:szCs w:val="20"/>
          <w:lang w:val="en-US"/>
        </w:rPr>
        <w:t>Benchmarking and state of the art for modified wood</w:t>
      </w:r>
      <w:r w:rsidRPr="006910BA">
        <w:rPr>
          <w:sz w:val="20"/>
          <w:szCs w:val="20"/>
          <w:lang w:val="en-US"/>
        </w:rPr>
        <w:t>. SP Technical Research Institute of Sweden Box 857, 501 15 Borås, Sweden. 2013.</w:t>
      </w:r>
    </w:p>
    <w:p w14:paraId="77CC8712" w14:textId="77777777" w:rsidR="003155F1" w:rsidRPr="004D2C37" w:rsidRDefault="00694FE2">
      <w:pPr>
        <w:widowControl/>
        <w:spacing w:after="120"/>
        <w:jc w:val="both"/>
        <w:rPr>
          <w:sz w:val="20"/>
          <w:szCs w:val="20"/>
          <w:lang w:val="en-US"/>
        </w:rPr>
      </w:pPr>
      <w:r w:rsidRPr="006910BA">
        <w:rPr>
          <w:sz w:val="20"/>
          <w:szCs w:val="20"/>
          <w:lang w:val="en-US"/>
        </w:rPr>
        <w:t xml:space="preserve">SARGENT, R. Evaluating dimensional stability in modified wood: An experimental comparison of test methods. </w:t>
      </w:r>
      <w:r w:rsidRPr="004D2C37">
        <w:rPr>
          <w:sz w:val="20"/>
          <w:szCs w:val="20"/>
          <w:lang w:val="en-US"/>
        </w:rPr>
        <w:t>Forests, v. 13, n. 4, 613, 2022.</w:t>
      </w:r>
    </w:p>
    <w:p w14:paraId="7C66C1C9" w14:textId="77777777" w:rsidR="003155F1" w:rsidRPr="006910BA" w:rsidRDefault="00694FE2">
      <w:pPr>
        <w:widowControl/>
        <w:spacing w:after="120"/>
        <w:jc w:val="both"/>
        <w:rPr>
          <w:sz w:val="20"/>
          <w:szCs w:val="20"/>
          <w:lang w:val="en-US"/>
        </w:rPr>
      </w:pPr>
      <w:r w:rsidRPr="004D2C37">
        <w:rPr>
          <w:sz w:val="20"/>
          <w:szCs w:val="20"/>
          <w:lang w:val="en-US"/>
        </w:rPr>
        <w:t xml:space="preserve">SETHY, A.K.; et al. Catalytic acetylation of Pinus radiata (D. Don) with limited supply of acetic anhydride using conventional and microwave heating. </w:t>
      </w:r>
      <w:r w:rsidRPr="006910BA">
        <w:rPr>
          <w:b/>
          <w:sz w:val="20"/>
          <w:szCs w:val="20"/>
          <w:lang w:val="en-US"/>
        </w:rPr>
        <w:t>Journal of Wood Chemistry and Technology</w:t>
      </w:r>
      <w:r w:rsidRPr="006910BA">
        <w:rPr>
          <w:sz w:val="20"/>
          <w:szCs w:val="20"/>
          <w:lang w:val="en-US"/>
        </w:rPr>
        <w:t>, v. 32, n. 1, p. 1-11, 2012.</w:t>
      </w:r>
    </w:p>
    <w:p w14:paraId="0D252CCA" w14:textId="77777777" w:rsidR="003155F1" w:rsidRPr="006910BA" w:rsidRDefault="00694FE2">
      <w:pPr>
        <w:widowControl/>
        <w:spacing w:after="120"/>
        <w:jc w:val="both"/>
        <w:rPr>
          <w:sz w:val="20"/>
          <w:szCs w:val="20"/>
          <w:lang w:val="en-US"/>
        </w:rPr>
      </w:pPr>
      <w:r w:rsidRPr="006910BA">
        <w:rPr>
          <w:sz w:val="20"/>
          <w:szCs w:val="20"/>
          <w:lang w:val="en-US"/>
        </w:rPr>
        <w:t xml:space="preserve">SUN, B.; CHAI, Y.; LIU, J.; MILITZ, H. Acetylation of plantation softwood without catalysts or solvents. </w:t>
      </w:r>
      <w:r w:rsidRPr="006910BA">
        <w:rPr>
          <w:b/>
          <w:sz w:val="20"/>
          <w:szCs w:val="20"/>
          <w:lang w:val="en-US"/>
        </w:rPr>
        <w:t>Wood Research</w:t>
      </w:r>
      <w:r w:rsidRPr="006910BA">
        <w:rPr>
          <w:sz w:val="20"/>
          <w:szCs w:val="20"/>
          <w:lang w:val="en-US"/>
        </w:rPr>
        <w:t>, v. 64, n. 5, p. 799-810, 2019.</w:t>
      </w:r>
    </w:p>
    <w:p w14:paraId="66340318" w14:textId="77777777" w:rsidR="003155F1" w:rsidRPr="006910BA" w:rsidRDefault="00694FE2">
      <w:pPr>
        <w:widowControl/>
        <w:spacing w:after="120"/>
        <w:jc w:val="both"/>
        <w:rPr>
          <w:sz w:val="20"/>
          <w:szCs w:val="20"/>
          <w:lang w:val="en-US"/>
        </w:rPr>
      </w:pPr>
      <w:r w:rsidRPr="006910BA">
        <w:rPr>
          <w:sz w:val="20"/>
          <w:szCs w:val="20"/>
          <w:lang w:val="en-US"/>
        </w:rPr>
        <w:t xml:space="preserve">STAMM, A.J. </w:t>
      </w:r>
      <w:r w:rsidRPr="006910BA">
        <w:rPr>
          <w:b/>
          <w:sz w:val="20"/>
          <w:szCs w:val="20"/>
          <w:lang w:val="en-US"/>
        </w:rPr>
        <w:t>Wood and cellulose science.</w:t>
      </w:r>
      <w:r w:rsidRPr="006910BA">
        <w:rPr>
          <w:sz w:val="20"/>
          <w:szCs w:val="20"/>
          <w:lang w:val="en-US"/>
        </w:rPr>
        <w:t xml:space="preserve"> The Ronald Press Co.: New York. 1964.</w:t>
      </w:r>
    </w:p>
    <w:p w14:paraId="74679505" w14:textId="77777777" w:rsidR="003155F1" w:rsidRDefault="00694FE2">
      <w:pPr>
        <w:widowControl/>
        <w:spacing w:after="120"/>
        <w:jc w:val="both"/>
        <w:rPr>
          <w:sz w:val="20"/>
          <w:szCs w:val="20"/>
        </w:rPr>
      </w:pPr>
      <w:r w:rsidRPr="006910BA">
        <w:rPr>
          <w:sz w:val="20"/>
          <w:szCs w:val="20"/>
          <w:lang w:val="en-US"/>
        </w:rPr>
        <w:t xml:space="preserve">SADEGHIFAR, H.; DICKERSON, J.P.; ARGYROPOULOS, D.S. Quantitative 31P NMR analysis of solid wood offers an insight into the acetylation of its components. </w:t>
      </w:r>
      <w:r>
        <w:rPr>
          <w:b/>
          <w:sz w:val="20"/>
          <w:szCs w:val="20"/>
        </w:rPr>
        <w:t>Carbohydrate Polymers</w:t>
      </w:r>
      <w:r>
        <w:rPr>
          <w:sz w:val="20"/>
          <w:szCs w:val="20"/>
        </w:rPr>
        <w:t>, v. 113, p. 552-560, 2014.</w:t>
      </w:r>
    </w:p>
    <w:p w14:paraId="44CCD0D6" w14:textId="77777777" w:rsidR="003155F1" w:rsidRDefault="003155F1">
      <w:pPr>
        <w:widowControl/>
        <w:spacing w:after="120"/>
        <w:jc w:val="both"/>
        <w:rPr>
          <w:sz w:val="20"/>
          <w:szCs w:val="20"/>
        </w:rPr>
      </w:pPr>
    </w:p>
    <w:sectPr w:rsidR="003155F1">
      <w:headerReference w:type="even" r:id="rId8"/>
      <w:headerReference w:type="default" r:id="rId9"/>
      <w:footerReference w:type="even" r:id="rId10"/>
      <w:footerReference w:type="default" r:id="rId11"/>
      <w:headerReference w:type="first" r:id="rId12"/>
      <w:footerReference w:type="first" r:id="rId13"/>
      <w:pgSz w:w="11910" w:h="16840"/>
      <w:pgMar w:top="1909" w:right="1134" w:bottom="1134" w:left="1701" w:header="1418" w:footer="14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7152B" w14:textId="77777777" w:rsidR="00987D03" w:rsidRDefault="00987D03">
      <w:r>
        <w:separator/>
      </w:r>
    </w:p>
  </w:endnote>
  <w:endnote w:type="continuationSeparator" w:id="0">
    <w:p w14:paraId="26E692A4" w14:textId="77777777" w:rsidR="00987D03" w:rsidRDefault="00987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2DC8" w14:textId="77777777" w:rsidR="003155F1" w:rsidRDefault="003155F1">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6613" w14:textId="77777777" w:rsidR="003155F1" w:rsidRDefault="003155F1">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0467" w14:textId="77777777" w:rsidR="003155F1" w:rsidRDefault="003155F1">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DC130" w14:textId="77777777" w:rsidR="00987D03" w:rsidRDefault="00987D03">
      <w:r>
        <w:separator/>
      </w:r>
    </w:p>
  </w:footnote>
  <w:footnote w:type="continuationSeparator" w:id="0">
    <w:p w14:paraId="055B3FAF" w14:textId="77777777" w:rsidR="00987D03" w:rsidRDefault="00987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AB6F" w14:textId="77777777" w:rsidR="003155F1" w:rsidRDefault="003155F1">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2C97" w14:textId="77777777" w:rsidR="003155F1" w:rsidRDefault="003155F1">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A61C" w14:textId="77777777" w:rsidR="003155F1" w:rsidRDefault="00694FE2">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14:anchorId="4C816A42" wp14:editId="1BD64E21">
          <wp:extent cx="5274310" cy="791210"/>
          <wp:effectExtent l="0" t="0" r="0" b="0"/>
          <wp:docPr id="43765512" name="image1.png" descr="Desenho de person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1.png" descr="Desenho de personagem de desenho animado&#10;&#10;Descrição gerada automaticamente com confiança média"/>
                  <pic:cNvPicPr preferRelativeResize="0"/>
                </pic:nvPicPr>
                <pic:blipFill>
                  <a:blip r:embed="rId1"/>
                  <a:srcRect/>
                  <a:stretch>
                    <a:fillRect/>
                  </a:stretch>
                </pic:blipFill>
                <pic:spPr>
                  <a:xfrm>
                    <a:off x="0" y="0"/>
                    <a:ext cx="5274310" cy="79121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5F1"/>
    <w:rsid w:val="00103E8C"/>
    <w:rsid w:val="00184F2E"/>
    <w:rsid w:val="003155F1"/>
    <w:rsid w:val="004D2C37"/>
    <w:rsid w:val="004F252D"/>
    <w:rsid w:val="0055362E"/>
    <w:rsid w:val="006608F2"/>
    <w:rsid w:val="006910BA"/>
    <w:rsid w:val="00694FE2"/>
    <w:rsid w:val="006E7B6D"/>
    <w:rsid w:val="00713057"/>
    <w:rsid w:val="00793362"/>
    <w:rsid w:val="008244A0"/>
    <w:rsid w:val="00972B3C"/>
    <w:rsid w:val="009849D1"/>
    <w:rsid w:val="00987D03"/>
    <w:rsid w:val="00AE2E5E"/>
    <w:rsid w:val="00B75321"/>
    <w:rsid w:val="00D042DC"/>
    <w:rsid w:val="00D6431B"/>
    <w:rsid w:val="00D76B5D"/>
    <w:rsid w:val="00F22046"/>
    <w:rsid w:val="00FC5B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F616"/>
  <w15:docId w15:val="{E86EFA4D-12F4-493B-A035-F610FEDD3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pt-BR"/>
    </w:rPr>
  </w:style>
  <w:style w:type="paragraph" w:styleId="Ttulo1">
    <w:name w:val="heading 1"/>
    <w:basedOn w:val="Normal"/>
    <w:uiPriority w:val="9"/>
    <w:qFormat/>
    <w:pPr>
      <w:spacing w:before="18"/>
      <w:ind w:left="107"/>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973" w:hanging="355"/>
    </w:pPr>
  </w:style>
  <w:style w:type="paragraph" w:customStyle="1" w:styleId="TableParagraph">
    <w:name w:val="Table Paragraph"/>
    <w:basedOn w:val="Normal"/>
    <w:uiPriority w:val="1"/>
    <w:qFormat/>
    <w:pPr>
      <w:ind w:left="108"/>
      <w:jc w:val="both"/>
    </w:pPr>
  </w:style>
  <w:style w:type="paragraph" w:styleId="Cabealho">
    <w:name w:val="header"/>
    <w:basedOn w:val="Normal"/>
    <w:link w:val="CabealhoChar"/>
    <w:uiPriority w:val="99"/>
    <w:unhideWhenUsed/>
    <w:rsid w:val="00324625"/>
    <w:pPr>
      <w:tabs>
        <w:tab w:val="center" w:pos="4252"/>
        <w:tab w:val="right" w:pos="8504"/>
      </w:tabs>
    </w:pPr>
  </w:style>
  <w:style w:type="character" w:customStyle="1" w:styleId="CabealhoChar">
    <w:name w:val="Cabeçalho Char"/>
    <w:basedOn w:val="Fontepargpadro"/>
    <w:link w:val="Cabealho"/>
    <w:uiPriority w:val="99"/>
    <w:rsid w:val="00324625"/>
    <w:rPr>
      <w:rFonts w:ascii="Times New Roman" w:eastAsia="Times New Roman" w:hAnsi="Times New Roman" w:cs="Times New Roman"/>
      <w:lang w:val="pt-BR" w:eastAsia="pt-BR" w:bidi="pt-BR"/>
    </w:rPr>
  </w:style>
  <w:style w:type="paragraph" w:styleId="Rodap">
    <w:name w:val="footer"/>
    <w:basedOn w:val="Normal"/>
    <w:link w:val="RodapChar"/>
    <w:uiPriority w:val="99"/>
    <w:unhideWhenUsed/>
    <w:rsid w:val="00324625"/>
    <w:pPr>
      <w:tabs>
        <w:tab w:val="center" w:pos="4252"/>
        <w:tab w:val="right" w:pos="8504"/>
      </w:tabs>
    </w:pPr>
  </w:style>
  <w:style w:type="character" w:customStyle="1" w:styleId="RodapChar">
    <w:name w:val="Rodapé Char"/>
    <w:basedOn w:val="Fontepargpadro"/>
    <w:link w:val="Rodap"/>
    <w:uiPriority w:val="99"/>
    <w:rsid w:val="00324625"/>
    <w:rPr>
      <w:rFonts w:ascii="Times New Roman" w:eastAsia="Times New Roman" w:hAnsi="Times New Roman" w:cs="Times New Roman"/>
      <w:lang w:val="pt-BR" w:eastAsia="pt-BR" w:bidi="pt-BR"/>
    </w:rPr>
  </w:style>
  <w:style w:type="paragraph" w:styleId="NormalWeb">
    <w:name w:val="Normal (Web)"/>
    <w:basedOn w:val="Normal"/>
    <w:uiPriority w:val="99"/>
    <w:rsid w:val="00832A03"/>
    <w:pPr>
      <w:widowControl/>
      <w:suppressAutoHyphens/>
      <w:spacing w:before="100" w:after="119"/>
    </w:pPr>
    <w:rPr>
      <w:sz w:val="24"/>
      <w:szCs w:val="24"/>
      <w:lang w:val="en-US" w:eastAsia="ar-SA" w:bidi="ar-SA"/>
    </w:rPr>
  </w:style>
  <w:style w:type="character" w:styleId="nfase">
    <w:name w:val="Emphasis"/>
    <w:uiPriority w:val="20"/>
    <w:qFormat/>
    <w:rsid w:val="00832A03"/>
    <w:rPr>
      <w:i/>
      <w:iCs/>
    </w:rPr>
  </w:style>
  <w:style w:type="character" w:styleId="Hyperlink">
    <w:name w:val="Hyperlink"/>
    <w:basedOn w:val="Fontepargpadro"/>
    <w:uiPriority w:val="99"/>
    <w:unhideWhenUsed/>
    <w:rsid w:val="00085E2B"/>
    <w:rPr>
      <w:color w:val="0000FF"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08" w:type="dxa"/>
        <w:right w:w="108" w:type="dxa"/>
      </w:tblCellMar>
    </w:tblPr>
  </w:style>
  <w:style w:type="paragraph" w:styleId="Reviso">
    <w:name w:val="Revision"/>
    <w:hidden/>
    <w:uiPriority w:val="99"/>
    <w:semiHidden/>
    <w:rsid w:val="00B84A84"/>
    <w:pPr>
      <w:widowControl/>
    </w:pPr>
    <w:rPr>
      <w:lang w:bidi="pt-BR"/>
    </w:rPr>
  </w:style>
  <w:style w:type="table" w:styleId="Tabelacomgrade">
    <w:name w:val="Table Grid"/>
    <w:basedOn w:val="Tabelanormal"/>
    <w:uiPriority w:val="39"/>
    <w:rsid w:val="00A73DF7"/>
    <w:pPr>
      <w:widowControl/>
    </w:pPr>
    <w:rPr>
      <w:rFonts w:asciiTheme="minorHAnsi" w:eastAsiaTheme="minorHAnsi" w:hAnsiTheme="minorHAnsi" w:cstheme="minorBidi"/>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1">
    <w:basedOn w:val="TableNormal0"/>
    <w:pPr>
      <w:widowControl/>
    </w:pPr>
    <w:rPr>
      <w:rFonts w:ascii="Calibri" w:eastAsia="Calibri" w:hAnsi="Calibri" w:cs="Calibri"/>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87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ywJ+D1QBh0Oy21btzQI1ewiDSw==">CgMxLjAaJQoBMBIgCh4IB0IaCg9UaW1lcyBOZXcgUm9tYW4SB0d1bmdzdWgaJQoBMRIgCh4IB0IaCg9UaW1lcyBOZXcgUm9tYW4SB0d1bmdzdWgaJQoBMhIgCh4IB0IaCg9UaW1lcyBOZXcgUm9tYW4SB0d1bmdzdWgyCGguZ2pkZ3hzMg1oLjhhcTVmOWdjeWpwOAByITFXS0N2Q1Z2NXBBRl9SOU1WSWxJZ01kN0NJTF94TEtHYQ==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6D4422-320E-4C82-841E-4D56C57F5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2353</Words>
  <Characters>12707</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Oliveira Costa</dc:creator>
  <cp:lastModifiedBy>Alexandre  Miguel Nascimento</cp:lastModifiedBy>
  <cp:revision>9</cp:revision>
  <dcterms:created xsi:type="dcterms:W3CDTF">2025-06-18T11:05:00Z</dcterms:created>
  <dcterms:modified xsi:type="dcterms:W3CDTF">2025-06-19T00:44:00Z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2018-11-19T00:00:00Z</vt:filetime>
  </property>
  <property fmtid="{D5CDD505-2E9C-101B-9397-08002B2CF9AE}" pid="3" name="Creator">
    <vt:lpwstr>Microsoft® Word 2016</vt:lpwstr>
  </property>
  <property fmtid="{D5CDD505-2E9C-101B-9397-08002B2CF9AE}" pid="4" name="LastSaved">
    <vt:filetime>2019-09-16T00:00:00Z</vt:filetime>
  </property>
</Properties>
</file>