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608C" w14:textId="18A1C57D" w:rsidR="005D5EA5" w:rsidRDefault="00386726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ONDE IMPLEMENTAR SISTEMAS AGROFLORESTAIS DE MOGNO E CACAU NA REGIÃO METROPOLITANA </w:t>
      </w:r>
      <w:r w:rsidR="0053693B">
        <w:rPr>
          <w:b/>
          <w:sz w:val="24"/>
          <w:szCs w:val="24"/>
        </w:rPr>
        <w:t>DE BELÉM</w:t>
      </w:r>
      <w:r w:rsidR="000E5760">
        <w:rPr>
          <w:b/>
          <w:sz w:val="24"/>
          <w:szCs w:val="24"/>
        </w:rPr>
        <w:t>, PA</w:t>
      </w:r>
      <w:r>
        <w:rPr>
          <w:b/>
          <w:sz w:val="24"/>
          <w:szCs w:val="24"/>
        </w:rPr>
        <w:t>?</w:t>
      </w:r>
    </w:p>
    <w:p w14:paraId="6C75A9D5" w14:textId="77777777" w:rsidR="005D5EA5" w:rsidRDefault="005D5EA5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79013B73" w14:textId="559100DE" w:rsidR="005D5EA5" w:rsidRDefault="003878BB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Yasmim Guedes da Silva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Duanne</w:t>
      </w:r>
      <w:proofErr w:type="spellEnd"/>
      <w:r>
        <w:rPr>
          <w:b/>
          <w:sz w:val="20"/>
          <w:szCs w:val="20"/>
        </w:rPr>
        <w:t xml:space="preserve"> Karine dos Anjos Colares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Hana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Saiumy</w:t>
      </w:r>
      <w:proofErr w:type="spellEnd"/>
      <w:r>
        <w:rPr>
          <w:b/>
          <w:sz w:val="20"/>
          <w:szCs w:val="20"/>
        </w:rPr>
        <w:t xml:space="preserve"> Favacho dos Santos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Camila Vitória Santos Aquino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José Maria Franco Santos Junior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Wesley Lopes Pinto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João Gabriel Ferreira Colares</w:t>
      </w:r>
      <w:r w:rsidR="00805A1D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Iolanda Laranjeira Mota</w:t>
      </w:r>
      <w:r w:rsidR="00805A1D">
        <w:rPr>
          <w:b/>
          <w:sz w:val="20"/>
          <w:szCs w:val="20"/>
          <w:vertAlign w:val="superscript"/>
        </w:rPr>
        <w:t>1</w:t>
      </w:r>
      <w:r w:rsidR="00725467">
        <w:rPr>
          <w:b/>
          <w:sz w:val="20"/>
          <w:szCs w:val="20"/>
        </w:rPr>
        <w:t>, Antonio</w:t>
      </w:r>
      <w:r>
        <w:rPr>
          <w:b/>
          <w:sz w:val="20"/>
          <w:szCs w:val="20"/>
        </w:rPr>
        <w:t xml:space="preserve"> Henrique Cordeiro Ramalho</w:t>
      </w:r>
      <w:r w:rsidR="00805A1D">
        <w:rPr>
          <w:b/>
          <w:sz w:val="20"/>
          <w:szCs w:val="20"/>
          <w:vertAlign w:val="superscript"/>
        </w:rPr>
        <w:t>1</w:t>
      </w:r>
    </w:p>
    <w:p w14:paraId="3F529A59" w14:textId="1F6A7CB3" w:rsidR="005D5EA5" w:rsidRDefault="003878BB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do Oeste do Pará</w:t>
      </w:r>
      <w:r w:rsidR="00E54B28">
        <w:rPr>
          <w:sz w:val="20"/>
          <w:szCs w:val="20"/>
        </w:rPr>
        <w:t>, Instituto de Biodiversidade e Florestas</w:t>
      </w:r>
      <w:r>
        <w:rPr>
          <w:sz w:val="20"/>
          <w:szCs w:val="20"/>
          <w:vertAlign w:val="superscript"/>
        </w:rPr>
        <w:t>1</w:t>
      </w:r>
    </w:p>
    <w:p w14:paraId="5EF80DA4" w14:textId="3C8A964D" w:rsidR="005D5EA5" w:rsidRDefault="00E54B28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1" w:name="_heading=h.yp96iwu2o7wg" w:colFirst="0" w:colLast="0"/>
      <w:bookmarkEnd w:id="1"/>
      <w:r>
        <w:rPr>
          <w:sz w:val="20"/>
          <w:szCs w:val="20"/>
        </w:rPr>
        <w:t>*</w:t>
      </w:r>
      <w:r w:rsidR="003878BB">
        <w:rPr>
          <w:sz w:val="20"/>
          <w:szCs w:val="20"/>
        </w:rPr>
        <w:t>yasmimguedes.eng@gmail.com</w:t>
      </w:r>
    </w:p>
    <w:p w14:paraId="6D302717" w14:textId="77777777" w:rsidR="005D5EA5" w:rsidRDefault="003878B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B588760" w14:textId="77777777" w:rsidR="005D5EA5" w:rsidRDefault="005D5EA5">
      <w:pPr>
        <w:jc w:val="both"/>
        <w:rPr>
          <w:sz w:val="20"/>
          <w:szCs w:val="20"/>
        </w:rPr>
      </w:pPr>
    </w:p>
    <w:p w14:paraId="3E4E6EFA" w14:textId="77777777" w:rsidR="005D5EA5" w:rsidRDefault="003878B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 w14:paraId="62044575" w14:textId="249A02BC" w:rsidR="005D5EA5" w:rsidRDefault="003878BB" w:rsidP="000A5644">
      <w:pPr>
        <w:ind w:left="567" w:righ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degradação florestal configura-se como um dos principais problemas ambientais atuais, gerando consequências ambientais, econômicas e sociais. Nesse contexto, uma alternativa de modelo de produção que tem se mostrado promissor são os </w:t>
      </w:r>
      <w:r w:rsidR="00725467">
        <w:rPr>
          <w:sz w:val="20"/>
          <w:szCs w:val="20"/>
        </w:rPr>
        <w:t>S</w:t>
      </w:r>
      <w:r>
        <w:rPr>
          <w:sz w:val="20"/>
          <w:szCs w:val="20"/>
        </w:rPr>
        <w:t xml:space="preserve">istemas Agroflorestais, baseados no consórcio de espécies frutíferas, arbóreas e/ou agrícolas. Esse sistema de produção, além de favorecer a resiliência quanto às mudanças climáticas, proporciona diversos benefícios socioambientais. Para isso, o planejamento para a implantação eficiente desses sistemas é fundamental. O uso de geotecnologias, com destaque para a lógica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 permite o zoneamento de áreas com potencial para produção. Diante disso, o objetivo desse estudo foi elaborar um zoneamento de aptidão para a implantação de cultivos consorciados com Cacau</w:t>
      </w:r>
      <w:r w:rsidR="00386726">
        <w:rPr>
          <w:sz w:val="20"/>
          <w:szCs w:val="20"/>
        </w:rPr>
        <w:t xml:space="preserve"> (</w:t>
      </w:r>
      <w:proofErr w:type="spellStart"/>
      <w:r w:rsidR="00386726">
        <w:rPr>
          <w:i/>
          <w:sz w:val="20"/>
          <w:szCs w:val="20"/>
        </w:rPr>
        <w:t>Theobroma</w:t>
      </w:r>
      <w:proofErr w:type="spellEnd"/>
      <w:r w:rsidR="00386726">
        <w:rPr>
          <w:i/>
          <w:sz w:val="20"/>
          <w:szCs w:val="20"/>
        </w:rPr>
        <w:t xml:space="preserve"> </w:t>
      </w:r>
      <w:proofErr w:type="spellStart"/>
      <w:r w:rsidR="00386726">
        <w:rPr>
          <w:i/>
          <w:sz w:val="20"/>
          <w:szCs w:val="20"/>
        </w:rPr>
        <w:t>cacao</w:t>
      </w:r>
      <w:proofErr w:type="spellEnd"/>
      <w:r w:rsidR="00386726">
        <w:rPr>
          <w:i/>
          <w:sz w:val="20"/>
          <w:szCs w:val="20"/>
        </w:rPr>
        <w:t xml:space="preserve"> </w:t>
      </w:r>
      <w:r w:rsidR="00386726">
        <w:rPr>
          <w:sz w:val="20"/>
          <w:szCs w:val="20"/>
        </w:rPr>
        <w:t>L.) e Mogno Africano (</w:t>
      </w:r>
      <w:r w:rsidR="00386726">
        <w:rPr>
          <w:i/>
          <w:sz w:val="20"/>
          <w:szCs w:val="20"/>
        </w:rPr>
        <w:t xml:space="preserve">Khaya </w:t>
      </w:r>
      <w:proofErr w:type="spellStart"/>
      <w:r w:rsidR="00386726">
        <w:rPr>
          <w:i/>
          <w:sz w:val="20"/>
          <w:szCs w:val="20"/>
        </w:rPr>
        <w:t>ivorensis</w:t>
      </w:r>
      <w:proofErr w:type="spellEnd"/>
      <w:r w:rsidR="00386726">
        <w:rPr>
          <w:sz w:val="20"/>
          <w:szCs w:val="20"/>
        </w:rPr>
        <w:t xml:space="preserve"> A.)</w:t>
      </w:r>
      <w:r>
        <w:rPr>
          <w:sz w:val="20"/>
          <w:szCs w:val="20"/>
        </w:rPr>
        <w:t xml:space="preserve"> para a região metropolitana do estado do Pará. </w:t>
      </w:r>
      <w:r w:rsidR="00386726">
        <w:rPr>
          <w:sz w:val="20"/>
          <w:szCs w:val="20"/>
        </w:rPr>
        <w:t>A</w:t>
      </w:r>
      <w:r>
        <w:rPr>
          <w:sz w:val="20"/>
          <w:szCs w:val="20"/>
        </w:rPr>
        <w:t xml:space="preserve"> metodologia baseou-se na identificação das exigências das culturas, </w:t>
      </w:r>
      <w:r w:rsidR="00386726">
        <w:rPr>
          <w:sz w:val="20"/>
          <w:szCs w:val="20"/>
        </w:rPr>
        <w:t xml:space="preserve">preparação do banco de dados, </w:t>
      </w:r>
      <w:r>
        <w:rPr>
          <w:sz w:val="20"/>
          <w:szCs w:val="20"/>
        </w:rPr>
        <w:t>aplicação da</w:t>
      </w:r>
      <w:r w:rsidR="00386726">
        <w:rPr>
          <w:sz w:val="20"/>
          <w:szCs w:val="20"/>
        </w:rPr>
        <w:t>s funções de pertinência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Fuzzy</w:t>
      </w:r>
      <w:proofErr w:type="spellEnd"/>
      <w:r w:rsidR="0038672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86726">
        <w:rPr>
          <w:sz w:val="20"/>
          <w:szCs w:val="20"/>
        </w:rPr>
        <w:t xml:space="preserve">sobreposição das variáveis </w:t>
      </w:r>
      <w:proofErr w:type="spellStart"/>
      <w:r w:rsidR="00386726">
        <w:rPr>
          <w:sz w:val="20"/>
          <w:szCs w:val="20"/>
        </w:rPr>
        <w:t>fuzzy</w:t>
      </w:r>
      <w:proofErr w:type="spellEnd"/>
      <w:r w:rsidR="00997164">
        <w:rPr>
          <w:sz w:val="20"/>
          <w:szCs w:val="20"/>
        </w:rPr>
        <w:t xml:space="preserve"> e </w:t>
      </w:r>
      <w:r w:rsidR="00386726">
        <w:rPr>
          <w:sz w:val="20"/>
          <w:szCs w:val="20"/>
        </w:rPr>
        <w:t>reclassificação em classes de aptidão</w:t>
      </w:r>
      <w:r>
        <w:rPr>
          <w:sz w:val="20"/>
          <w:szCs w:val="20"/>
        </w:rPr>
        <w:t>. Os resultados indicam que 58,47% da região Metropolitana apresentam aptidão moderada a muito alto para o cultivo das espécies</w:t>
      </w:r>
      <w:r w:rsidR="0038672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As áreas classificadas como inaptas correspondem a áreas intensamente urbanizadas ou delimitadas por corpos hídricos. </w:t>
      </w:r>
    </w:p>
    <w:p w14:paraId="58E99522" w14:textId="3BB6E88C" w:rsidR="005D5EA5" w:rsidRDefault="003878BB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>: Cultivo consorciado</w:t>
      </w:r>
      <w:r w:rsidR="00FB0CF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B1A5A">
        <w:rPr>
          <w:sz w:val="20"/>
          <w:szCs w:val="20"/>
        </w:rPr>
        <w:t>Geotecnologias</w:t>
      </w:r>
      <w:r w:rsidR="00FB0CF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B1A5A">
        <w:rPr>
          <w:sz w:val="20"/>
          <w:szCs w:val="20"/>
        </w:rPr>
        <w:t>Zoneamento Edafoclimático</w:t>
      </w:r>
    </w:p>
    <w:p w14:paraId="140B2E51" w14:textId="77777777" w:rsidR="005D5EA5" w:rsidRDefault="005D5EA5">
      <w:pPr>
        <w:widowControl/>
        <w:jc w:val="both"/>
        <w:rPr>
          <w:b/>
          <w:color w:val="FF0000"/>
          <w:sz w:val="20"/>
          <w:szCs w:val="20"/>
          <w:highlight w:val="yellow"/>
        </w:rPr>
      </w:pPr>
    </w:p>
    <w:p w14:paraId="0BFCA1A9" w14:textId="77777777" w:rsidR="005D5EA5" w:rsidRDefault="003878BB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75D287C3" w14:textId="77777777" w:rsidR="005D5EA5" w:rsidRDefault="003878BB" w:rsidP="00471209">
      <w:pPr>
        <w:widowControl/>
        <w:ind w:firstLine="709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A degradação dos solos, a perda de biodiversidade e o aumento da vulnerabilidade socioeconômica de pequenos produtores, agravados pelas limitações do modelo convencional da Revolução Verde, reforçam a necessidade de buscar alternativas mais resilientes e integradas ao meio ambiente (POZZETTI </w:t>
      </w:r>
      <w:r>
        <w:rPr>
          <w:i/>
          <w:sz w:val="20"/>
          <w:szCs w:val="20"/>
        </w:rPr>
        <w:t>et al.,</w:t>
      </w:r>
      <w:r>
        <w:rPr>
          <w:sz w:val="20"/>
          <w:szCs w:val="20"/>
        </w:rPr>
        <w:t xml:space="preserve"> 2021). Nesse cenário, os Sistemas Agroflorestais (</w:t>
      </w:r>
      <w:proofErr w:type="spellStart"/>
      <w:r>
        <w:rPr>
          <w:sz w:val="20"/>
          <w:szCs w:val="20"/>
        </w:rPr>
        <w:t>SAFs</w:t>
      </w:r>
      <w:proofErr w:type="spellEnd"/>
      <w:r>
        <w:rPr>
          <w:sz w:val="20"/>
          <w:szCs w:val="20"/>
        </w:rPr>
        <w:t>) surgem como uma proposta promissora, ao conciliarem o cultivo agrícola com espécies arbóreas, gerando benefícios ecológicos, econômicos e sociais (MACHADO; CORREIA, 2023). Sua adoção mostra-se ainda mais estratégica em regiões sob forte pressão da urbanização, bem como em áreas já impactadas pela degradação ambiental ((DA SILVA, 2025; MATEUS; SOUZA FILHO, 2021).</w:t>
      </w:r>
    </w:p>
    <w:p w14:paraId="28AF4CF6" w14:textId="6A5FAB3B" w:rsidR="00386726" w:rsidRDefault="003878BB" w:rsidP="0047120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Para que esses sistemas sejam implementados de forma eficiente, o uso de técnicas de zoneamento ambiental, associadas à aplicação de geotecnologias, torna-se fundamental. Essa ferramenta permite identificar</w:t>
      </w:r>
      <w:r w:rsidR="00E51479">
        <w:rPr>
          <w:sz w:val="20"/>
          <w:szCs w:val="20"/>
        </w:rPr>
        <w:t xml:space="preserve"> </w:t>
      </w:r>
      <w:r>
        <w:rPr>
          <w:sz w:val="20"/>
          <w:szCs w:val="20"/>
        </w:rPr>
        <w:t>locais</w:t>
      </w:r>
      <w:r w:rsidR="00426D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adequados à instalação de </w:t>
      </w:r>
      <w:proofErr w:type="spellStart"/>
      <w:r>
        <w:rPr>
          <w:sz w:val="20"/>
          <w:szCs w:val="20"/>
        </w:rPr>
        <w:t>SAFs</w:t>
      </w:r>
      <w:proofErr w:type="spellEnd"/>
      <w:r>
        <w:rPr>
          <w:sz w:val="20"/>
          <w:szCs w:val="20"/>
        </w:rPr>
        <w:t>, levando em conta aspectos como o tipo de solo, relevo, clima e o uso atual da terra (ALVES, 2022).</w:t>
      </w:r>
      <w:r w:rsidR="00386726">
        <w:rPr>
          <w:sz w:val="20"/>
          <w:szCs w:val="20"/>
        </w:rPr>
        <w:t xml:space="preserve"> Um exemplo de metodologia promissora é a lógica </w:t>
      </w:r>
      <w:proofErr w:type="spellStart"/>
      <w:r w:rsidR="00386726">
        <w:rPr>
          <w:sz w:val="20"/>
          <w:szCs w:val="20"/>
        </w:rPr>
        <w:t>Fuzzy</w:t>
      </w:r>
      <w:proofErr w:type="spellEnd"/>
      <w:r w:rsidR="00386726">
        <w:rPr>
          <w:sz w:val="20"/>
          <w:szCs w:val="20"/>
        </w:rPr>
        <w:t>, que traduz</w:t>
      </w:r>
      <w:r w:rsidR="00386726" w:rsidRPr="00386726">
        <w:rPr>
          <w:sz w:val="20"/>
          <w:szCs w:val="20"/>
        </w:rPr>
        <w:t xml:space="preserve"> valor</w:t>
      </w:r>
      <w:r w:rsidR="00386726">
        <w:rPr>
          <w:sz w:val="20"/>
          <w:szCs w:val="20"/>
        </w:rPr>
        <w:t>es</w:t>
      </w:r>
      <w:r w:rsidR="00386726" w:rsidRPr="00386726">
        <w:rPr>
          <w:sz w:val="20"/>
          <w:szCs w:val="20"/>
        </w:rPr>
        <w:t xml:space="preserve"> qualitativo</w:t>
      </w:r>
      <w:r w:rsidR="00386726">
        <w:rPr>
          <w:sz w:val="20"/>
          <w:szCs w:val="20"/>
        </w:rPr>
        <w:t>s</w:t>
      </w:r>
      <w:r w:rsidR="00386726" w:rsidRPr="00386726">
        <w:rPr>
          <w:sz w:val="20"/>
          <w:szCs w:val="20"/>
        </w:rPr>
        <w:t xml:space="preserve"> em </w:t>
      </w:r>
      <w:r w:rsidR="00386726">
        <w:rPr>
          <w:sz w:val="20"/>
          <w:szCs w:val="20"/>
        </w:rPr>
        <w:t xml:space="preserve">quantitativos </w:t>
      </w:r>
      <w:r w:rsidR="00386726" w:rsidRPr="00386726">
        <w:rPr>
          <w:sz w:val="20"/>
          <w:szCs w:val="20"/>
        </w:rPr>
        <w:t>pertencente</w:t>
      </w:r>
      <w:r w:rsidR="00386726">
        <w:rPr>
          <w:sz w:val="20"/>
          <w:szCs w:val="20"/>
        </w:rPr>
        <w:t>s</w:t>
      </w:r>
      <w:r w:rsidR="00386726" w:rsidRPr="00386726">
        <w:rPr>
          <w:sz w:val="20"/>
          <w:szCs w:val="20"/>
        </w:rPr>
        <w:t xml:space="preserve"> a um conjunto de valores do intervalo entre 0 e 1 </w:t>
      </w:r>
      <w:r w:rsidR="00386726" w:rsidRPr="006B40C9">
        <w:rPr>
          <w:sz w:val="20"/>
          <w:szCs w:val="20"/>
        </w:rPr>
        <w:t>(RAMALHO</w:t>
      </w:r>
      <w:r w:rsidR="006B40C9" w:rsidRPr="006B40C9">
        <w:rPr>
          <w:sz w:val="20"/>
          <w:szCs w:val="20"/>
        </w:rPr>
        <w:t xml:space="preserve">, </w:t>
      </w:r>
      <w:r w:rsidR="00386726" w:rsidRPr="006B40C9">
        <w:rPr>
          <w:sz w:val="20"/>
          <w:szCs w:val="20"/>
        </w:rPr>
        <w:t>202</w:t>
      </w:r>
      <w:r w:rsidR="006B40C9" w:rsidRPr="006B40C9">
        <w:rPr>
          <w:sz w:val="20"/>
          <w:szCs w:val="20"/>
        </w:rPr>
        <w:t>0</w:t>
      </w:r>
      <w:r w:rsidR="00386726" w:rsidRPr="006B40C9">
        <w:rPr>
          <w:sz w:val="20"/>
          <w:szCs w:val="20"/>
        </w:rPr>
        <w:t>).</w:t>
      </w:r>
    </w:p>
    <w:p w14:paraId="68283C6D" w14:textId="77777777" w:rsidR="005D5EA5" w:rsidRDefault="003878BB" w:rsidP="0047120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Além de orientar a ocupação do território, o zoneamento pode ser um importante instrumento para formulação de políticas públicas, incentivando práticas sustentáveis especialmente em regiões que abrigam grande diversidade ecológica e sociocultural (DE ALBUQUERQUE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., 2024). Nesse contexto, o objetivo deste trabalho foi elaborar um zoneamento de áreas com aptidão para a implantação de </w:t>
      </w:r>
      <w:proofErr w:type="spellStart"/>
      <w:r>
        <w:rPr>
          <w:sz w:val="20"/>
          <w:szCs w:val="20"/>
        </w:rPr>
        <w:t>SAFs</w:t>
      </w:r>
      <w:proofErr w:type="spellEnd"/>
      <w:r>
        <w:rPr>
          <w:sz w:val="20"/>
          <w:szCs w:val="20"/>
        </w:rPr>
        <w:t xml:space="preserve"> com </w:t>
      </w:r>
      <w:proofErr w:type="spellStart"/>
      <w:r>
        <w:rPr>
          <w:i/>
          <w:sz w:val="20"/>
          <w:szCs w:val="20"/>
        </w:rPr>
        <w:t>Theobroma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cacao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L. (Cacau) e </w:t>
      </w:r>
      <w:r>
        <w:rPr>
          <w:i/>
          <w:sz w:val="20"/>
          <w:szCs w:val="20"/>
        </w:rPr>
        <w:t xml:space="preserve">Khaya </w:t>
      </w:r>
      <w:proofErr w:type="spellStart"/>
      <w:r>
        <w:rPr>
          <w:i/>
          <w:sz w:val="20"/>
          <w:szCs w:val="20"/>
        </w:rPr>
        <w:t>ivorensis</w:t>
      </w:r>
      <w:proofErr w:type="spellEnd"/>
      <w:r>
        <w:rPr>
          <w:sz w:val="20"/>
          <w:szCs w:val="20"/>
        </w:rPr>
        <w:t xml:space="preserve"> A. </w:t>
      </w:r>
      <w:proofErr w:type="spellStart"/>
      <w:r>
        <w:rPr>
          <w:sz w:val="20"/>
          <w:szCs w:val="20"/>
        </w:rPr>
        <w:t>Chev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Mogno </w:t>
      </w:r>
      <w:proofErr w:type="spellStart"/>
      <w:r>
        <w:rPr>
          <w:sz w:val="20"/>
          <w:szCs w:val="20"/>
        </w:rPr>
        <w:t>Afrinaco</w:t>
      </w:r>
      <w:proofErr w:type="spellEnd"/>
      <w:r>
        <w:rPr>
          <w:sz w:val="20"/>
          <w:szCs w:val="20"/>
        </w:rPr>
        <w:t xml:space="preserve">) na região metropolitana do estado do Pará. </w:t>
      </w:r>
    </w:p>
    <w:p w14:paraId="6AA3113D" w14:textId="77777777" w:rsidR="005D5EA5" w:rsidRDefault="005D5EA5">
      <w:pPr>
        <w:widowControl/>
        <w:ind w:firstLine="700"/>
        <w:jc w:val="both"/>
        <w:rPr>
          <w:b/>
          <w:sz w:val="20"/>
          <w:szCs w:val="20"/>
        </w:rPr>
      </w:pPr>
    </w:p>
    <w:p w14:paraId="0CD943BB" w14:textId="77777777" w:rsidR="005D5EA5" w:rsidRDefault="003878BB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MATERIAL E MÉTODOS </w:t>
      </w:r>
    </w:p>
    <w:p w14:paraId="06080600" w14:textId="77777777" w:rsidR="005D5EA5" w:rsidRDefault="003878B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Descrição da área de estudo</w:t>
      </w:r>
    </w:p>
    <w:p w14:paraId="7CDACFCA" w14:textId="77777777" w:rsidR="005D5EA5" w:rsidRDefault="003878BB" w:rsidP="0047120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área de estudo </w:t>
      </w:r>
      <w:r w:rsidR="00386726" w:rsidRPr="00386726">
        <w:rPr>
          <w:sz w:val="20"/>
          <w:szCs w:val="20"/>
        </w:rPr>
        <w:t xml:space="preserve">contempla 7 municípios, totalizando uma área de aproximadamente 3.566,203 </w:t>
      </w:r>
      <w:r w:rsidR="00386726">
        <w:rPr>
          <w:sz w:val="20"/>
          <w:szCs w:val="20"/>
        </w:rPr>
        <w:t>k</w:t>
      </w:r>
      <w:r w:rsidR="00386726" w:rsidRPr="00386726">
        <w:rPr>
          <w:sz w:val="20"/>
          <w:szCs w:val="20"/>
        </w:rPr>
        <w:t>m²</w:t>
      </w:r>
      <w:r w:rsidR="00386726">
        <w:rPr>
          <w:sz w:val="20"/>
          <w:szCs w:val="20"/>
        </w:rPr>
        <w:t xml:space="preserve"> e</w:t>
      </w:r>
      <w:r w:rsidR="00386726" w:rsidRPr="003867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compreende a região Metropolitana de Belém (MMB), localizada no nordeste do estado do Pará, entre as </w:t>
      </w:r>
      <w:r w:rsidR="00386726">
        <w:rPr>
          <w:sz w:val="20"/>
          <w:szCs w:val="20"/>
        </w:rPr>
        <w:t>os paralelos</w:t>
      </w:r>
      <w:r>
        <w:rPr>
          <w:sz w:val="20"/>
          <w:szCs w:val="20"/>
        </w:rPr>
        <w:t xml:space="preserve"> 1°03’</w:t>
      </w:r>
      <w:r w:rsidR="00386726">
        <w:rPr>
          <w:sz w:val="20"/>
          <w:szCs w:val="20"/>
        </w:rPr>
        <w:t>00”</w:t>
      </w:r>
      <w:r>
        <w:rPr>
          <w:sz w:val="20"/>
          <w:szCs w:val="20"/>
        </w:rPr>
        <w:t xml:space="preserve"> S e </w:t>
      </w:r>
      <w:r w:rsidR="00386726">
        <w:rPr>
          <w:sz w:val="20"/>
          <w:szCs w:val="20"/>
        </w:rPr>
        <w:t>1º85’</w:t>
      </w:r>
      <w:proofErr w:type="gramStart"/>
      <w:r w:rsidR="00386726">
        <w:rPr>
          <w:sz w:val="20"/>
          <w:szCs w:val="20"/>
        </w:rPr>
        <w:t>00”S</w:t>
      </w:r>
      <w:proofErr w:type="gramEnd"/>
      <w:r w:rsidR="00386726">
        <w:rPr>
          <w:sz w:val="20"/>
          <w:szCs w:val="20"/>
        </w:rPr>
        <w:t xml:space="preserve"> e os meridianos </w:t>
      </w:r>
      <w:r>
        <w:rPr>
          <w:sz w:val="20"/>
          <w:szCs w:val="20"/>
        </w:rPr>
        <w:t>47º06’</w:t>
      </w:r>
      <w:r w:rsidR="00386726">
        <w:rPr>
          <w:sz w:val="20"/>
          <w:szCs w:val="20"/>
        </w:rPr>
        <w:t>00”</w:t>
      </w:r>
      <w:r>
        <w:rPr>
          <w:sz w:val="20"/>
          <w:szCs w:val="20"/>
        </w:rPr>
        <w:t>W a e 48°07’</w:t>
      </w:r>
      <w:r w:rsidR="00386726">
        <w:rPr>
          <w:sz w:val="20"/>
          <w:szCs w:val="20"/>
        </w:rPr>
        <w:t>00”</w:t>
      </w:r>
      <w:r>
        <w:rPr>
          <w:sz w:val="20"/>
          <w:szCs w:val="20"/>
        </w:rPr>
        <w:t>W (Figura 1).</w:t>
      </w:r>
    </w:p>
    <w:p w14:paraId="71627583" w14:textId="77777777" w:rsidR="005D5EA5" w:rsidRDefault="003878BB" w:rsidP="00386726">
      <w:pPr>
        <w:widowControl/>
        <w:jc w:val="center"/>
        <w:rPr>
          <w:sz w:val="20"/>
          <w:szCs w:val="20"/>
        </w:rPr>
      </w:pPr>
      <w:bookmarkStart w:id="2" w:name="_heading=h.5c9pivtahdt" w:colFirst="0" w:colLast="0"/>
      <w:bookmarkEnd w:id="2"/>
      <w:r>
        <w:rPr>
          <w:noProof/>
          <w:sz w:val="20"/>
          <w:szCs w:val="20"/>
        </w:rPr>
        <w:lastRenderedPageBreak/>
        <w:drawing>
          <wp:inline distT="0" distB="0" distL="0" distR="0" wp14:anchorId="201F2459" wp14:editId="40EC7DA2">
            <wp:extent cx="3600000" cy="3600000"/>
            <wp:effectExtent l="0" t="0" r="635" b="635"/>
            <wp:docPr id="43765515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3099D" w14:textId="7250363D" w:rsidR="005D5EA5" w:rsidRDefault="003878BB" w:rsidP="00471209">
      <w:pPr>
        <w:widowControl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Figura 1. Localização da área de estudo (Fonte: Os autores, 2025).</w:t>
      </w:r>
    </w:p>
    <w:p w14:paraId="0A3DBBB3" w14:textId="04B57D84" w:rsidR="002649DF" w:rsidRPr="002649DF" w:rsidRDefault="002649DF" w:rsidP="00471209">
      <w:pPr>
        <w:widowControl/>
        <w:ind w:left="851"/>
        <w:jc w:val="both"/>
        <w:rPr>
          <w:sz w:val="20"/>
          <w:szCs w:val="20"/>
          <w:lang w:val="en-US"/>
        </w:rPr>
      </w:pPr>
      <w:r w:rsidRPr="002649DF">
        <w:rPr>
          <w:sz w:val="20"/>
          <w:szCs w:val="20"/>
          <w:lang w:val="en-US"/>
        </w:rPr>
        <w:t>Figure 1. Location of the study area</w:t>
      </w:r>
    </w:p>
    <w:p w14:paraId="4BD4C2F2" w14:textId="77777777" w:rsidR="005D5EA5" w:rsidRDefault="00386726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A região apresenta relevo predominante plano, sem grandes declividades e altitudes variando entre 12 e 58 m acima do nível do mar. De acordo com a classificação de </w:t>
      </w:r>
      <w:proofErr w:type="spellStart"/>
      <w:r>
        <w:rPr>
          <w:sz w:val="20"/>
          <w:szCs w:val="20"/>
        </w:rPr>
        <w:t>Köppen</w:t>
      </w:r>
      <w:proofErr w:type="spellEnd"/>
      <w:r>
        <w:rPr>
          <w:sz w:val="20"/>
          <w:szCs w:val="20"/>
        </w:rPr>
        <w:t xml:space="preserve">, o clima é do tipo tropical úmido </w:t>
      </w:r>
      <w:proofErr w:type="spellStart"/>
      <w:r>
        <w:rPr>
          <w:sz w:val="20"/>
          <w:szCs w:val="20"/>
        </w:rPr>
        <w:t>Afi</w:t>
      </w:r>
      <w:proofErr w:type="spellEnd"/>
      <w:r>
        <w:rPr>
          <w:sz w:val="20"/>
          <w:szCs w:val="20"/>
        </w:rPr>
        <w:t xml:space="preserve">, com chuvas distribuídas durante todo ano e precipitação anual acima de 2000 mm (SANTOS, 2017; CASAROLI </w:t>
      </w:r>
      <w:r>
        <w:rPr>
          <w:i/>
          <w:sz w:val="20"/>
          <w:szCs w:val="20"/>
        </w:rPr>
        <w:t>et al.,</w:t>
      </w:r>
      <w:r>
        <w:rPr>
          <w:sz w:val="20"/>
          <w:szCs w:val="20"/>
        </w:rPr>
        <w:t xml:space="preserve"> 2019).</w:t>
      </w:r>
    </w:p>
    <w:p w14:paraId="3C47A1DE" w14:textId="77777777" w:rsidR="005D5EA5" w:rsidRDefault="005D5EA5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0"/>
          <w:szCs w:val="20"/>
          <w:highlight w:val="yellow"/>
        </w:rPr>
      </w:pPr>
    </w:p>
    <w:p w14:paraId="2319A754" w14:textId="77777777" w:rsidR="005D5EA5" w:rsidRDefault="003878B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Elaboração do banco de dados</w:t>
      </w:r>
    </w:p>
    <w:p w14:paraId="2A3507A6" w14:textId="5EE571DB" w:rsidR="00E26041" w:rsidRPr="00E26041" w:rsidRDefault="003878BB" w:rsidP="00E26041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arquivos de Precipitação (PREC) e Temperatura Média do Ar (TEMP), referentes a uma série histórica de 1960 a 2018, foram obtidos da plataforma </w:t>
      </w:r>
      <w:proofErr w:type="spellStart"/>
      <w:r>
        <w:rPr>
          <w:sz w:val="20"/>
          <w:szCs w:val="20"/>
          <w:highlight w:val="white"/>
        </w:rPr>
        <w:t>WorldClim</w:t>
      </w:r>
      <w:proofErr w:type="spellEnd"/>
      <w:r>
        <w:rPr>
          <w:sz w:val="20"/>
          <w:szCs w:val="20"/>
          <w:highlight w:val="white"/>
        </w:rPr>
        <w:t xml:space="preserve"> (2025). </w:t>
      </w:r>
      <w:r>
        <w:rPr>
          <w:sz w:val="20"/>
          <w:szCs w:val="20"/>
        </w:rPr>
        <w:t xml:space="preserve">Os dados foram recortados para a área de estudo convertidos para o formato pontual e posteriormente </w:t>
      </w:r>
      <w:proofErr w:type="spellStart"/>
      <w:r>
        <w:rPr>
          <w:sz w:val="20"/>
          <w:szCs w:val="20"/>
        </w:rPr>
        <w:t>reamostrados</w:t>
      </w:r>
      <w:proofErr w:type="spellEnd"/>
      <w:r>
        <w:rPr>
          <w:sz w:val="20"/>
          <w:szCs w:val="20"/>
        </w:rPr>
        <w:t xml:space="preserve"> por interpolação de Ponderação pelo Inverso da Distância (IDW), com resolução espacial de 30 m.</w:t>
      </w:r>
      <w:r w:rsidR="00E26041">
        <w:rPr>
          <w:sz w:val="20"/>
          <w:szCs w:val="20"/>
        </w:rPr>
        <w:t xml:space="preserve"> Para a precipitação, considerou-se como ótimas as áreas com média anual acumulada de </w:t>
      </w:r>
      <w:r w:rsidR="00E26041" w:rsidRPr="00E26041">
        <w:rPr>
          <w:sz w:val="20"/>
          <w:szCs w:val="20"/>
        </w:rPr>
        <w:t>1.550 mm a 2.300 mm</w:t>
      </w:r>
      <w:r w:rsidR="00E26041">
        <w:rPr>
          <w:sz w:val="20"/>
          <w:szCs w:val="20"/>
        </w:rPr>
        <w:t xml:space="preserve"> para o </w:t>
      </w:r>
      <w:r w:rsidR="00136AC1">
        <w:rPr>
          <w:sz w:val="20"/>
          <w:szCs w:val="20"/>
        </w:rPr>
        <w:t>M</w:t>
      </w:r>
      <w:r w:rsidR="00E26041">
        <w:rPr>
          <w:sz w:val="20"/>
          <w:szCs w:val="20"/>
        </w:rPr>
        <w:t xml:space="preserve">ogno e de </w:t>
      </w:r>
      <w:r w:rsidR="00E26041" w:rsidRPr="00E26041">
        <w:rPr>
          <w:sz w:val="20"/>
          <w:szCs w:val="20"/>
        </w:rPr>
        <w:t>1.800 mm a 2.500 mm</w:t>
      </w:r>
      <w:r w:rsidR="00E26041">
        <w:rPr>
          <w:sz w:val="20"/>
          <w:szCs w:val="20"/>
        </w:rPr>
        <w:t xml:space="preserve"> para o </w:t>
      </w:r>
      <w:r w:rsidR="00AE6630">
        <w:rPr>
          <w:sz w:val="20"/>
          <w:szCs w:val="20"/>
        </w:rPr>
        <w:t>C</w:t>
      </w:r>
      <w:r w:rsidR="00E26041">
        <w:rPr>
          <w:sz w:val="20"/>
          <w:szCs w:val="20"/>
        </w:rPr>
        <w:t xml:space="preserve">acau. No caso da temperatura, as faixas ótimas foram de </w:t>
      </w:r>
      <w:r w:rsidR="00E26041" w:rsidRPr="00E26041">
        <w:rPr>
          <w:sz w:val="20"/>
          <w:szCs w:val="20"/>
        </w:rPr>
        <w:t xml:space="preserve">23,5 </w:t>
      </w:r>
      <w:r w:rsidR="00E26041" w:rsidRPr="00E26041">
        <w:rPr>
          <w:sz w:val="20"/>
          <w:szCs w:val="20"/>
          <w:vertAlign w:val="superscript"/>
        </w:rPr>
        <w:t>o</w:t>
      </w:r>
      <w:r w:rsidR="00AE6630">
        <w:rPr>
          <w:sz w:val="20"/>
          <w:szCs w:val="20"/>
          <w:vertAlign w:val="superscript"/>
        </w:rPr>
        <w:t xml:space="preserve"> </w:t>
      </w:r>
      <w:r w:rsidR="00E26041" w:rsidRPr="00E26041">
        <w:rPr>
          <w:sz w:val="20"/>
          <w:szCs w:val="20"/>
        </w:rPr>
        <w:t xml:space="preserve">C a 29,5 </w:t>
      </w:r>
      <w:r w:rsidR="00E26041" w:rsidRPr="00E26041">
        <w:rPr>
          <w:sz w:val="20"/>
          <w:szCs w:val="20"/>
          <w:vertAlign w:val="superscript"/>
        </w:rPr>
        <w:t>o</w:t>
      </w:r>
      <w:r w:rsidR="00AE6630">
        <w:rPr>
          <w:sz w:val="20"/>
          <w:szCs w:val="20"/>
          <w:vertAlign w:val="superscript"/>
        </w:rPr>
        <w:t xml:space="preserve"> </w:t>
      </w:r>
      <w:r w:rsidR="00E26041" w:rsidRPr="00E26041">
        <w:rPr>
          <w:sz w:val="20"/>
          <w:szCs w:val="20"/>
        </w:rPr>
        <w:t>C</w:t>
      </w:r>
      <w:r w:rsidR="00E26041">
        <w:rPr>
          <w:sz w:val="20"/>
          <w:szCs w:val="20"/>
        </w:rPr>
        <w:t xml:space="preserve"> (</w:t>
      </w:r>
      <w:r w:rsidR="00AE6630">
        <w:rPr>
          <w:sz w:val="20"/>
          <w:szCs w:val="20"/>
        </w:rPr>
        <w:t>M</w:t>
      </w:r>
      <w:r w:rsidR="00E26041">
        <w:rPr>
          <w:sz w:val="20"/>
          <w:szCs w:val="20"/>
        </w:rPr>
        <w:t xml:space="preserve">ogno) e </w:t>
      </w:r>
      <w:r w:rsidR="00E26041" w:rsidRPr="00E26041">
        <w:rPr>
          <w:sz w:val="20"/>
          <w:szCs w:val="20"/>
        </w:rPr>
        <w:t xml:space="preserve">22 </w:t>
      </w:r>
      <w:r w:rsidR="00E26041" w:rsidRPr="00E26041">
        <w:rPr>
          <w:sz w:val="20"/>
          <w:szCs w:val="20"/>
          <w:vertAlign w:val="superscript"/>
        </w:rPr>
        <w:t>o</w:t>
      </w:r>
      <w:r w:rsidR="00AE6630">
        <w:rPr>
          <w:sz w:val="20"/>
          <w:szCs w:val="20"/>
          <w:vertAlign w:val="superscript"/>
        </w:rPr>
        <w:t xml:space="preserve"> </w:t>
      </w:r>
      <w:r w:rsidR="00E26041" w:rsidRPr="00E26041">
        <w:rPr>
          <w:sz w:val="20"/>
          <w:szCs w:val="20"/>
        </w:rPr>
        <w:t xml:space="preserve">C a 28 </w:t>
      </w:r>
      <w:r w:rsidR="00E26041" w:rsidRPr="00E26041">
        <w:rPr>
          <w:sz w:val="20"/>
          <w:szCs w:val="20"/>
          <w:vertAlign w:val="superscript"/>
        </w:rPr>
        <w:t>o</w:t>
      </w:r>
      <w:r w:rsidR="00AE6630">
        <w:rPr>
          <w:sz w:val="20"/>
          <w:szCs w:val="20"/>
          <w:vertAlign w:val="superscript"/>
        </w:rPr>
        <w:t xml:space="preserve"> </w:t>
      </w:r>
      <w:r w:rsidR="00E26041" w:rsidRPr="00E26041">
        <w:rPr>
          <w:sz w:val="20"/>
          <w:szCs w:val="20"/>
        </w:rPr>
        <w:t>C</w:t>
      </w:r>
      <w:r w:rsidR="00E26041">
        <w:rPr>
          <w:sz w:val="20"/>
          <w:szCs w:val="20"/>
        </w:rPr>
        <w:t xml:space="preserve"> (</w:t>
      </w:r>
      <w:r w:rsidR="00AE6630">
        <w:rPr>
          <w:sz w:val="20"/>
          <w:szCs w:val="20"/>
        </w:rPr>
        <w:t>C</w:t>
      </w:r>
      <w:r w:rsidR="00E26041">
        <w:rPr>
          <w:sz w:val="20"/>
          <w:szCs w:val="20"/>
        </w:rPr>
        <w:t>acau)</w:t>
      </w:r>
      <w:r w:rsidR="008345EA">
        <w:rPr>
          <w:sz w:val="20"/>
          <w:szCs w:val="20"/>
        </w:rPr>
        <w:t xml:space="preserve"> (C</w:t>
      </w:r>
      <w:r w:rsidR="00644225">
        <w:rPr>
          <w:sz w:val="20"/>
          <w:szCs w:val="20"/>
        </w:rPr>
        <w:t xml:space="preserve">ASAROLI, </w:t>
      </w:r>
      <w:r w:rsidR="00644225" w:rsidRPr="00543633">
        <w:rPr>
          <w:i/>
          <w:iCs/>
          <w:sz w:val="20"/>
          <w:szCs w:val="20"/>
        </w:rPr>
        <w:t>et al</w:t>
      </w:r>
      <w:r w:rsidR="00644225">
        <w:rPr>
          <w:sz w:val="20"/>
          <w:szCs w:val="20"/>
        </w:rPr>
        <w:t>., 2018</w:t>
      </w:r>
      <w:r w:rsidR="000A5644">
        <w:rPr>
          <w:sz w:val="20"/>
          <w:szCs w:val="20"/>
        </w:rPr>
        <w:t>; SENAR, 2018</w:t>
      </w:r>
      <w:r w:rsidR="00644225">
        <w:rPr>
          <w:sz w:val="20"/>
          <w:szCs w:val="20"/>
        </w:rPr>
        <w:t>)</w:t>
      </w:r>
      <w:r w:rsidR="000A5644">
        <w:rPr>
          <w:sz w:val="20"/>
          <w:szCs w:val="20"/>
        </w:rPr>
        <w:t>.</w:t>
      </w:r>
    </w:p>
    <w:p w14:paraId="4F7345BE" w14:textId="655D2F35" w:rsidR="005D5EA5" w:rsidRDefault="003878BB" w:rsidP="00E26041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malha viária do país foi obtida por na plataforma </w:t>
      </w:r>
      <w:proofErr w:type="spellStart"/>
      <w:r>
        <w:rPr>
          <w:sz w:val="20"/>
          <w:szCs w:val="20"/>
          <w:highlight w:val="white"/>
        </w:rPr>
        <w:t>OpenStreenMap</w:t>
      </w:r>
      <w:proofErr w:type="spellEnd"/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</w:rPr>
        <w:t xml:space="preserve">e recortada para os limites da área de estudo, visando identificar possíveis rotas para o escoamento da produção. </w:t>
      </w:r>
      <w:r w:rsidR="00E26041">
        <w:rPr>
          <w:sz w:val="20"/>
          <w:szCs w:val="20"/>
        </w:rPr>
        <w:t xml:space="preserve">Posteriormente, a distância euclidiana foi empregada para calcular a distância entre as células da malha viária e gerar o arquivo de proximidade de estradas. </w:t>
      </w:r>
      <w:r>
        <w:rPr>
          <w:sz w:val="20"/>
          <w:szCs w:val="20"/>
        </w:rPr>
        <w:t xml:space="preserve">Os dados de Uso e Ocupação da Terra (UOT), foram obtidos do projeto </w:t>
      </w:r>
      <w:proofErr w:type="spellStart"/>
      <w:r>
        <w:rPr>
          <w:sz w:val="20"/>
          <w:szCs w:val="20"/>
        </w:rPr>
        <w:t>MapBiomas</w:t>
      </w:r>
      <w:proofErr w:type="spellEnd"/>
      <w:r>
        <w:rPr>
          <w:sz w:val="20"/>
          <w:szCs w:val="20"/>
        </w:rPr>
        <w:t xml:space="preserve">, ano base 2023, com resolução de 30 m (MAPBIOMAS, 2025), sendo considerados apenas polígonos com características adequadas à implementação de </w:t>
      </w:r>
      <w:proofErr w:type="spellStart"/>
      <w:r>
        <w:rPr>
          <w:sz w:val="20"/>
          <w:szCs w:val="20"/>
        </w:rPr>
        <w:t>SAFs</w:t>
      </w:r>
      <w:proofErr w:type="spellEnd"/>
      <w:r>
        <w:rPr>
          <w:sz w:val="20"/>
          <w:szCs w:val="20"/>
        </w:rPr>
        <w:t xml:space="preserve">. </w:t>
      </w:r>
      <w:r w:rsidR="00E26041">
        <w:rPr>
          <w:sz w:val="20"/>
          <w:szCs w:val="20"/>
        </w:rPr>
        <w:t>As áreas ótimas em relação ao UOT foram as cobertas por a</w:t>
      </w:r>
      <w:r w:rsidR="00E26041" w:rsidRPr="00E26041">
        <w:rPr>
          <w:sz w:val="20"/>
          <w:szCs w:val="20"/>
        </w:rPr>
        <w:t xml:space="preserve">gropecuária </w:t>
      </w:r>
      <w:r w:rsidR="00E26041">
        <w:rPr>
          <w:sz w:val="20"/>
          <w:szCs w:val="20"/>
        </w:rPr>
        <w:t>(</w:t>
      </w:r>
      <w:r w:rsidR="00E26041" w:rsidRPr="00E26041">
        <w:rPr>
          <w:sz w:val="20"/>
          <w:szCs w:val="20"/>
        </w:rPr>
        <w:t>Pastagem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Agricultura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Soja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Arroz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Algodão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Café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Citrus</w:t>
      </w:r>
      <w:r w:rsidR="00E26041">
        <w:rPr>
          <w:sz w:val="20"/>
          <w:szCs w:val="20"/>
        </w:rPr>
        <w:t>,</w:t>
      </w:r>
      <w:r w:rsidR="00E26041" w:rsidRPr="00E26041">
        <w:rPr>
          <w:sz w:val="20"/>
          <w:szCs w:val="20"/>
        </w:rPr>
        <w:t xml:space="preserve"> Dendê </w:t>
      </w:r>
      <w:r w:rsidR="00E26041">
        <w:rPr>
          <w:sz w:val="20"/>
          <w:szCs w:val="20"/>
        </w:rPr>
        <w:t xml:space="preserve">e </w:t>
      </w:r>
      <w:r w:rsidR="00E26041" w:rsidRPr="00E26041">
        <w:rPr>
          <w:sz w:val="20"/>
          <w:szCs w:val="20"/>
        </w:rPr>
        <w:t>Silvicultura</w:t>
      </w:r>
      <w:r w:rsidR="00E26041">
        <w:rPr>
          <w:sz w:val="20"/>
          <w:szCs w:val="20"/>
        </w:rPr>
        <w:t>).</w:t>
      </w:r>
    </w:p>
    <w:p w14:paraId="14476D15" w14:textId="6FBEE8A3" w:rsidR="005D5EA5" w:rsidRPr="00E26041" w:rsidRDefault="003878BB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declividade </w:t>
      </w:r>
      <w:r w:rsidR="00997E5C">
        <w:rPr>
          <w:sz w:val="20"/>
          <w:szCs w:val="20"/>
        </w:rPr>
        <w:t xml:space="preserve">foi obtida </w:t>
      </w:r>
      <w:r>
        <w:rPr>
          <w:sz w:val="20"/>
          <w:szCs w:val="20"/>
        </w:rPr>
        <w:t xml:space="preserve">através do Modelo Digital de Elevação (MDE), com resolução espacial de 30 m, disponibilizado pela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Aeronautics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Space </w:t>
      </w:r>
      <w:proofErr w:type="spellStart"/>
      <w:r>
        <w:rPr>
          <w:sz w:val="20"/>
          <w:szCs w:val="20"/>
        </w:rPr>
        <w:t>Administration</w:t>
      </w:r>
      <w:proofErr w:type="spellEnd"/>
      <w:r>
        <w:rPr>
          <w:sz w:val="20"/>
          <w:szCs w:val="20"/>
        </w:rPr>
        <w:t xml:space="preserve"> (NASA), por meio da missão topográfica </w:t>
      </w:r>
      <w:proofErr w:type="spellStart"/>
      <w:r>
        <w:rPr>
          <w:sz w:val="20"/>
          <w:szCs w:val="20"/>
        </w:rPr>
        <w:t>Shuttle</w:t>
      </w:r>
      <w:proofErr w:type="spellEnd"/>
      <w:r>
        <w:rPr>
          <w:sz w:val="20"/>
          <w:szCs w:val="20"/>
        </w:rPr>
        <w:t xml:space="preserve"> Radar </w:t>
      </w:r>
      <w:proofErr w:type="spellStart"/>
      <w:r>
        <w:rPr>
          <w:sz w:val="20"/>
          <w:szCs w:val="20"/>
        </w:rPr>
        <w:t>Topography</w:t>
      </w:r>
      <w:proofErr w:type="spellEnd"/>
      <w:r>
        <w:rPr>
          <w:sz w:val="20"/>
          <w:szCs w:val="20"/>
        </w:rPr>
        <w:t xml:space="preserve"> Mission </w:t>
      </w:r>
      <w:r>
        <w:rPr>
          <w:sz w:val="20"/>
          <w:szCs w:val="20"/>
          <w:highlight w:val="white"/>
        </w:rPr>
        <w:t>(SRTM</w:t>
      </w:r>
      <w:r>
        <w:rPr>
          <w:sz w:val="20"/>
          <w:szCs w:val="20"/>
        </w:rPr>
        <w:t xml:space="preserve">). Após correções no arquivo, o MDE foi processado, resultando em um arquivo matricial clinográfico em </w:t>
      </w:r>
      <w:proofErr w:type="spellStart"/>
      <w:r>
        <w:rPr>
          <w:sz w:val="20"/>
          <w:szCs w:val="20"/>
        </w:rPr>
        <w:t>gradianos</w:t>
      </w:r>
      <w:proofErr w:type="spellEnd"/>
      <w:r>
        <w:rPr>
          <w:sz w:val="20"/>
          <w:szCs w:val="20"/>
        </w:rPr>
        <w:t xml:space="preserve">. </w:t>
      </w:r>
      <w:r w:rsidR="007B22ED" w:rsidRPr="007B22ED">
        <w:rPr>
          <w:sz w:val="20"/>
          <w:szCs w:val="20"/>
        </w:rPr>
        <w:t>Áreas com declividade inferior a 27° foram consideradas ideais para ambas as culturas devido à facilidade de manejo</w:t>
      </w:r>
      <w:r w:rsidR="007B22ED">
        <w:rPr>
          <w:sz w:val="20"/>
          <w:szCs w:val="20"/>
        </w:rPr>
        <w:t>.</w:t>
      </w:r>
    </w:p>
    <w:p w14:paraId="5D482B1F" w14:textId="68AD8940" w:rsidR="00B06B94" w:rsidRDefault="003878BB" w:rsidP="00E278CB">
      <w:pPr>
        <w:widowControl/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A classificação do tipo de solo foi gerada a partir de dados vetoriais do Mapa Solos do Brasil, fornecido pela Empresa Brasileira de Pesquisa Agropecuária (EMBRAPA). Devido a escala do arquivo</w:t>
      </w:r>
      <w:r w:rsidR="00B95EE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foi realizada a </w:t>
      </w:r>
      <w:proofErr w:type="spellStart"/>
      <w:r>
        <w:rPr>
          <w:sz w:val="20"/>
          <w:szCs w:val="20"/>
        </w:rPr>
        <w:t>reamostragem</w:t>
      </w:r>
      <w:proofErr w:type="spellEnd"/>
      <w:r>
        <w:rPr>
          <w:sz w:val="20"/>
          <w:szCs w:val="20"/>
        </w:rPr>
        <w:t xml:space="preserve"> espacial por interpolação IDW, com fator de ajuste de 3 e resolução de 30 m.</w:t>
      </w:r>
      <w:r w:rsidR="00E26041">
        <w:rPr>
          <w:sz w:val="20"/>
          <w:szCs w:val="20"/>
        </w:rPr>
        <w:t xml:space="preserve"> As áreas ótimas em relação às classes de solo para o </w:t>
      </w:r>
      <w:r w:rsidR="00B06B94">
        <w:rPr>
          <w:sz w:val="20"/>
          <w:szCs w:val="20"/>
        </w:rPr>
        <w:t>M</w:t>
      </w:r>
      <w:r w:rsidR="00E26041">
        <w:rPr>
          <w:sz w:val="20"/>
          <w:szCs w:val="20"/>
        </w:rPr>
        <w:t>ogno foram</w:t>
      </w:r>
      <w:r w:rsidR="00457B0F">
        <w:rPr>
          <w:sz w:val="20"/>
          <w:szCs w:val="20"/>
        </w:rPr>
        <w:t xml:space="preserve">: </w:t>
      </w:r>
      <w:proofErr w:type="spellStart"/>
      <w:r w:rsidR="00E26041" w:rsidRPr="00E26041">
        <w:rPr>
          <w:sz w:val="20"/>
          <w:szCs w:val="20"/>
        </w:rPr>
        <w:t>Argissolo</w:t>
      </w:r>
      <w:proofErr w:type="spellEnd"/>
      <w:r w:rsidR="00E26041">
        <w:rPr>
          <w:sz w:val="20"/>
          <w:szCs w:val="20"/>
        </w:rPr>
        <w:t xml:space="preserve">, </w:t>
      </w:r>
      <w:r w:rsidR="00E26041" w:rsidRPr="00E26041">
        <w:rPr>
          <w:sz w:val="20"/>
          <w:szCs w:val="20"/>
        </w:rPr>
        <w:t>Latossolo</w:t>
      </w:r>
      <w:r w:rsidR="00E26041">
        <w:rPr>
          <w:sz w:val="20"/>
          <w:szCs w:val="20"/>
        </w:rPr>
        <w:t xml:space="preserve"> e </w:t>
      </w:r>
      <w:proofErr w:type="spellStart"/>
      <w:r w:rsidR="00E26041" w:rsidRPr="00E26041">
        <w:rPr>
          <w:sz w:val="20"/>
          <w:szCs w:val="20"/>
        </w:rPr>
        <w:t>Neossolo</w:t>
      </w:r>
      <w:proofErr w:type="spellEnd"/>
      <w:r w:rsidR="00E26041">
        <w:rPr>
          <w:sz w:val="20"/>
          <w:szCs w:val="20"/>
        </w:rPr>
        <w:t xml:space="preserve">, enquanto para o </w:t>
      </w:r>
      <w:r w:rsidR="00B06B94">
        <w:rPr>
          <w:sz w:val="20"/>
          <w:szCs w:val="20"/>
        </w:rPr>
        <w:t>C</w:t>
      </w:r>
      <w:r w:rsidR="00E26041">
        <w:rPr>
          <w:sz w:val="20"/>
          <w:szCs w:val="20"/>
        </w:rPr>
        <w:t xml:space="preserve">acau foram os </w:t>
      </w:r>
      <w:proofErr w:type="spellStart"/>
      <w:r w:rsidR="00E26041" w:rsidRPr="00E26041">
        <w:rPr>
          <w:sz w:val="20"/>
          <w:szCs w:val="20"/>
        </w:rPr>
        <w:t>Nitossolo</w:t>
      </w:r>
      <w:r w:rsidR="00E26041">
        <w:rPr>
          <w:sz w:val="20"/>
          <w:szCs w:val="20"/>
        </w:rPr>
        <w:t>s</w:t>
      </w:r>
      <w:proofErr w:type="spellEnd"/>
      <w:r w:rsidR="00E26041">
        <w:rPr>
          <w:sz w:val="20"/>
          <w:szCs w:val="20"/>
        </w:rPr>
        <w:t>.</w:t>
      </w:r>
    </w:p>
    <w:p w14:paraId="266EEBD2" w14:textId="77777777" w:rsidR="00B06B94" w:rsidRDefault="00B06B94" w:rsidP="00B06B94">
      <w:pPr>
        <w:widowControl/>
        <w:ind w:firstLine="680"/>
        <w:jc w:val="both"/>
        <w:rPr>
          <w:sz w:val="20"/>
          <w:szCs w:val="20"/>
        </w:rPr>
      </w:pPr>
    </w:p>
    <w:p w14:paraId="42685FDB" w14:textId="77777777" w:rsidR="005D5EA5" w:rsidRDefault="003878B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Processamento</w:t>
      </w:r>
    </w:p>
    <w:p w14:paraId="5721DA18" w14:textId="44F4890C" w:rsidR="00E26041" w:rsidRDefault="00E26041" w:rsidP="00EB7364">
      <w:pPr>
        <w:widowControl/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Após elaborar o banco de dados procedeu-se com a aplicação da lógica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 nas variáveis matriciais, atribuindo valores entre 0 e 1, onde quanto mais próximo de 1, maior a propensão, quanto mais próximo de 0 menor a propensão</w:t>
      </w:r>
      <w:r w:rsidR="00386726">
        <w:rPr>
          <w:sz w:val="20"/>
          <w:szCs w:val="20"/>
        </w:rPr>
        <w:t xml:space="preserve">. Para isso, </w:t>
      </w:r>
      <w:r>
        <w:rPr>
          <w:sz w:val="20"/>
          <w:szCs w:val="20"/>
        </w:rPr>
        <w:t>é necessário que sejam definidas as funções de pertinência a serem aplicadas em função do comportamento de cada variável. Para as variáveis de temperatura, precipitação, tipos de solos e</w:t>
      </w:r>
      <w:r w:rsidR="00EB7364">
        <w:rPr>
          <w:sz w:val="20"/>
          <w:szCs w:val="20"/>
        </w:rPr>
        <w:t xml:space="preserve"> UOT</w:t>
      </w:r>
      <w:r>
        <w:rPr>
          <w:sz w:val="20"/>
          <w:szCs w:val="20"/>
        </w:rPr>
        <w:t xml:space="preserve">, foi utilizada a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 linear crescente, que indica que quanto maior for o valor reclassificado da variável, maior será a propensão daquela área</w:t>
      </w:r>
      <w:r w:rsidR="00EB736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Já as variáveis de proximidade de estradas e declividade, a função escolhida foi a </w:t>
      </w:r>
      <w:proofErr w:type="spellStart"/>
      <w:r w:rsidR="00FB3689">
        <w:rPr>
          <w:sz w:val="20"/>
          <w:szCs w:val="20"/>
        </w:rPr>
        <w:t>S</w:t>
      </w:r>
      <w:r>
        <w:rPr>
          <w:sz w:val="20"/>
          <w:szCs w:val="20"/>
        </w:rPr>
        <w:t>mall</w:t>
      </w:r>
      <w:proofErr w:type="spellEnd"/>
      <w:r>
        <w:rPr>
          <w:sz w:val="20"/>
          <w:szCs w:val="20"/>
        </w:rPr>
        <w:t>, que indicam que a partir de um ponto médio predeterminado, a inaptidão aumenta exponencialmente. Sendo assim, considerou-se como ponto médio da proximidade de estradas 5.000 metros, e da declividade o ponto médio foi de 27º.</w:t>
      </w:r>
    </w:p>
    <w:p w14:paraId="789B2B99" w14:textId="77777777" w:rsidR="00FB3689" w:rsidRDefault="003878BB" w:rsidP="00E26041">
      <w:pPr>
        <w:widowControl/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Após a aplicação das funções de pertinência, foi aplicada a metodologia de sobreposição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Gamma</w:t>
      </w:r>
      <w:proofErr w:type="spellEnd"/>
      <w:r>
        <w:rPr>
          <w:sz w:val="20"/>
          <w:szCs w:val="20"/>
        </w:rPr>
        <w:t xml:space="preserve">, com fator de agregação padrão (0.9), para avaliar o grau de pertencimento das células aos conjuntos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>, conforme a metodologia adotada por Ramalho (2020).</w:t>
      </w:r>
      <w:r w:rsidR="00E260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sobreposição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, gerou dois arquivos matriciais, uma para cada uma das culturas. Para identificar as áreas ótimas para o cultivo em SAF, foi procedido com o cruzamento dos dois resultados, gerando um único arquivo representando as áreas aptas ao consórcio das espécies. Para facilitar a interpretação, a imagem final foi reclassificada em cinco classes de risco de aptidão: Muito Baixa (0-0,2); Baixa (0,2-0,4); Moderada (0,4-0,6); Alta (0,6-08) e Muito Alta (0,8-1).            </w:t>
      </w:r>
    </w:p>
    <w:p w14:paraId="48B8ABD3" w14:textId="59750059" w:rsidR="005D5EA5" w:rsidRDefault="003878BB" w:rsidP="00E26041">
      <w:pPr>
        <w:widowControl/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6FA4A713" w14:textId="77777777" w:rsidR="005D5EA5" w:rsidRDefault="003878B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14:paraId="1AAA738C" w14:textId="20E4ABF3" w:rsidR="005D5EA5" w:rsidRDefault="003878BB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Os resultados obtidos com a sobreposição das condições climáticas e edáficas das espécies estudadas estão apresentados na Figura 2.</w:t>
      </w:r>
    </w:p>
    <w:p w14:paraId="7FA55926" w14:textId="77777777" w:rsidR="006B40C9" w:rsidRDefault="006B40C9">
      <w:pPr>
        <w:widowControl/>
        <w:ind w:firstLine="709"/>
        <w:jc w:val="both"/>
        <w:rPr>
          <w:sz w:val="20"/>
          <w:szCs w:val="20"/>
        </w:rPr>
      </w:pPr>
    </w:p>
    <w:p w14:paraId="181F8E37" w14:textId="77777777" w:rsidR="005D5EA5" w:rsidRDefault="003878BB" w:rsidP="0037309B">
      <w:pPr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50C6834" wp14:editId="4D94668E">
            <wp:extent cx="3600000" cy="3738810"/>
            <wp:effectExtent l="0" t="0" r="635" b="0"/>
            <wp:docPr id="43765517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9"/>
                    <a:srcRect l="4156" t="2338" r="1807"/>
                    <a:stretch/>
                  </pic:blipFill>
                  <pic:spPr bwMode="auto">
                    <a:xfrm>
                      <a:off x="0" y="0"/>
                      <a:ext cx="3600000" cy="37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C98A1" w14:textId="2307D18C" w:rsidR="0056620C" w:rsidRDefault="003878BB" w:rsidP="00A91F11">
      <w:pPr>
        <w:widowControl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Figura 2: Zoneamento de aptidão para a instalação de Cacau e Mogno Africano em cultivo consorciado</w:t>
      </w:r>
      <w:r w:rsidR="0037309B">
        <w:rPr>
          <w:sz w:val="20"/>
          <w:szCs w:val="20"/>
        </w:rPr>
        <w:t xml:space="preserve"> </w:t>
      </w:r>
      <w:r>
        <w:rPr>
          <w:sz w:val="20"/>
          <w:szCs w:val="20"/>
        </w:rPr>
        <w:t>na Região Metropolitana do estado de Belém, Pará</w:t>
      </w:r>
      <w:r w:rsidR="0056620C">
        <w:rPr>
          <w:sz w:val="20"/>
          <w:szCs w:val="20"/>
        </w:rPr>
        <w:t xml:space="preserve"> (Fonte: Autores</w:t>
      </w:r>
      <w:r w:rsidR="001E62C1">
        <w:rPr>
          <w:sz w:val="20"/>
          <w:szCs w:val="20"/>
        </w:rPr>
        <w:t xml:space="preserve">, </w:t>
      </w:r>
      <w:r w:rsidR="0056620C">
        <w:rPr>
          <w:sz w:val="20"/>
          <w:szCs w:val="20"/>
        </w:rPr>
        <w:t>2025).</w:t>
      </w:r>
    </w:p>
    <w:p w14:paraId="7DFEBE19" w14:textId="36720A0D" w:rsidR="002649DF" w:rsidRPr="002649DF" w:rsidRDefault="002649DF" w:rsidP="00A91F11">
      <w:pPr>
        <w:widowControl/>
        <w:ind w:left="851"/>
        <w:jc w:val="both"/>
        <w:rPr>
          <w:sz w:val="20"/>
          <w:szCs w:val="20"/>
          <w:lang w:val="en-US"/>
        </w:rPr>
      </w:pPr>
      <w:r w:rsidRPr="002649DF">
        <w:rPr>
          <w:sz w:val="20"/>
          <w:szCs w:val="20"/>
          <w:lang w:val="en-US"/>
        </w:rPr>
        <w:t xml:space="preserve">Figure 2: Suitability zoning for the establishment of cacao and African mahogany in intercropped cultivation in the Metropolitan Region of the state of </w:t>
      </w:r>
      <w:proofErr w:type="spellStart"/>
      <w:r w:rsidRPr="002649DF">
        <w:rPr>
          <w:sz w:val="20"/>
          <w:szCs w:val="20"/>
          <w:lang w:val="en-US"/>
        </w:rPr>
        <w:t>Belém</w:t>
      </w:r>
      <w:proofErr w:type="spellEnd"/>
      <w:r w:rsidRPr="002649DF">
        <w:rPr>
          <w:sz w:val="20"/>
          <w:szCs w:val="20"/>
          <w:lang w:val="en-US"/>
        </w:rPr>
        <w:t>, Pará</w:t>
      </w:r>
    </w:p>
    <w:p w14:paraId="674FB999" w14:textId="0AC4F487" w:rsidR="005D5EA5" w:rsidRDefault="0037309B" w:rsidP="0056620C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modo geral, a região apresenta 46% de áreas aptas para a implantação das culturas, 9,53% com potencial muito alto, 41% de áreas inaptas, 2,30% moderado, e apenas 0,03% como baixo. As regiões Leste, Sudeste e Centro-Oeste da MMB apresentam áreas com maior potencial para o cultivo das espécies analisadas. Isso se deve, principalmente, às condições ambientais favoráveis da região, como temperatura, precipitação e as características do edáficas para o desenvolvimento das culturas, conforme evidenciam os estudos de </w:t>
      </w:r>
      <w:proofErr w:type="spellStart"/>
      <w:r>
        <w:rPr>
          <w:sz w:val="20"/>
          <w:szCs w:val="20"/>
        </w:rPr>
        <w:t>Despontin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et al.</w:t>
      </w:r>
      <w:r>
        <w:rPr>
          <w:sz w:val="20"/>
          <w:szCs w:val="20"/>
        </w:rPr>
        <w:t xml:space="preserve"> (2018); </w:t>
      </w:r>
      <w:proofErr w:type="spellStart"/>
      <w:r>
        <w:rPr>
          <w:sz w:val="20"/>
          <w:szCs w:val="20"/>
        </w:rPr>
        <w:t>Casaroli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et al.</w:t>
      </w:r>
      <w:r>
        <w:rPr>
          <w:sz w:val="20"/>
          <w:szCs w:val="20"/>
        </w:rPr>
        <w:t xml:space="preserve"> (201</w:t>
      </w:r>
      <w:r w:rsidR="00644225">
        <w:rPr>
          <w:sz w:val="20"/>
          <w:szCs w:val="20"/>
        </w:rPr>
        <w:t>8</w:t>
      </w:r>
      <w:r>
        <w:rPr>
          <w:sz w:val="20"/>
          <w:szCs w:val="20"/>
        </w:rPr>
        <w:t>).</w:t>
      </w:r>
    </w:p>
    <w:p w14:paraId="7890026A" w14:textId="3A37D6D8" w:rsidR="005D5EA5" w:rsidRDefault="003878BB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porções Oeste e Sudoeste da região, assim como determinadas áreas localizadas em Castanhal, Santa Izabel e Benevides, apresentaram uma menor aptidão. Esse resultado pode estar associado à hidrografia local, uma </w:t>
      </w:r>
      <w:r>
        <w:rPr>
          <w:sz w:val="20"/>
          <w:szCs w:val="20"/>
        </w:rPr>
        <w:lastRenderedPageBreak/>
        <w:t xml:space="preserve">vez que grande parte da região Sul e Sudoeste são limitados pelo rio Guamá, Baía do Marajó e Baia do Guajará, áreas que apresentam baixa topografia, característico de áreas alagáveis (DE LIMA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2021; SANTOS, 2017).</w:t>
      </w:r>
    </w:p>
    <w:p w14:paraId="47B9828F" w14:textId="77777777" w:rsidR="005D5EA5" w:rsidRDefault="003878BB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Além disso, os municípios de Belém e Ananindeua constituem-se como municípios mais urbanizados da MMB, apresentando restrições quanto ao uso do solo. Sobretudo, o município de Belém, que abriga 42 ilhas e possui um território intensamente antropizado. Vale destacar que, para que as espécies atinjam seu máximo potencial produtivo, é fundamental condições ideais para seu desenvolvimento (DESPONTIN </w:t>
      </w:r>
      <w:r>
        <w:rPr>
          <w:i/>
          <w:sz w:val="20"/>
          <w:szCs w:val="20"/>
        </w:rPr>
        <w:t>et al.,</w:t>
      </w:r>
      <w:r>
        <w:rPr>
          <w:sz w:val="20"/>
          <w:szCs w:val="20"/>
        </w:rPr>
        <w:t xml:space="preserve"> 2018; DE LIMA </w:t>
      </w:r>
      <w:r>
        <w:rPr>
          <w:i/>
          <w:sz w:val="20"/>
          <w:szCs w:val="20"/>
        </w:rPr>
        <w:t>et al.,</w:t>
      </w:r>
      <w:r>
        <w:rPr>
          <w:sz w:val="20"/>
          <w:szCs w:val="20"/>
        </w:rPr>
        <w:t xml:space="preserve"> 2021).</w:t>
      </w:r>
    </w:p>
    <w:p w14:paraId="32D29113" w14:textId="77777777" w:rsidR="005D5EA5" w:rsidRDefault="005D5EA5">
      <w:pPr>
        <w:widowControl/>
        <w:jc w:val="both"/>
        <w:rPr>
          <w:sz w:val="20"/>
          <w:szCs w:val="20"/>
        </w:rPr>
      </w:pPr>
    </w:p>
    <w:p w14:paraId="531459AC" w14:textId="77777777" w:rsidR="005D5EA5" w:rsidRDefault="003878BB">
      <w:pPr>
        <w:widowControl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 xml:space="preserve">CONCLUSÕES </w:t>
      </w:r>
    </w:p>
    <w:p w14:paraId="49B3A5FC" w14:textId="01ADE54F" w:rsidR="001E62C1" w:rsidRDefault="003878BB" w:rsidP="00C820EE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zoneamento edafoclimático indicou que mais da metade da região Metropolitana do Pará apresenta potencial para a implantação de </w:t>
      </w:r>
      <w:proofErr w:type="spellStart"/>
      <w:r>
        <w:rPr>
          <w:sz w:val="20"/>
          <w:szCs w:val="20"/>
        </w:rPr>
        <w:t>SAFs</w:t>
      </w:r>
      <w:proofErr w:type="spellEnd"/>
      <w:r w:rsidR="0053693B">
        <w:rPr>
          <w:sz w:val="20"/>
          <w:szCs w:val="20"/>
        </w:rPr>
        <w:t xml:space="preserve"> com</w:t>
      </w:r>
      <w:r>
        <w:rPr>
          <w:sz w:val="20"/>
          <w:szCs w:val="20"/>
        </w:rPr>
        <w:t xml:space="preserve"> Cacau e Mogno Africano</w:t>
      </w:r>
      <w:r w:rsidR="00981606">
        <w:rPr>
          <w:sz w:val="20"/>
          <w:szCs w:val="20"/>
        </w:rPr>
        <w:t xml:space="preserve">. </w:t>
      </w:r>
      <w:r w:rsidRPr="000D1D88">
        <w:rPr>
          <w:sz w:val="20"/>
          <w:szCs w:val="20"/>
        </w:rPr>
        <w:t>As regiões Leste, Sudeste e Centro-Oeste destacaram-se com alto potencial para o cultivo consorciados das espécies analisadas</w:t>
      </w:r>
      <w:r w:rsidR="000D1D88">
        <w:rPr>
          <w:sz w:val="20"/>
          <w:szCs w:val="20"/>
        </w:rPr>
        <w:t>. Além disso,</w:t>
      </w:r>
      <w:r w:rsidRPr="000D1D88">
        <w:rPr>
          <w:sz w:val="20"/>
          <w:szCs w:val="20"/>
        </w:rPr>
        <w:t xml:space="preserve"> estudo permitiu identificar áreas compatíveis com as exigências das culturas, os resultados obtidos servirão como base no planejamento para a implantação do SAF.  </w:t>
      </w:r>
    </w:p>
    <w:p w14:paraId="0742ACF1" w14:textId="77777777" w:rsidR="000D1D88" w:rsidRDefault="000D1D88" w:rsidP="000D1D88">
      <w:pPr>
        <w:widowControl/>
        <w:ind w:left="357"/>
        <w:jc w:val="both"/>
        <w:rPr>
          <w:sz w:val="20"/>
          <w:szCs w:val="20"/>
        </w:rPr>
      </w:pPr>
    </w:p>
    <w:p w14:paraId="3457C5ED" w14:textId="26BB0C47" w:rsidR="005D5EA5" w:rsidRDefault="003878B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REFERÊNCIAS </w:t>
      </w:r>
    </w:p>
    <w:p w14:paraId="2650F47C" w14:textId="3AFD38AF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ALVES, </w:t>
      </w:r>
      <w:proofErr w:type="spellStart"/>
      <w:r>
        <w:rPr>
          <w:sz w:val="20"/>
          <w:szCs w:val="20"/>
        </w:rPr>
        <w:t>Arilde</w:t>
      </w:r>
      <w:proofErr w:type="spellEnd"/>
      <w:r>
        <w:rPr>
          <w:sz w:val="20"/>
          <w:szCs w:val="20"/>
        </w:rPr>
        <w:t xml:space="preserve"> Franco.</w:t>
      </w:r>
      <w:r>
        <w:rPr>
          <w:b/>
          <w:sz w:val="20"/>
          <w:szCs w:val="20"/>
        </w:rPr>
        <w:t xml:space="preserve"> Zoneamento Ambiental: ferramenta de ordenamento e gestão ambiental</w:t>
      </w:r>
      <w:r>
        <w:rPr>
          <w:sz w:val="20"/>
          <w:szCs w:val="20"/>
        </w:rPr>
        <w:t>. João Pessoa, PB. Editora: IFPB, 2022. p. 30-52.</w:t>
      </w:r>
    </w:p>
    <w:p w14:paraId="1F7466EB" w14:textId="724868B6" w:rsidR="008345EA" w:rsidRDefault="008345EA" w:rsidP="00B654C1">
      <w:pPr>
        <w:widowControl/>
        <w:spacing w:after="120"/>
        <w:jc w:val="both"/>
        <w:rPr>
          <w:sz w:val="20"/>
          <w:szCs w:val="20"/>
        </w:rPr>
      </w:pPr>
      <w:r w:rsidRPr="008345EA">
        <w:rPr>
          <w:sz w:val="20"/>
          <w:szCs w:val="20"/>
        </w:rPr>
        <w:t xml:space="preserve">CASAROLI, </w:t>
      </w:r>
      <w:proofErr w:type="spellStart"/>
      <w:r w:rsidRPr="008345EA">
        <w:rPr>
          <w:sz w:val="20"/>
          <w:szCs w:val="20"/>
        </w:rPr>
        <w:t>Derblai</w:t>
      </w:r>
      <w:proofErr w:type="spellEnd"/>
      <w:r w:rsidRPr="008345EA">
        <w:rPr>
          <w:sz w:val="20"/>
          <w:szCs w:val="20"/>
        </w:rPr>
        <w:t xml:space="preserve"> et al. Aptidão edafoclimática para o mogno-africano no Brasil. </w:t>
      </w:r>
      <w:r w:rsidRPr="008345EA">
        <w:rPr>
          <w:b/>
          <w:bCs/>
          <w:sz w:val="20"/>
          <w:szCs w:val="20"/>
        </w:rPr>
        <w:t>Ciência Florestal</w:t>
      </w:r>
      <w:r w:rsidRPr="008345EA">
        <w:rPr>
          <w:sz w:val="20"/>
          <w:szCs w:val="20"/>
        </w:rPr>
        <w:t>, v. 28, n. 1, p. 357-368, 2018.</w:t>
      </w:r>
    </w:p>
    <w:p w14:paraId="0131F339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 SILVA, João Luiz Almeida et al. Gestão ambiental, social e territorial para a revitalização sustentável da BR-319. </w:t>
      </w:r>
      <w:r>
        <w:rPr>
          <w:b/>
          <w:sz w:val="20"/>
          <w:szCs w:val="20"/>
        </w:rPr>
        <w:t>Revista Gestão e Conheciment</w:t>
      </w:r>
      <w:r>
        <w:rPr>
          <w:sz w:val="20"/>
          <w:szCs w:val="20"/>
        </w:rPr>
        <w:t>o, v. 19, n. 1, p. e448-e448, 2025.</w:t>
      </w:r>
    </w:p>
    <w:p w14:paraId="744C954A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ALBUQUERQUE, C. C; ALBUQUERQUE, C. H. C.; BATISTA, I. H. Análise geoecológica da paisagem de várzea no Paraná de Parintins (AM) como subsídio ao zoneamento ambiental integrado na Amazônia. </w:t>
      </w:r>
      <w:r>
        <w:rPr>
          <w:b/>
          <w:sz w:val="20"/>
          <w:szCs w:val="20"/>
        </w:rPr>
        <w:t>Revista Equador</w:t>
      </w:r>
      <w:r>
        <w:rPr>
          <w:sz w:val="20"/>
          <w:szCs w:val="20"/>
        </w:rPr>
        <w:t>, v. 13, n. 2, p. 204-226, 2024.</w:t>
      </w:r>
    </w:p>
    <w:p w14:paraId="390831F1" w14:textId="77777777" w:rsidR="0037309B" w:rsidRPr="00725467" w:rsidRDefault="0037309B" w:rsidP="00B654C1">
      <w:pPr>
        <w:widowControl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DE LIMA, Aline Maria </w:t>
      </w:r>
      <w:proofErr w:type="spellStart"/>
      <w:r>
        <w:rPr>
          <w:sz w:val="20"/>
          <w:szCs w:val="20"/>
        </w:rPr>
        <w:t>Meiguins</w:t>
      </w:r>
      <w:proofErr w:type="spellEnd"/>
      <w:r>
        <w:rPr>
          <w:sz w:val="20"/>
          <w:szCs w:val="20"/>
        </w:rPr>
        <w:t xml:space="preserve"> et al. Dinâmica do </w:t>
      </w:r>
      <w:proofErr w:type="spellStart"/>
      <w:r>
        <w:rPr>
          <w:sz w:val="20"/>
          <w:szCs w:val="20"/>
        </w:rPr>
        <w:t>hidroterritório</w:t>
      </w:r>
      <w:proofErr w:type="spellEnd"/>
      <w:r>
        <w:rPr>
          <w:sz w:val="20"/>
          <w:szCs w:val="20"/>
        </w:rPr>
        <w:t xml:space="preserve"> da Região Metropolitana de Belém (PA). </w:t>
      </w:r>
      <w:r w:rsidRPr="00725467">
        <w:rPr>
          <w:b/>
          <w:sz w:val="20"/>
          <w:szCs w:val="20"/>
          <w:lang w:val="en-US"/>
        </w:rPr>
        <w:t>Research, Society and Development,</w:t>
      </w:r>
      <w:r w:rsidRPr="00725467">
        <w:rPr>
          <w:sz w:val="20"/>
          <w:szCs w:val="20"/>
          <w:lang w:val="en-US"/>
        </w:rPr>
        <w:t xml:space="preserve"> v. 10, n. 5, p. 102 - 110, 2021.</w:t>
      </w:r>
    </w:p>
    <w:p w14:paraId="0A70CBE3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 w:rsidRPr="00725467">
        <w:rPr>
          <w:sz w:val="20"/>
          <w:szCs w:val="20"/>
          <w:lang w:val="en-US"/>
        </w:rPr>
        <w:t xml:space="preserve">DESPONTIN, </w:t>
      </w:r>
      <w:proofErr w:type="spellStart"/>
      <w:r w:rsidRPr="00725467">
        <w:rPr>
          <w:sz w:val="20"/>
          <w:szCs w:val="20"/>
          <w:lang w:val="en-US"/>
        </w:rPr>
        <w:t>Maiara</w:t>
      </w:r>
      <w:proofErr w:type="spellEnd"/>
      <w:r w:rsidRPr="00725467">
        <w:rPr>
          <w:sz w:val="20"/>
          <w:szCs w:val="20"/>
          <w:lang w:val="en-US"/>
        </w:rPr>
        <w:t xml:space="preserve"> Alonso. </w:t>
      </w:r>
      <w:r>
        <w:rPr>
          <w:b/>
          <w:sz w:val="20"/>
          <w:szCs w:val="20"/>
        </w:rPr>
        <w:t>Zoneamento agroclimático e de risco climático para a cultura do cacau (</w:t>
      </w:r>
      <w:proofErr w:type="spellStart"/>
      <w:r>
        <w:rPr>
          <w:b/>
          <w:sz w:val="20"/>
          <w:szCs w:val="20"/>
        </w:rPr>
        <w:t>Theobroma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cacao</w:t>
      </w:r>
      <w:proofErr w:type="spellEnd"/>
      <w:r>
        <w:rPr>
          <w:b/>
          <w:sz w:val="20"/>
          <w:szCs w:val="20"/>
        </w:rPr>
        <w:t xml:space="preserve"> L.) no estado do Pará</w:t>
      </w:r>
      <w:r>
        <w:rPr>
          <w:sz w:val="20"/>
          <w:szCs w:val="20"/>
        </w:rPr>
        <w:t xml:space="preserve">. 2018. Tese de Doutorado. </w:t>
      </w:r>
      <w:proofErr w:type="spellStart"/>
      <w:r>
        <w:rPr>
          <w:sz w:val="20"/>
          <w:szCs w:val="20"/>
        </w:rPr>
        <w:t>MSc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thesis</w:t>
      </w:r>
      <w:proofErr w:type="spellEnd"/>
      <w:r>
        <w:rPr>
          <w:sz w:val="20"/>
          <w:szCs w:val="20"/>
        </w:rPr>
        <w:t xml:space="preserve">, Universidade de São Paulo, Piracicaba, Brasil. p. 64 - 71. </w:t>
      </w:r>
    </w:p>
    <w:p w14:paraId="244A7512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MACHADO, D. D. P.; CORREIA, M. E. F. Os sistemas agroflorestais como alternativa para uma agricultura sustentável no entorno de unidades de conservação. </w:t>
      </w:r>
      <w:r>
        <w:rPr>
          <w:b/>
          <w:sz w:val="20"/>
          <w:szCs w:val="20"/>
        </w:rPr>
        <w:t>Cadernos de Geografia,</w:t>
      </w:r>
      <w:r>
        <w:rPr>
          <w:sz w:val="20"/>
          <w:szCs w:val="20"/>
        </w:rPr>
        <w:t xml:space="preserve"> Coimbra., n. 48, p. 41–55, 2023. </w:t>
      </w:r>
    </w:p>
    <w:p w14:paraId="5779F074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MAPBIOMAS. Projeto </w:t>
      </w:r>
      <w:proofErr w:type="spellStart"/>
      <w:r>
        <w:rPr>
          <w:sz w:val="20"/>
          <w:szCs w:val="20"/>
        </w:rPr>
        <w:t>MapBiomas</w:t>
      </w:r>
      <w:proofErr w:type="spellEnd"/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>Uso e Ocupação da Terra</w:t>
      </w:r>
      <w:r>
        <w:rPr>
          <w:sz w:val="20"/>
          <w:szCs w:val="20"/>
        </w:rPr>
        <w:t>. Disponível em: &lt;</w:t>
      </w:r>
      <w:hyperlink r:id="rId10">
        <w:r>
          <w:rPr>
            <w:color w:val="1155CC"/>
            <w:sz w:val="20"/>
            <w:szCs w:val="20"/>
            <w:u w:val="single"/>
          </w:rPr>
          <w:t>https://brasil.mapbiomas.org/#</w:t>
        </w:r>
      </w:hyperlink>
      <w:r>
        <w:rPr>
          <w:sz w:val="20"/>
          <w:szCs w:val="20"/>
        </w:rPr>
        <w:t xml:space="preserve">&gt;. Acesso em: 26 de mai. de 2025. </w:t>
      </w:r>
    </w:p>
    <w:p w14:paraId="7C0A85D4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MATEUS, J. S.; SOUZA FILHO, T. A. Sistemas Agroflorestais adotados na recuperação de áreas degradadas em propriedades da agricultura familiar no município de Buritis-RO.</w:t>
      </w:r>
      <w:r>
        <w:rPr>
          <w:b/>
          <w:sz w:val="20"/>
          <w:szCs w:val="20"/>
        </w:rPr>
        <w:t xml:space="preserve"> Revista de Administração e Negócios da Amazônia,</w:t>
      </w:r>
      <w:r>
        <w:rPr>
          <w:sz w:val="20"/>
          <w:szCs w:val="20"/>
        </w:rPr>
        <w:t xml:space="preserve"> v. 13, n. 4, p. 212-234, 2021.</w:t>
      </w:r>
    </w:p>
    <w:p w14:paraId="7FE5584C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POZZETTI, V. C. R.; MAGNANI, M. C. B. F.; ZAMBRANO, V. Revolução verde e retrocesso ambiental. </w:t>
      </w:r>
      <w:r>
        <w:rPr>
          <w:b/>
          <w:sz w:val="20"/>
          <w:szCs w:val="20"/>
        </w:rPr>
        <w:t xml:space="preserve">Revista </w:t>
      </w:r>
      <w:proofErr w:type="spellStart"/>
      <w:r>
        <w:rPr>
          <w:b/>
          <w:sz w:val="20"/>
          <w:szCs w:val="20"/>
        </w:rPr>
        <w:t>catalana</w:t>
      </w:r>
      <w:proofErr w:type="spellEnd"/>
      <w:r>
        <w:rPr>
          <w:b/>
          <w:sz w:val="20"/>
          <w:szCs w:val="20"/>
        </w:rPr>
        <w:t xml:space="preserve"> de DRET ambiental</w:t>
      </w:r>
      <w:r>
        <w:rPr>
          <w:sz w:val="20"/>
          <w:szCs w:val="20"/>
        </w:rPr>
        <w:t>, v. 12, n. 1, 2021.</w:t>
      </w:r>
    </w:p>
    <w:p w14:paraId="1C796555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RAMALHO, A. H. C. Zoneamento de áreas potenciais para implantação de fomento florestal no estado do Espírito Santo por meio da lógica </w:t>
      </w:r>
      <w:proofErr w:type="spellStart"/>
      <w:r>
        <w:rPr>
          <w:sz w:val="20"/>
          <w:szCs w:val="20"/>
        </w:rPr>
        <w:t>Fuzzy</w:t>
      </w:r>
      <w:proofErr w:type="spellEnd"/>
      <w:r>
        <w:rPr>
          <w:sz w:val="20"/>
          <w:szCs w:val="20"/>
        </w:rPr>
        <w:t xml:space="preserve">. 2020. 63f. </w:t>
      </w:r>
      <w:r>
        <w:rPr>
          <w:b/>
          <w:sz w:val="20"/>
          <w:szCs w:val="20"/>
        </w:rPr>
        <w:t>Dissertação (Mestrado em Ciências Florestais)</w:t>
      </w:r>
      <w:r>
        <w:rPr>
          <w:sz w:val="20"/>
          <w:szCs w:val="20"/>
        </w:rPr>
        <w:t>, Universidade Federal do Espírito Santo, Jerônimo Monteiro, ES, Brasil, 2020</w:t>
      </w:r>
    </w:p>
    <w:p w14:paraId="78311BF5" w14:textId="5D2F1A75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SANTOS, M. R. S.; VITORIO, M. I.; PIMENTEL, M. A. S. A Precipitação climática na mesorregião metropolitana de Belém e suas implicações socioambientais. </w:t>
      </w:r>
      <w:r>
        <w:rPr>
          <w:b/>
          <w:sz w:val="20"/>
          <w:szCs w:val="20"/>
        </w:rPr>
        <w:t>Dissertação (Mestrado em Ciências Ambientais)</w:t>
      </w:r>
      <w:r>
        <w:rPr>
          <w:sz w:val="20"/>
          <w:szCs w:val="20"/>
        </w:rPr>
        <w:t>, Universidade Federal do Pará, Belém, PA. 2017.</w:t>
      </w:r>
    </w:p>
    <w:p w14:paraId="7316E0C7" w14:textId="396F8D67" w:rsidR="001A4863" w:rsidRDefault="001A4863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SERVIÇO NACIONAL DE APRENDIZAGEM RURAL – SENAR. </w:t>
      </w:r>
      <w:r w:rsidRPr="002F3BB9">
        <w:rPr>
          <w:b/>
          <w:bCs/>
          <w:sz w:val="20"/>
          <w:szCs w:val="20"/>
        </w:rPr>
        <w:t>Cacau: produção, manejo e colheita</w:t>
      </w:r>
      <w:r>
        <w:rPr>
          <w:sz w:val="20"/>
          <w:szCs w:val="20"/>
        </w:rPr>
        <w:t>. Brasília: Senar, 2018.</w:t>
      </w:r>
      <w:r w:rsidR="002F3BB9">
        <w:rPr>
          <w:sz w:val="20"/>
          <w:szCs w:val="20"/>
        </w:rPr>
        <w:t xml:space="preserve"> </w:t>
      </w:r>
      <w:r>
        <w:rPr>
          <w:sz w:val="20"/>
          <w:szCs w:val="20"/>
        </w:rPr>
        <w:t>(Coleção Senar, 215). Disponível em:</w:t>
      </w:r>
      <w:r w:rsidR="005777D4">
        <w:rPr>
          <w:sz w:val="20"/>
          <w:szCs w:val="20"/>
        </w:rPr>
        <w:t xml:space="preserve"> </w:t>
      </w:r>
      <w:r w:rsidR="002F3BB9">
        <w:rPr>
          <w:sz w:val="20"/>
          <w:szCs w:val="20"/>
        </w:rPr>
        <w:t>&lt;</w:t>
      </w:r>
      <w:hyperlink r:id="rId11" w:history="1">
        <w:r w:rsidR="002F3BB9" w:rsidRPr="006E75DE">
          <w:rPr>
            <w:rStyle w:val="Hyperlink"/>
            <w:sz w:val="20"/>
            <w:szCs w:val="20"/>
          </w:rPr>
          <w:t>https://www.gov.br/agricultura/pt-br/assuntos/ceplac/arquivos/cartilhas-senar</w:t>
        </w:r>
      </w:hyperlink>
      <w:r w:rsidR="002F3BB9">
        <w:rPr>
          <w:sz w:val="20"/>
          <w:szCs w:val="20"/>
        </w:rPr>
        <w:t>&gt;.</w:t>
      </w:r>
      <w:r w:rsidR="005777D4">
        <w:rPr>
          <w:sz w:val="20"/>
          <w:szCs w:val="20"/>
        </w:rPr>
        <w:t xml:space="preserve"> Acesso em: 01 jun. 2025.</w:t>
      </w:r>
    </w:p>
    <w:p w14:paraId="0F0A7B0C" w14:textId="77777777" w:rsidR="0037309B" w:rsidRDefault="0037309B" w:rsidP="00B654C1">
      <w:pPr>
        <w:widowControl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WORLDCLIM. </w:t>
      </w:r>
      <w:r>
        <w:rPr>
          <w:b/>
          <w:sz w:val="20"/>
          <w:szCs w:val="20"/>
        </w:rPr>
        <w:t>Dados climáticos e meteorológicos globais</w:t>
      </w:r>
      <w:r>
        <w:rPr>
          <w:sz w:val="20"/>
          <w:szCs w:val="20"/>
        </w:rPr>
        <w:t>. Disponível em: &lt;</w:t>
      </w:r>
      <w:hyperlink r:id="rId12">
        <w:r>
          <w:rPr>
            <w:color w:val="1155CC"/>
            <w:sz w:val="20"/>
            <w:szCs w:val="20"/>
            <w:u w:val="single"/>
          </w:rPr>
          <w:t>https://www.worldclim.org/data/index.html</w:t>
        </w:r>
      </w:hyperlink>
      <w:r>
        <w:rPr>
          <w:sz w:val="20"/>
          <w:szCs w:val="20"/>
        </w:rPr>
        <w:t>&gt;. Acesso em: 15 de jan. de 2025.</w:t>
      </w:r>
    </w:p>
    <w:sectPr w:rsidR="0037309B">
      <w:footerReference w:type="default" r:id="rId13"/>
      <w:headerReference w:type="first" r:id="rId14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85D1" w14:textId="77777777" w:rsidR="00F85972" w:rsidRDefault="00F85972">
      <w:r>
        <w:separator/>
      </w:r>
    </w:p>
  </w:endnote>
  <w:endnote w:type="continuationSeparator" w:id="0">
    <w:p w14:paraId="43BCB1E6" w14:textId="77777777" w:rsidR="00F85972" w:rsidRDefault="00F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7055" w14:textId="77777777" w:rsidR="005D5EA5" w:rsidRDefault="005D5E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FAA3" w14:textId="77777777" w:rsidR="00F85972" w:rsidRDefault="00F85972">
      <w:r>
        <w:separator/>
      </w:r>
    </w:p>
  </w:footnote>
  <w:footnote w:type="continuationSeparator" w:id="0">
    <w:p w14:paraId="5BDCED22" w14:textId="77777777" w:rsidR="00F85972" w:rsidRDefault="00F8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A9FF" w14:textId="77777777" w:rsidR="005D5EA5" w:rsidRDefault="00387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4789383" wp14:editId="40BFBEC3">
          <wp:extent cx="5274310" cy="791210"/>
          <wp:effectExtent l="0" t="0" r="0" b="0"/>
          <wp:docPr id="43765516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A4992"/>
    <w:multiLevelType w:val="multilevel"/>
    <w:tmpl w:val="52005682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A5"/>
    <w:rsid w:val="000A5644"/>
    <w:rsid w:val="000D1D88"/>
    <w:rsid w:val="000E5760"/>
    <w:rsid w:val="000F7657"/>
    <w:rsid w:val="00136AC1"/>
    <w:rsid w:val="00181F2D"/>
    <w:rsid w:val="001A1BFA"/>
    <w:rsid w:val="001A4863"/>
    <w:rsid w:val="001E62C1"/>
    <w:rsid w:val="00260CC3"/>
    <w:rsid w:val="002649DF"/>
    <w:rsid w:val="002A7BEC"/>
    <w:rsid w:val="002F3BB9"/>
    <w:rsid w:val="0037309B"/>
    <w:rsid w:val="00386726"/>
    <w:rsid w:val="003878BB"/>
    <w:rsid w:val="003C6514"/>
    <w:rsid w:val="00426D40"/>
    <w:rsid w:val="00457B0F"/>
    <w:rsid w:val="00471209"/>
    <w:rsid w:val="00524786"/>
    <w:rsid w:val="0053693B"/>
    <w:rsid w:val="00543633"/>
    <w:rsid w:val="00556634"/>
    <w:rsid w:val="0056620C"/>
    <w:rsid w:val="005777D4"/>
    <w:rsid w:val="005B1A5A"/>
    <w:rsid w:val="005D5EA5"/>
    <w:rsid w:val="005E13B4"/>
    <w:rsid w:val="006348C8"/>
    <w:rsid w:val="0064332F"/>
    <w:rsid w:val="00644225"/>
    <w:rsid w:val="00673BC5"/>
    <w:rsid w:val="006B40C9"/>
    <w:rsid w:val="00703328"/>
    <w:rsid w:val="00725467"/>
    <w:rsid w:val="007B22ED"/>
    <w:rsid w:val="00805A1D"/>
    <w:rsid w:val="008345EA"/>
    <w:rsid w:val="00892D84"/>
    <w:rsid w:val="00894486"/>
    <w:rsid w:val="008E3526"/>
    <w:rsid w:val="0095551A"/>
    <w:rsid w:val="009666C0"/>
    <w:rsid w:val="00981606"/>
    <w:rsid w:val="00997164"/>
    <w:rsid w:val="00997E5C"/>
    <w:rsid w:val="009D6C25"/>
    <w:rsid w:val="009E014E"/>
    <w:rsid w:val="009E5C3B"/>
    <w:rsid w:val="00A72875"/>
    <w:rsid w:val="00A91F11"/>
    <w:rsid w:val="00AE6630"/>
    <w:rsid w:val="00B06B94"/>
    <w:rsid w:val="00B654C1"/>
    <w:rsid w:val="00B70138"/>
    <w:rsid w:val="00B91FEC"/>
    <w:rsid w:val="00B95EE5"/>
    <w:rsid w:val="00BD7623"/>
    <w:rsid w:val="00C44687"/>
    <w:rsid w:val="00C4631B"/>
    <w:rsid w:val="00C820EE"/>
    <w:rsid w:val="00DF0296"/>
    <w:rsid w:val="00E26041"/>
    <w:rsid w:val="00E278CB"/>
    <w:rsid w:val="00E51479"/>
    <w:rsid w:val="00E54B28"/>
    <w:rsid w:val="00EA5C8C"/>
    <w:rsid w:val="00EB7364"/>
    <w:rsid w:val="00F85972"/>
    <w:rsid w:val="00FB0CF0"/>
    <w:rsid w:val="00FB3689"/>
    <w:rsid w:val="00FD725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A749"/>
  <w15:docId w15:val="{E4EBD255-3C4D-4862-9258-1F0D36E6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character" w:styleId="TextodoEspaoReservado">
    <w:name w:val="Placeholder Text"/>
    <w:basedOn w:val="Fontepargpadro"/>
    <w:uiPriority w:val="99"/>
    <w:semiHidden/>
    <w:rsid w:val="00074887"/>
    <w:rPr>
      <w:color w:val="808080"/>
    </w:rPr>
  </w:style>
  <w:style w:type="character" w:customStyle="1" w:styleId="mop">
    <w:name w:val="mop"/>
    <w:basedOn w:val="Fontepargpadro"/>
    <w:rsid w:val="00771A8C"/>
  </w:style>
  <w:style w:type="character" w:customStyle="1" w:styleId="mord">
    <w:name w:val="mord"/>
    <w:basedOn w:val="Fontepargpadro"/>
    <w:rsid w:val="00771A8C"/>
  </w:style>
  <w:style w:type="character" w:styleId="MenoPendente">
    <w:name w:val="Unresolved Mention"/>
    <w:basedOn w:val="Fontepargpadro"/>
    <w:uiPriority w:val="99"/>
    <w:semiHidden/>
    <w:unhideWhenUsed/>
    <w:rsid w:val="00577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clim.org/data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agricultura/pt-br/assuntos/ceplac/arquivos/cartilhas-sen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sil.mapbioma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uX6CaS1LGsjsdonTaCQ2mieKg==">CgMxLjAyDmguaWs1cGZhaTJ1NjYwMghoLmdqZGd4czIOaC55cDk2aXd1Mm83d2cyDWguNWM5cGl2dGFoZHQ4AHIhMWFZY2g2eEF5amxMOWJXQmtNSEdoSDgwLUh6X3hIamhZ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2181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Yasmim Guedes</cp:lastModifiedBy>
  <cp:revision>10</cp:revision>
  <dcterms:created xsi:type="dcterms:W3CDTF">2025-05-30T20:54:00Z</dcterms:created>
  <dcterms:modified xsi:type="dcterms:W3CDTF">2025-06-18T15:29:00Z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