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3B790" w14:textId="77777777" w:rsidR="003010A9" w:rsidRDefault="003010A9">
      <w:pPr>
        <w:widowControl/>
        <w:jc w:val="center"/>
        <w:rPr>
          <w:b/>
          <w:sz w:val="24"/>
          <w:szCs w:val="24"/>
        </w:rPr>
      </w:pPr>
    </w:p>
    <w:p w14:paraId="66F5DFDC" w14:textId="0BE12452" w:rsidR="003010A9" w:rsidRPr="0062291E" w:rsidRDefault="0062291E">
      <w:pPr>
        <w:widowControl/>
        <w:jc w:val="center"/>
        <w:rPr>
          <w:b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 xml:space="preserve">PADRÕES GERMINATIVOS </w:t>
      </w:r>
      <w:r>
        <w:rPr>
          <w:b/>
          <w:i/>
          <w:iCs/>
          <w:sz w:val="24"/>
          <w:szCs w:val="24"/>
        </w:rPr>
        <w:t>in vitro</w:t>
      </w:r>
      <w:r>
        <w:rPr>
          <w:b/>
          <w:sz w:val="24"/>
          <w:szCs w:val="24"/>
        </w:rPr>
        <w:t xml:space="preserve"> DE ESPÉCIES FLORESTAIS DA CAATINGA ANALISADAS POR DENDROGRAMA E MAPA DE CALOR</w:t>
      </w:r>
    </w:p>
    <w:p w14:paraId="0199DEE1" w14:textId="77777777" w:rsidR="003010A9" w:rsidRDefault="003010A9">
      <w:pPr>
        <w:widowControl/>
        <w:jc w:val="center"/>
        <w:rPr>
          <w:b/>
          <w:sz w:val="24"/>
          <w:szCs w:val="24"/>
        </w:rPr>
      </w:pPr>
      <w:bookmarkStart w:id="1" w:name="_heading=h.gjdgxs" w:colFirst="0" w:colLast="0"/>
      <w:bookmarkEnd w:id="1"/>
      <w:bookmarkEnd w:id="0"/>
    </w:p>
    <w:p w14:paraId="07081D0E" w14:textId="746EC514" w:rsidR="003010A9" w:rsidRDefault="009A7B9D" w:rsidP="00922A24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Erika Elias da Silva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>,</w:t>
      </w:r>
      <w:r w:rsidR="00E854FC">
        <w:rPr>
          <w:b/>
          <w:sz w:val="20"/>
          <w:szCs w:val="20"/>
        </w:rPr>
        <w:t xml:space="preserve"> </w:t>
      </w:r>
      <w:r w:rsidR="00F53485">
        <w:rPr>
          <w:b/>
          <w:sz w:val="20"/>
          <w:szCs w:val="20"/>
        </w:rPr>
        <w:t>Patr</w:t>
      </w:r>
      <w:r w:rsidR="00D30634">
        <w:rPr>
          <w:b/>
          <w:sz w:val="20"/>
          <w:szCs w:val="20"/>
        </w:rPr>
        <w:t>i</w:t>
      </w:r>
      <w:r w:rsidR="00F53485">
        <w:rPr>
          <w:b/>
          <w:sz w:val="20"/>
          <w:szCs w:val="20"/>
        </w:rPr>
        <w:t>cia da Silva Santos</w:t>
      </w:r>
      <w:r w:rsidR="00F53485">
        <w:rPr>
          <w:b/>
          <w:sz w:val="20"/>
          <w:szCs w:val="20"/>
          <w:vertAlign w:val="superscript"/>
        </w:rPr>
        <w:t>1</w:t>
      </w:r>
      <w:r w:rsidR="00E854FC">
        <w:rPr>
          <w:b/>
          <w:sz w:val="20"/>
          <w:szCs w:val="20"/>
        </w:rPr>
        <w:t>, Luan Danilo Ferreira de Andrade Melo</w:t>
      </w:r>
      <w:r w:rsidR="00F53485">
        <w:rPr>
          <w:b/>
          <w:sz w:val="20"/>
          <w:szCs w:val="20"/>
          <w:vertAlign w:val="superscript"/>
        </w:rPr>
        <w:t>1</w:t>
      </w:r>
      <w:r w:rsidR="00E854FC">
        <w:rPr>
          <w:b/>
          <w:sz w:val="20"/>
          <w:szCs w:val="20"/>
        </w:rPr>
        <w:t>, João Luciano de Andrade Melo Junior</w:t>
      </w:r>
      <w:r w:rsidR="00F53485">
        <w:rPr>
          <w:b/>
          <w:sz w:val="20"/>
          <w:szCs w:val="20"/>
          <w:vertAlign w:val="superscript"/>
        </w:rPr>
        <w:t>1</w:t>
      </w:r>
      <w:r w:rsidR="00E854FC">
        <w:rPr>
          <w:b/>
          <w:sz w:val="20"/>
          <w:szCs w:val="20"/>
        </w:rPr>
        <w:t>, Larice Bruna Ferreira Soares</w:t>
      </w:r>
      <w:r w:rsidR="00EC7BCA">
        <w:rPr>
          <w:b/>
          <w:sz w:val="20"/>
          <w:szCs w:val="20"/>
          <w:vertAlign w:val="superscript"/>
        </w:rPr>
        <w:t>2</w:t>
      </w:r>
      <w:r w:rsidR="00E854FC">
        <w:rPr>
          <w:b/>
          <w:sz w:val="20"/>
          <w:szCs w:val="20"/>
        </w:rPr>
        <w:t xml:space="preserve">, </w:t>
      </w:r>
      <w:r w:rsidR="00F53485">
        <w:rPr>
          <w:b/>
          <w:sz w:val="20"/>
          <w:szCs w:val="20"/>
        </w:rPr>
        <w:t>Eurico Eduardo Pinto de Lemos</w:t>
      </w:r>
      <w:r w:rsidR="00F53485">
        <w:rPr>
          <w:b/>
          <w:sz w:val="20"/>
          <w:szCs w:val="20"/>
          <w:vertAlign w:val="superscript"/>
        </w:rPr>
        <w:t>1</w:t>
      </w:r>
      <w:r w:rsidR="00E854FC">
        <w:rPr>
          <w:b/>
          <w:sz w:val="20"/>
          <w:szCs w:val="20"/>
        </w:rPr>
        <w:t xml:space="preserve">, </w:t>
      </w:r>
      <w:r w:rsidR="00E854FC" w:rsidRPr="00BF632E">
        <w:rPr>
          <w:b/>
          <w:bCs/>
          <w:sz w:val="20"/>
          <w:szCs w:val="20"/>
        </w:rPr>
        <w:t>Marcus Gabriel de Carvalho Ramos</w:t>
      </w:r>
      <w:r w:rsidR="00F53485">
        <w:rPr>
          <w:b/>
          <w:sz w:val="20"/>
          <w:szCs w:val="20"/>
          <w:vertAlign w:val="superscript"/>
        </w:rPr>
        <w:t>1</w:t>
      </w:r>
      <w:r w:rsidR="00E854FC">
        <w:rPr>
          <w:b/>
          <w:sz w:val="20"/>
          <w:szCs w:val="20"/>
        </w:rPr>
        <w:t>, Thaíse dos Santos Berto</w:t>
      </w:r>
      <w:r w:rsidR="00F53485">
        <w:rPr>
          <w:b/>
          <w:sz w:val="20"/>
          <w:szCs w:val="20"/>
          <w:vertAlign w:val="superscript"/>
        </w:rPr>
        <w:t>1</w:t>
      </w:r>
      <w:r w:rsidR="00E854FC">
        <w:rPr>
          <w:b/>
          <w:sz w:val="20"/>
          <w:szCs w:val="20"/>
        </w:rPr>
        <w:t xml:space="preserve">, </w:t>
      </w:r>
      <w:r w:rsidR="00E854FC" w:rsidRPr="00E854FC">
        <w:rPr>
          <w:b/>
          <w:sz w:val="20"/>
          <w:szCs w:val="20"/>
        </w:rPr>
        <w:t>Keven Willian Sarmento Galdino da Silva</w:t>
      </w:r>
      <w:r w:rsidR="00F53485">
        <w:rPr>
          <w:b/>
          <w:sz w:val="20"/>
          <w:szCs w:val="20"/>
          <w:vertAlign w:val="superscript"/>
        </w:rPr>
        <w:t>1</w:t>
      </w:r>
      <w:r w:rsidR="00E854FC">
        <w:rPr>
          <w:b/>
          <w:sz w:val="20"/>
          <w:szCs w:val="20"/>
        </w:rPr>
        <w:t>, Elda</w:t>
      </w:r>
      <w:r w:rsidR="00E854FC" w:rsidRPr="00E854FC">
        <w:rPr>
          <w:b/>
          <w:sz w:val="20"/>
          <w:szCs w:val="20"/>
        </w:rPr>
        <w:t xml:space="preserve"> B</w:t>
      </w:r>
      <w:r w:rsidR="00E854FC">
        <w:rPr>
          <w:b/>
          <w:sz w:val="20"/>
          <w:szCs w:val="20"/>
        </w:rPr>
        <w:t>onifácio</w:t>
      </w:r>
      <w:r w:rsidR="00E854FC" w:rsidRPr="00E854FC">
        <w:rPr>
          <w:b/>
          <w:sz w:val="20"/>
          <w:szCs w:val="20"/>
        </w:rPr>
        <w:t xml:space="preserve"> </w:t>
      </w:r>
      <w:r w:rsidR="00E854FC">
        <w:rPr>
          <w:b/>
          <w:sz w:val="20"/>
          <w:szCs w:val="20"/>
        </w:rPr>
        <w:t>dos</w:t>
      </w:r>
      <w:r w:rsidR="00E854FC" w:rsidRPr="00E854FC">
        <w:rPr>
          <w:b/>
          <w:sz w:val="20"/>
          <w:szCs w:val="20"/>
        </w:rPr>
        <w:t xml:space="preserve"> S</w:t>
      </w:r>
      <w:r w:rsidR="00E854FC">
        <w:rPr>
          <w:b/>
          <w:sz w:val="20"/>
          <w:szCs w:val="20"/>
        </w:rPr>
        <w:t>antos</w:t>
      </w:r>
      <w:r w:rsidR="00F53485">
        <w:rPr>
          <w:b/>
          <w:sz w:val="20"/>
          <w:szCs w:val="20"/>
          <w:vertAlign w:val="superscript"/>
        </w:rPr>
        <w:t>1</w:t>
      </w:r>
    </w:p>
    <w:p w14:paraId="5D4F6838" w14:textId="3D06CAD7" w:rsidR="003010A9" w:rsidRPr="00D30634" w:rsidRDefault="009A7B9D">
      <w:pPr>
        <w:spacing w:line="276" w:lineRule="auto"/>
        <w:ind w:left="221" w:right="214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</w:rPr>
        <w:t>Universidade Federal de Alagoas</w:t>
      </w:r>
      <w:r>
        <w:rPr>
          <w:sz w:val="20"/>
          <w:szCs w:val="20"/>
          <w:vertAlign w:val="superscript"/>
        </w:rPr>
        <w:t>1</w:t>
      </w:r>
      <w:r w:rsidR="00EC7BCA">
        <w:rPr>
          <w:sz w:val="20"/>
          <w:szCs w:val="20"/>
          <w:vertAlign w:val="superscript"/>
        </w:rPr>
        <w:t xml:space="preserve"> </w:t>
      </w:r>
      <w:r w:rsidR="00EC7BCA">
        <w:rPr>
          <w:sz w:val="20"/>
          <w:szCs w:val="20"/>
        </w:rPr>
        <w:t>Universidade Federal Rural de Pernambuco</w:t>
      </w:r>
      <w:r w:rsidR="00EC7BCA">
        <w:rPr>
          <w:sz w:val="20"/>
          <w:szCs w:val="20"/>
          <w:vertAlign w:val="superscript"/>
        </w:rPr>
        <w:t>2</w:t>
      </w:r>
    </w:p>
    <w:p w14:paraId="4A5E1249" w14:textId="75FECF61" w:rsidR="003010A9" w:rsidRDefault="00256B64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2" w:name="_heading=h.yp96iwu2o7wg" w:colFirst="0" w:colLast="0"/>
      <w:bookmarkEnd w:id="2"/>
      <w:r>
        <w:rPr>
          <w:sz w:val="20"/>
          <w:szCs w:val="20"/>
        </w:rPr>
        <w:t xml:space="preserve">* </w:t>
      </w:r>
      <w:r w:rsidR="009A7B9D">
        <w:rPr>
          <w:sz w:val="20"/>
          <w:szCs w:val="20"/>
        </w:rPr>
        <w:t>erika.silva@ceca.ufal.br</w:t>
      </w:r>
    </w:p>
    <w:p w14:paraId="15F045E6" w14:textId="77777777" w:rsidR="003010A9" w:rsidRDefault="00256B64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3DB6580E" w14:textId="77777777" w:rsidR="003010A9" w:rsidRDefault="003010A9">
      <w:pPr>
        <w:jc w:val="both"/>
        <w:rPr>
          <w:sz w:val="20"/>
          <w:szCs w:val="20"/>
        </w:rPr>
      </w:pPr>
    </w:p>
    <w:p w14:paraId="175CE037" w14:textId="4449B721" w:rsidR="003010A9" w:rsidRDefault="00256B64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72130266" w14:textId="77777777" w:rsidR="008B3643" w:rsidRDefault="008B3643">
      <w:pPr>
        <w:jc w:val="both"/>
        <w:rPr>
          <w:sz w:val="20"/>
          <w:szCs w:val="20"/>
        </w:rPr>
      </w:pPr>
    </w:p>
    <w:p w14:paraId="2435BD25" w14:textId="27EF2D8A" w:rsidR="003A1B6F" w:rsidRPr="003A1B6F" w:rsidRDefault="00A8317E" w:rsidP="003A1B6F">
      <w:pPr>
        <w:widowControl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A Caatinga, bioma exclusivamente brasileiro e altamente ameaçado, abriga espécies nativas importantes para restauração e uso sustentável. Este estudo avaliou a germinação </w:t>
      </w:r>
      <w:r>
        <w:rPr>
          <w:i/>
          <w:iCs/>
          <w:sz w:val="20"/>
          <w:szCs w:val="20"/>
        </w:rPr>
        <w:t>in vitro</w:t>
      </w:r>
      <w:r w:rsidR="00887C29">
        <w:rPr>
          <w:i/>
          <w:iCs/>
          <w:sz w:val="20"/>
          <w:szCs w:val="20"/>
        </w:rPr>
        <w:t xml:space="preserve"> </w:t>
      </w:r>
      <w:r w:rsidR="00887C29">
        <w:rPr>
          <w:sz w:val="20"/>
          <w:szCs w:val="20"/>
        </w:rPr>
        <w:t xml:space="preserve">de </w:t>
      </w:r>
      <w:r w:rsidR="003A1B6F">
        <w:rPr>
          <w:i/>
          <w:iCs/>
          <w:sz w:val="20"/>
          <w:szCs w:val="20"/>
        </w:rPr>
        <w:t>Pityrocarpa moniliformis</w:t>
      </w:r>
      <w:r w:rsidR="003A1B6F">
        <w:rPr>
          <w:sz w:val="20"/>
          <w:szCs w:val="20"/>
        </w:rPr>
        <w:t xml:space="preserve">, </w:t>
      </w:r>
      <w:r w:rsidR="003A1B6F">
        <w:rPr>
          <w:i/>
          <w:iCs/>
          <w:sz w:val="20"/>
          <w:szCs w:val="20"/>
        </w:rPr>
        <w:t>Mimosa ophthalmocentra</w:t>
      </w:r>
      <w:r w:rsidR="00887C29">
        <w:rPr>
          <w:sz w:val="20"/>
          <w:szCs w:val="20"/>
        </w:rPr>
        <w:t xml:space="preserve">, </w:t>
      </w:r>
      <w:r w:rsidR="003A1B6F">
        <w:rPr>
          <w:i/>
          <w:iCs/>
          <w:sz w:val="20"/>
          <w:szCs w:val="20"/>
        </w:rPr>
        <w:t>Mimosa tenuiflora</w:t>
      </w:r>
      <w:r w:rsidR="00887C29">
        <w:rPr>
          <w:sz w:val="20"/>
          <w:szCs w:val="20"/>
        </w:rPr>
        <w:t xml:space="preserve">, </w:t>
      </w:r>
      <w:r w:rsidR="003A1B6F" w:rsidRPr="00F533C7">
        <w:rPr>
          <w:i/>
          <w:iCs/>
          <w:sz w:val="20"/>
          <w:szCs w:val="20"/>
        </w:rPr>
        <w:t>Mimosa caesalpiniifolia</w:t>
      </w:r>
      <w:r w:rsidR="00887C29">
        <w:rPr>
          <w:sz w:val="20"/>
          <w:szCs w:val="20"/>
        </w:rPr>
        <w:t xml:space="preserve">, </w:t>
      </w:r>
      <w:r w:rsidR="003A1B6F" w:rsidRPr="00F533C7">
        <w:rPr>
          <w:i/>
          <w:iCs/>
          <w:sz w:val="20"/>
          <w:szCs w:val="20"/>
        </w:rPr>
        <w:t>Ceiba glaziovii</w:t>
      </w:r>
      <w:r w:rsidR="00887C29">
        <w:rPr>
          <w:sz w:val="20"/>
          <w:szCs w:val="20"/>
        </w:rPr>
        <w:t xml:space="preserve">, </w:t>
      </w:r>
      <w:r w:rsidR="003A1B6F" w:rsidRPr="00F533C7">
        <w:rPr>
          <w:i/>
          <w:iCs/>
          <w:sz w:val="20"/>
          <w:szCs w:val="20"/>
        </w:rPr>
        <w:t>Libidibia ferrea</w:t>
      </w:r>
      <w:r w:rsidR="003A1B6F">
        <w:rPr>
          <w:i/>
          <w:iCs/>
          <w:sz w:val="20"/>
          <w:szCs w:val="20"/>
        </w:rPr>
        <w:t xml:space="preserve"> </w:t>
      </w:r>
      <w:r w:rsidR="00887C29">
        <w:rPr>
          <w:sz w:val="20"/>
          <w:szCs w:val="20"/>
        </w:rPr>
        <w:t xml:space="preserve">e </w:t>
      </w:r>
      <w:r w:rsidR="003A1B6F" w:rsidRPr="00F533C7">
        <w:rPr>
          <w:i/>
          <w:iCs/>
          <w:sz w:val="20"/>
          <w:szCs w:val="20"/>
        </w:rPr>
        <w:t>Senna spectabili</w:t>
      </w:r>
      <w:r w:rsidR="003A1B6F">
        <w:rPr>
          <w:i/>
          <w:iCs/>
          <w:sz w:val="20"/>
          <w:szCs w:val="20"/>
        </w:rPr>
        <w:t>s</w:t>
      </w:r>
      <w:r w:rsidR="00887C29">
        <w:rPr>
          <w:sz w:val="20"/>
          <w:szCs w:val="20"/>
        </w:rPr>
        <w:t>, visando produção de mudas e conservação das espécies. As sementes foram escarificadas, com ácido sulfúrico e corte mecânico, desinfestadas e cultivadas em meio MS com sacarose (30 g/L</w:t>
      </w:r>
      <w:r w:rsidR="00887C29">
        <w:rPr>
          <w:sz w:val="20"/>
          <w:szCs w:val="20"/>
          <w:vertAlign w:val="superscript"/>
        </w:rPr>
        <w:t>-1</w:t>
      </w:r>
      <w:r w:rsidR="00887C29">
        <w:rPr>
          <w:sz w:val="20"/>
          <w:szCs w:val="20"/>
        </w:rPr>
        <w:t>) e ágar (7 g/L</w:t>
      </w:r>
      <w:r w:rsidR="00887C29">
        <w:rPr>
          <w:sz w:val="20"/>
          <w:szCs w:val="20"/>
          <w:vertAlign w:val="superscript"/>
        </w:rPr>
        <w:t>-1</w:t>
      </w:r>
      <w:r w:rsidR="00887C29">
        <w:rPr>
          <w:sz w:val="20"/>
          <w:szCs w:val="20"/>
        </w:rPr>
        <w:t xml:space="preserve">), em </w:t>
      </w:r>
      <w:r w:rsidR="00D30634">
        <w:rPr>
          <w:sz w:val="20"/>
          <w:szCs w:val="20"/>
        </w:rPr>
        <w:t>sala de crescimento em ambiente controlado, à</w:t>
      </w:r>
      <w:r w:rsidR="00887C29">
        <w:rPr>
          <w:sz w:val="20"/>
          <w:szCs w:val="20"/>
        </w:rPr>
        <w:t xml:space="preserve"> temperatura de 2</w:t>
      </w:r>
      <w:r w:rsidR="00D30634">
        <w:rPr>
          <w:sz w:val="20"/>
          <w:szCs w:val="20"/>
        </w:rPr>
        <w:t>5</w:t>
      </w:r>
      <w:r w:rsidR="00887C29">
        <w:rPr>
          <w:sz w:val="20"/>
          <w:szCs w:val="20"/>
        </w:rPr>
        <w:t xml:space="preserve">°C </w:t>
      </w:r>
      <w:r w:rsidR="00887C29" w:rsidRPr="00B23577">
        <w:rPr>
          <w:sz w:val="20"/>
          <w:szCs w:val="20"/>
        </w:rPr>
        <w:t>± 2 °C</w:t>
      </w:r>
      <w:r w:rsidR="00887C29">
        <w:rPr>
          <w:sz w:val="20"/>
          <w:szCs w:val="20"/>
        </w:rPr>
        <w:t xml:space="preserve"> e fotoperíodo de 16 horas. A </w:t>
      </w:r>
      <w:r w:rsidR="00887C29">
        <w:rPr>
          <w:i/>
          <w:iCs/>
          <w:sz w:val="20"/>
          <w:szCs w:val="20"/>
        </w:rPr>
        <w:t>M. caesalpiniifolia</w:t>
      </w:r>
      <w:r w:rsidR="00887C29">
        <w:rPr>
          <w:sz w:val="20"/>
          <w:szCs w:val="20"/>
        </w:rPr>
        <w:t xml:space="preserve"> destacou-se em todos os parâmetros de </w:t>
      </w:r>
      <w:r w:rsidR="009C37FD">
        <w:rPr>
          <w:sz w:val="20"/>
          <w:szCs w:val="20"/>
        </w:rPr>
        <w:t>potencial fisiológico</w:t>
      </w:r>
      <w:r w:rsidR="00887C29">
        <w:rPr>
          <w:sz w:val="20"/>
          <w:szCs w:val="20"/>
        </w:rPr>
        <w:t xml:space="preserve">, indicando eficiência metabólica no meio MS. A </w:t>
      </w:r>
      <w:r w:rsidR="00887C29">
        <w:rPr>
          <w:i/>
          <w:iCs/>
          <w:sz w:val="20"/>
          <w:szCs w:val="20"/>
        </w:rPr>
        <w:t xml:space="preserve">M. ophthalmocentra, M. tenuiflora </w:t>
      </w:r>
      <w:r w:rsidR="00887C29">
        <w:rPr>
          <w:sz w:val="20"/>
          <w:szCs w:val="20"/>
        </w:rPr>
        <w:t xml:space="preserve">e </w:t>
      </w:r>
      <w:r w:rsidR="00887C29">
        <w:rPr>
          <w:i/>
          <w:iCs/>
          <w:sz w:val="20"/>
          <w:szCs w:val="20"/>
        </w:rPr>
        <w:t>P. moniliformis</w:t>
      </w:r>
      <w:r w:rsidR="00887C29">
        <w:rPr>
          <w:sz w:val="20"/>
          <w:szCs w:val="20"/>
        </w:rPr>
        <w:t xml:space="preserve"> apresentaram germinação tardia, sugerindo que o meio MS foi ideal apenas para as fases finais. Enquanto os valores para </w:t>
      </w:r>
      <w:r w:rsidR="00887C29" w:rsidRPr="00887C29">
        <w:rPr>
          <w:i/>
          <w:iCs/>
          <w:sz w:val="20"/>
          <w:szCs w:val="20"/>
        </w:rPr>
        <w:t>C. glaziovii</w:t>
      </w:r>
      <w:r w:rsidR="00887C29" w:rsidRPr="00887C29">
        <w:rPr>
          <w:sz w:val="20"/>
          <w:szCs w:val="20"/>
        </w:rPr>
        <w:t xml:space="preserve"> e </w:t>
      </w:r>
      <w:r w:rsidR="00887C29" w:rsidRPr="00887C29">
        <w:rPr>
          <w:i/>
          <w:iCs/>
          <w:sz w:val="20"/>
          <w:szCs w:val="20"/>
        </w:rPr>
        <w:t>L. ferrea</w:t>
      </w:r>
      <w:r w:rsidR="00887C29">
        <w:rPr>
          <w:sz w:val="20"/>
          <w:szCs w:val="20"/>
        </w:rPr>
        <w:t xml:space="preserve"> pode estar ligada às concentrações de sais ou sacarose que pode ter afetado os índices </w:t>
      </w:r>
      <w:r w:rsidR="009C37FD">
        <w:rPr>
          <w:sz w:val="20"/>
          <w:szCs w:val="20"/>
        </w:rPr>
        <w:t xml:space="preserve">percentuais </w:t>
      </w:r>
      <w:r w:rsidR="00887C29">
        <w:rPr>
          <w:sz w:val="20"/>
          <w:szCs w:val="20"/>
        </w:rPr>
        <w:t xml:space="preserve">de germinação. Conclui-se que a resposta </w:t>
      </w:r>
      <w:r w:rsidR="003A1B6F">
        <w:rPr>
          <w:sz w:val="20"/>
          <w:szCs w:val="20"/>
        </w:rPr>
        <w:t xml:space="preserve">germinativa varia conforme a espécie, sendo recomendado o uso do meio MS para germinação </w:t>
      </w:r>
      <w:r w:rsidR="003A1B6F">
        <w:rPr>
          <w:i/>
          <w:iCs/>
          <w:sz w:val="20"/>
          <w:szCs w:val="20"/>
        </w:rPr>
        <w:t xml:space="preserve">in vitro </w:t>
      </w:r>
      <w:r w:rsidR="003A1B6F">
        <w:rPr>
          <w:sz w:val="20"/>
          <w:szCs w:val="20"/>
        </w:rPr>
        <w:t>de sabiá (</w:t>
      </w:r>
      <w:r w:rsidR="003A1B6F">
        <w:rPr>
          <w:i/>
          <w:iCs/>
          <w:sz w:val="20"/>
          <w:szCs w:val="20"/>
        </w:rPr>
        <w:t>M.</w:t>
      </w:r>
      <w:r w:rsidR="003A1B6F" w:rsidRPr="003A1B6F">
        <w:rPr>
          <w:i/>
          <w:iCs/>
          <w:sz w:val="20"/>
          <w:szCs w:val="20"/>
        </w:rPr>
        <w:t xml:space="preserve"> </w:t>
      </w:r>
      <w:r w:rsidR="003A1B6F" w:rsidRPr="00F533C7">
        <w:rPr>
          <w:i/>
          <w:iCs/>
          <w:sz w:val="20"/>
          <w:szCs w:val="20"/>
        </w:rPr>
        <w:t>caesalpiniifolia</w:t>
      </w:r>
      <w:r w:rsidR="003A1B6F">
        <w:rPr>
          <w:sz w:val="20"/>
          <w:szCs w:val="20"/>
        </w:rPr>
        <w:t>), jurema-branca (</w:t>
      </w:r>
      <w:r w:rsidR="003A1B6F">
        <w:rPr>
          <w:i/>
          <w:iCs/>
          <w:sz w:val="20"/>
          <w:szCs w:val="20"/>
        </w:rPr>
        <w:t xml:space="preserve">M. ophthalmocentra), </w:t>
      </w:r>
      <w:r w:rsidR="003A1B6F">
        <w:rPr>
          <w:sz w:val="20"/>
          <w:szCs w:val="20"/>
        </w:rPr>
        <w:t>jurema-preta (</w:t>
      </w:r>
      <w:r w:rsidR="003A1B6F">
        <w:rPr>
          <w:i/>
          <w:iCs/>
          <w:sz w:val="20"/>
          <w:szCs w:val="20"/>
        </w:rPr>
        <w:t>M. tenuiflora)</w:t>
      </w:r>
      <w:r w:rsidR="003A1B6F">
        <w:rPr>
          <w:sz w:val="20"/>
          <w:szCs w:val="20"/>
        </w:rPr>
        <w:t xml:space="preserve"> e catanduva (</w:t>
      </w:r>
      <w:r w:rsidR="003A1B6F">
        <w:rPr>
          <w:i/>
          <w:iCs/>
          <w:sz w:val="20"/>
          <w:szCs w:val="20"/>
        </w:rPr>
        <w:t>P. moniliformis).</w:t>
      </w:r>
    </w:p>
    <w:p w14:paraId="61124A43" w14:textId="3CA5ED2A" w:rsidR="003010A9" w:rsidRPr="003A1B6F" w:rsidRDefault="003010A9">
      <w:pPr>
        <w:widowControl/>
        <w:ind w:right="4"/>
        <w:jc w:val="both"/>
        <w:rPr>
          <w:sz w:val="20"/>
          <w:szCs w:val="20"/>
        </w:rPr>
      </w:pPr>
    </w:p>
    <w:p w14:paraId="15B7D398" w14:textId="2C270F03" w:rsidR="003010A9" w:rsidRDefault="00256B64">
      <w:pPr>
        <w:widowControl/>
        <w:ind w:left="567" w:right="4" w:hanging="567"/>
        <w:rPr>
          <w:sz w:val="20"/>
          <w:szCs w:val="20"/>
        </w:rPr>
      </w:pPr>
      <w:r>
        <w:rPr>
          <w:i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3A1B6F">
        <w:rPr>
          <w:sz w:val="20"/>
          <w:szCs w:val="20"/>
        </w:rPr>
        <w:t xml:space="preserve">micropropagação; </w:t>
      </w:r>
      <w:r w:rsidR="009A7B9D">
        <w:rPr>
          <w:sz w:val="20"/>
          <w:szCs w:val="20"/>
        </w:rPr>
        <w:t>meio MS; análise multivariada.</w:t>
      </w:r>
    </w:p>
    <w:p w14:paraId="6DFD276B" w14:textId="77777777" w:rsidR="003010A9" w:rsidRDefault="003010A9">
      <w:pPr>
        <w:widowControl/>
        <w:jc w:val="both"/>
        <w:rPr>
          <w:b/>
          <w:sz w:val="20"/>
          <w:szCs w:val="20"/>
        </w:rPr>
      </w:pPr>
    </w:p>
    <w:p w14:paraId="23DE1ECC" w14:textId="048B12D5" w:rsidR="003010A9" w:rsidRDefault="00256B64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INTRODUÇÃO </w:t>
      </w:r>
    </w:p>
    <w:p w14:paraId="68FA8C2B" w14:textId="77777777" w:rsidR="008B3643" w:rsidRDefault="008B3643">
      <w:pPr>
        <w:widowControl/>
        <w:jc w:val="both"/>
        <w:rPr>
          <w:sz w:val="20"/>
          <w:szCs w:val="20"/>
        </w:rPr>
      </w:pPr>
    </w:p>
    <w:p w14:paraId="700C7B89" w14:textId="3962E535" w:rsidR="00657D48" w:rsidRPr="00657D48" w:rsidRDefault="00657D48" w:rsidP="00EB2D41">
      <w:pPr>
        <w:widowControl/>
        <w:ind w:firstLine="720"/>
        <w:jc w:val="both"/>
        <w:rPr>
          <w:sz w:val="20"/>
          <w:szCs w:val="20"/>
        </w:rPr>
      </w:pPr>
      <w:r w:rsidRPr="00657D48">
        <w:rPr>
          <w:sz w:val="20"/>
          <w:szCs w:val="20"/>
        </w:rPr>
        <w:t xml:space="preserve">A Caatinga, terceiro maior bioma brasileiro e exclusivo do país (LEAL et al., 2017), abriga grande biodiversidade endêmica, porém cerca de 80% já está degradada (MMA, 2024). Destacam-se espécies como </w:t>
      </w:r>
      <w:r w:rsidRPr="00EB2D41">
        <w:rPr>
          <w:i/>
          <w:iCs/>
          <w:sz w:val="20"/>
          <w:szCs w:val="20"/>
        </w:rPr>
        <w:t>Pityrocarpa moniliformis</w:t>
      </w:r>
      <w:r w:rsidRPr="00657D48">
        <w:rPr>
          <w:sz w:val="20"/>
          <w:szCs w:val="20"/>
        </w:rPr>
        <w:t xml:space="preserve"> (catanduva), </w:t>
      </w:r>
      <w:r>
        <w:rPr>
          <w:i/>
          <w:iCs/>
          <w:sz w:val="20"/>
          <w:szCs w:val="20"/>
        </w:rPr>
        <w:t>Mimosa ophthalmocentra</w:t>
      </w:r>
      <w:r w:rsidRPr="00657D48">
        <w:rPr>
          <w:sz w:val="20"/>
          <w:szCs w:val="20"/>
        </w:rPr>
        <w:t xml:space="preserve"> (jurema</w:t>
      </w:r>
      <w:r>
        <w:rPr>
          <w:sz w:val="20"/>
          <w:szCs w:val="20"/>
        </w:rPr>
        <w:t xml:space="preserve"> branca</w:t>
      </w:r>
      <w:r w:rsidRPr="00657D48">
        <w:rPr>
          <w:sz w:val="20"/>
          <w:szCs w:val="20"/>
        </w:rPr>
        <w:t>),</w:t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Mimosa tenuiflora</w:t>
      </w:r>
      <w:r>
        <w:rPr>
          <w:sz w:val="20"/>
          <w:szCs w:val="20"/>
        </w:rPr>
        <w:t xml:space="preserve"> (jurema-preta),</w:t>
      </w:r>
      <w:r w:rsidRPr="00657D48">
        <w:rPr>
          <w:sz w:val="20"/>
          <w:szCs w:val="20"/>
        </w:rPr>
        <w:t xml:space="preserve"> </w:t>
      </w:r>
      <w:r w:rsidRPr="00EB2D41">
        <w:rPr>
          <w:i/>
          <w:iCs/>
          <w:sz w:val="20"/>
          <w:szCs w:val="20"/>
        </w:rPr>
        <w:t>Ceiba glaziovii</w:t>
      </w:r>
      <w:r w:rsidRPr="00657D48">
        <w:rPr>
          <w:sz w:val="20"/>
          <w:szCs w:val="20"/>
        </w:rPr>
        <w:t xml:space="preserve"> (barriguda), </w:t>
      </w:r>
      <w:r w:rsidRPr="00EB2D41">
        <w:rPr>
          <w:i/>
          <w:iCs/>
          <w:sz w:val="20"/>
          <w:szCs w:val="20"/>
        </w:rPr>
        <w:t>Libidibia ferrea</w:t>
      </w:r>
      <w:r w:rsidRPr="00657D48">
        <w:rPr>
          <w:sz w:val="20"/>
          <w:szCs w:val="20"/>
        </w:rPr>
        <w:t xml:space="preserve"> (pau-ferro) e </w:t>
      </w:r>
      <w:r w:rsidRPr="00EB2D41">
        <w:rPr>
          <w:i/>
          <w:iCs/>
          <w:sz w:val="20"/>
          <w:szCs w:val="20"/>
        </w:rPr>
        <w:t>Senna spectabilis</w:t>
      </w:r>
      <w:r w:rsidRPr="00657D48">
        <w:rPr>
          <w:sz w:val="20"/>
          <w:szCs w:val="20"/>
        </w:rPr>
        <w:t xml:space="preserve"> (cássia-do-nordeste), majoritariamente da família Fabaceae (FLORA E FUNGA DO BRASIL, 2025).</w:t>
      </w:r>
    </w:p>
    <w:p w14:paraId="66B7F82F" w14:textId="5E7D1DB7" w:rsidR="00657D48" w:rsidRPr="00657D48" w:rsidRDefault="00657D48" w:rsidP="00EB2D41">
      <w:pPr>
        <w:widowControl/>
        <w:ind w:firstLine="708"/>
        <w:jc w:val="both"/>
        <w:rPr>
          <w:sz w:val="20"/>
          <w:szCs w:val="20"/>
        </w:rPr>
      </w:pPr>
      <w:r w:rsidRPr="00657D48">
        <w:rPr>
          <w:sz w:val="20"/>
          <w:szCs w:val="20"/>
        </w:rPr>
        <w:t>Essas espécies possuem importância ecológica e econômica: a catanduva é melífera (NASCIMENTO; DANTAS, 2018); as juremas e sabiá são usadas em recuperação de áreas degradadas (NOGUEIRA et al., 2018; CARVALHO, 2010); a barriguda tem uso medicinal e têxtil (RIBEIRO et al., 2020); e o pau-ferro e cássia-do-nordeste são empregados em restauração e medicina (CARVALHO, 2003; 2010).</w:t>
      </w:r>
    </w:p>
    <w:p w14:paraId="1F249AB7" w14:textId="3CBA19B3" w:rsidR="00657D48" w:rsidRDefault="00657D48" w:rsidP="00657D48">
      <w:pPr>
        <w:ind w:firstLine="709"/>
        <w:contextualSpacing/>
        <w:jc w:val="both"/>
        <w:rPr>
          <w:i/>
          <w:iCs/>
          <w:sz w:val="20"/>
          <w:szCs w:val="20"/>
        </w:rPr>
      </w:pPr>
      <w:r w:rsidRPr="00657D48">
        <w:rPr>
          <w:sz w:val="20"/>
          <w:szCs w:val="20"/>
        </w:rPr>
        <w:t xml:space="preserve">Embora classificadas como "menos preocupantes" (IUCN, 2025), medidas de conservação são urgentes devido a pressões climáticas e econômicas. Técnicas como germinação </w:t>
      </w:r>
      <w:r w:rsidRPr="00EB2D41">
        <w:rPr>
          <w:i/>
          <w:iCs/>
          <w:sz w:val="20"/>
          <w:szCs w:val="20"/>
        </w:rPr>
        <w:t>in vitro</w:t>
      </w:r>
      <w:r w:rsidRPr="00657D48">
        <w:rPr>
          <w:sz w:val="20"/>
          <w:szCs w:val="20"/>
        </w:rPr>
        <w:t xml:space="preserve"> são promissoras, pois os sais e açúcares dos meios de cultura influenciam diretamente o desenvolvimento celular e a embebição (DAIBES; CARDOSO, 2020). Este trabalho avaliou a germinação </w:t>
      </w:r>
      <w:r w:rsidRPr="00EB2D41">
        <w:rPr>
          <w:i/>
          <w:iCs/>
          <w:sz w:val="20"/>
          <w:szCs w:val="20"/>
        </w:rPr>
        <w:t>in vitro</w:t>
      </w:r>
      <w:r w:rsidRPr="00657D48">
        <w:rPr>
          <w:sz w:val="20"/>
          <w:szCs w:val="20"/>
        </w:rPr>
        <w:t xml:space="preserve"> d</w:t>
      </w:r>
      <w:r>
        <w:rPr>
          <w:sz w:val="20"/>
          <w:szCs w:val="20"/>
        </w:rPr>
        <w:t xml:space="preserve">e espécies florestais da Caatinga com potencialidade para produção de mudas e conservação. </w:t>
      </w:r>
    </w:p>
    <w:p w14:paraId="4C6DDAB1" w14:textId="77777777" w:rsidR="003010A9" w:rsidRDefault="003010A9">
      <w:pPr>
        <w:widowControl/>
        <w:ind w:firstLine="708"/>
        <w:jc w:val="both"/>
        <w:rPr>
          <w:b/>
          <w:sz w:val="20"/>
          <w:szCs w:val="20"/>
        </w:rPr>
      </w:pPr>
    </w:p>
    <w:p w14:paraId="51995D41" w14:textId="5D8A1423" w:rsidR="003010A9" w:rsidRDefault="00256B64" w:rsidP="00FD5A37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4E9B0F18" w14:textId="77777777" w:rsidR="008B3643" w:rsidRDefault="008B3643" w:rsidP="00FD5A37">
      <w:pPr>
        <w:widowControl/>
        <w:jc w:val="both"/>
        <w:rPr>
          <w:b/>
          <w:sz w:val="20"/>
          <w:szCs w:val="20"/>
        </w:rPr>
      </w:pPr>
    </w:p>
    <w:p w14:paraId="0AFAC7AD" w14:textId="69B4C28F" w:rsidR="00FD5A37" w:rsidRDefault="00FD5A37" w:rsidP="00FD5A37">
      <w:pPr>
        <w:ind w:firstLine="72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 sementes utilizadas neste estudo foram doadas </w:t>
      </w:r>
      <w:r w:rsidR="008B3643">
        <w:rPr>
          <w:sz w:val="20"/>
          <w:szCs w:val="20"/>
        </w:rPr>
        <w:t xml:space="preserve">pelo </w:t>
      </w:r>
      <w:r>
        <w:rPr>
          <w:sz w:val="20"/>
          <w:szCs w:val="20"/>
        </w:rPr>
        <w:t xml:space="preserve">Núcleo de Ecologia e Monitoramento Ambiental (NEMA/UNIVASF), Petrolina/PE. O experimento foi conduzido no laboratório de Biotecnologia Vegetal do Campus de Engenharias e Ciências Agrárias (CECA) da Universidade Federal de Alagoas (UFAL), Rio Largo/AL. </w:t>
      </w:r>
      <w:r>
        <w:rPr>
          <w:sz w:val="20"/>
          <w:szCs w:val="20"/>
        </w:rPr>
        <w:lastRenderedPageBreak/>
        <w:t xml:space="preserve">Foram utilizadas sete espécies nativas pertencentes à Caatinga: </w:t>
      </w:r>
      <w:r>
        <w:rPr>
          <w:i/>
          <w:iCs/>
          <w:sz w:val="20"/>
          <w:szCs w:val="20"/>
        </w:rPr>
        <w:t xml:space="preserve">P. moniliformis, M. ophthalmocentra, M. tenuiflora, </w:t>
      </w:r>
      <w:r w:rsidRPr="00F533C7">
        <w:rPr>
          <w:i/>
          <w:iCs/>
          <w:sz w:val="20"/>
          <w:szCs w:val="20"/>
        </w:rPr>
        <w:t>M</w:t>
      </w:r>
      <w:r>
        <w:rPr>
          <w:i/>
          <w:iCs/>
          <w:sz w:val="20"/>
          <w:szCs w:val="20"/>
        </w:rPr>
        <w:t xml:space="preserve">. </w:t>
      </w:r>
      <w:r w:rsidRPr="00F533C7">
        <w:rPr>
          <w:i/>
          <w:iCs/>
          <w:sz w:val="20"/>
          <w:szCs w:val="20"/>
        </w:rPr>
        <w:t>caesalpiniifolia</w:t>
      </w:r>
      <w:r>
        <w:rPr>
          <w:i/>
          <w:iCs/>
          <w:sz w:val="20"/>
          <w:szCs w:val="20"/>
        </w:rPr>
        <w:t>,</w:t>
      </w:r>
      <w:r w:rsidRPr="000525C6">
        <w:rPr>
          <w:i/>
          <w:iCs/>
          <w:sz w:val="20"/>
          <w:szCs w:val="20"/>
        </w:rPr>
        <w:t xml:space="preserve"> </w:t>
      </w:r>
      <w:r w:rsidRPr="00F533C7">
        <w:rPr>
          <w:i/>
          <w:iCs/>
          <w:sz w:val="20"/>
          <w:szCs w:val="20"/>
        </w:rPr>
        <w:t>C</w:t>
      </w:r>
      <w:r>
        <w:rPr>
          <w:i/>
          <w:iCs/>
          <w:sz w:val="20"/>
          <w:szCs w:val="20"/>
        </w:rPr>
        <w:t>.</w:t>
      </w:r>
      <w:r w:rsidRPr="00F533C7">
        <w:rPr>
          <w:i/>
          <w:iCs/>
          <w:sz w:val="20"/>
          <w:szCs w:val="20"/>
        </w:rPr>
        <w:t xml:space="preserve"> glaziovii</w:t>
      </w:r>
      <w:r>
        <w:rPr>
          <w:i/>
          <w:iCs/>
          <w:sz w:val="20"/>
          <w:szCs w:val="20"/>
        </w:rPr>
        <w:t xml:space="preserve">, </w:t>
      </w:r>
      <w:r w:rsidRPr="00F533C7">
        <w:rPr>
          <w:i/>
          <w:iCs/>
          <w:sz w:val="20"/>
          <w:szCs w:val="20"/>
        </w:rPr>
        <w:t>L</w:t>
      </w:r>
      <w:r>
        <w:rPr>
          <w:i/>
          <w:iCs/>
          <w:sz w:val="20"/>
          <w:szCs w:val="20"/>
        </w:rPr>
        <w:t>.</w:t>
      </w:r>
      <w:r w:rsidRPr="00F533C7">
        <w:rPr>
          <w:i/>
          <w:iCs/>
          <w:sz w:val="20"/>
          <w:szCs w:val="20"/>
        </w:rPr>
        <w:t xml:space="preserve"> ferrea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e </w:t>
      </w:r>
      <w:r w:rsidRPr="00F533C7">
        <w:rPr>
          <w:i/>
          <w:iCs/>
          <w:sz w:val="20"/>
          <w:szCs w:val="20"/>
        </w:rPr>
        <w:t>Senna spectabilis</w:t>
      </w:r>
      <w:r>
        <w:rPr>
          <w:i/>
          <w:iCs/>
          <w:sz w:val="20"/>
          <w:szCs w:val="20"/>
        </w:rPr>
        <w:t xml:space="preserve">. </w:t>
      </w:r>
      <w:r>
        <w:rPr>
          <w:sz w:val="20"/>
          <w:szCs w:val="20"/>
        </w:rPr>
        <w:t xml:space="preserve">Todas as sementes passaram por beneficiamento, sendo descartadas </w:t>
      </w:r>
      <w:r w:rsidR="00F83220">
        <w:rPr>
          <w:sz w:val="20"/>
          <w:szCs w:val="20"/>
        </w:rPr>
        <w:t xml:space="preserve">as </w:t>
      </w:r>
      <w:r>
        <w:rPr>
          <w:sz w:val="20"/>
          <w:szCs w:val="20"/>
        </w:rPr>
        <w:t xml:space="preserve">com defeitos e perfurações. </w:t>
      </w:r>
    </w:p>
    <w:p w14:paraId="51CAF86F" w14:textId="32DF6FE3" w:rsidR="00FD5A37" w:rsidRDefault="00FD5A37" w:rsidP="00FD5A37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9C37FD">
        <w:rPr>
          <w:sz w:val="20"/>
          <w:szCs w:val="20"/>
        </w:rPr>
        <w:t>As</w:t>
      </w:r>
      <w:r>
        <w:rPr>
          <w:sz w:val="20"/>
          <w:szCs w:val="20"/>
        </w:rPr>
        <w:t xml:space="preserve"> espécies apresentam dormência tegumentar, e por isso, foram utilizadas metodologias diferentes para superação da dormência. A jurema-branca, jurema-preta e barriguda foram escarificadas em ácido sulfúrico (H2SO4) concentrado por 10 minutos, enquanto a catanduva e pau-ferro por 30 e 20 minutos, respectivamente (</w:t>
      </w:r>
      <w:r w:rsidR="009F5EE6">
        <w:rPr>
          <w:sz w:val="20"/>
          <w:szCs w:val="20"/>
        </w:rPr>
        <w:t xml:space="preserve">NOGUEIRA </w:t>
      </w:r>
      <w:r w:rsidR="009F5EE6">
        <w:rPr>
          <w:i/>
          <w:iCs/>
          <w:sz w:val="20"/>
          <w:szCs w:val="20"/>
        </w:rPr>
        <w:t xml:space="preserve">et al., </w:t>
      </w:r>
      <w:r w:rsidR="009F5EE6">
        <w:rPr>
          <w:sz w:val="20"/>
          <w:szCs w:val="20"/>
        </w:rPr>
        <w:t>2019</w:t>
      </w:r>
      <w:r>
        <w:rPr>
          <w:sz w:val="20"/>
          <w:szCs w:val="20"/>
        </w:rPr>
        <w:t xml:space="preserve">; </w:t>
      </w:r>
      <w:r w:rsidR="004E044D">
        <w:rPr>
          <w:sz w:val="20"/>
          <w:szCs w:val="20"/>
        </w:rPr>
        <w:t>BRASIL,</w:t>
      </w:r>
      <w:r>
        <w:rPr>
          <w:sz w:val="20"/>
          <w:szCs w:val="20"/>
        </w:rPr>
        <w:t xml:space="preserve"> 2</w:t>
      </w:r>
      <w:r w:rsidR="009F5EE6">
        <w:rPr>
          <w:sz w:val="20"/>
          <w:szCs w:val="20"/>
        </w:rPr>
        <w:t>013</w:t>
      </w:r>
      <w:r>
        <w:rPr>
          <w:sz w:val="20"/>
          <w:szCs w:val="20"/>
        </w:rPr>
        <w:t xml:space="preserve">). </w:t>
      </w:r>
      <w:r w:rsidR="00F83220">
        <w:rPr>
          <w:sz w:val="20"/>
          <w:szCs w:val="20"/>
        </w:rPr>
        <w:t>Para a</w:t>
      </w:r>
      <w:r>
        <w:rPr>
          <w:sz w:val="20"/>
          <w:szCs w:val="20"/>
        </w:rPr>
        <w:t xml:space="preserve"> cássia-do-nordeste e sabiá foi realizado desponte do tegumento com cortador de unha esterilizado, do lado oposto à micrópila (BRASIL, 2013). Posteriormente, as sementes foram imersas em solução de hipóclorito de sódio 20% por 10 minutos, em seguida, em álcool 70% por 2 minutos e por fim, enxague em água destilada por 2 minutos. </w:t>
      </w:r>
    </w:p>
    <w:p w14:paraId="6FF693CC" w14:textId="15FB8B5E" w:rsidR="00FD5A37" w:rsidRDefault="00FD5A37" w:rsidP="00FD5A37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ab/>
        <w:t>As sementes foram inoculadas em frascos de vidro (100mL) vedados com tampa de polietileno contendo 10 mL do meio de cultura MS</w:t>
      </w:r>
      <w:r w:rsidR="00E75080">
        <w:rPr>
          <w:sz w:val="20"/>
          <w:szCs w:val="20"/>
        </w:rPr>
        <w:t xml:space="preserve"> (MURASHIGE; SKOOG, 1962)</w:t>
      </w:r>
      <w:r>
        <w:rPr>
          <w:sz w:val="20"/>
          <w:szCs w:val="20"/>
        </w:rPr>
        <w:t xml:space="preserve">, acrescido de 30 g/L </w:t>
      </w:r>
      <w:r>
        <w:rPr>
          <w:sz w:val="20"/>
          <w:szCs w:val="20"/>
          <w:vertAlign w:val="superscript"/>
        </w:rPr>
        <w:t>-1</w:t>
      </w:r>
      <w:r>
        <w:rPr>
          <w:sz w:val="20"/>
          <w:szCs w:val="20"/>
        </w:rPr>
        <w:t xml:space="preserve"> de sacarose e 7 g/L </w:t>
      </w:r>
      <w:r>
        <w:rPr>
          <w:sz w:val="20"/>
          <w:szCs w:val="20"/>
          <w:vertAlign w:val="superscript"/>
        </w:rPr>
        <w:t xml:space="preserve">-1 </w:t>
      </w:r>
      <w:r>
        <w:rPr>
          <w:sz w:val="20"/>
          <w:szCs w:val="20"/>
        </w:rPr>
        <w:t xml:space="preserve">de ágar. As avaliações foram realizadas diariamente durante 30 dias. As culturas foram mantidas em </w:t>
      </w:r>
      <w:r w:rsidR="00D30634">
        <w:rPr>
          <w:sz w:val="20"/>
          <w:szCs w:val="20"/>
        </w:rPr>
        <w:t>sala de crescimento em ambiente controlado,</w:t>
      </w:r>
      <w:r>
        <w:rPr>
          <w:sz w:val="20"/>
          <w:szCs w:val="20"/>
        </w:rPr>
        <w:t xml:space="preserve"> com temperatura de </w:t>
      </w:r>
      <w:r w:rsidRPr="00B23577">
        <w:rPr>
          <w:sz w:val="20"/>
          <w:szCs w:val="20"/>
        </w:rPr>
        <w:t>28 ± 2 °C</w:t>
      </w:r>
      <w:r>
        <w:rPr>
          <w:sz w:val="20"/>
          <w:szCs w:val="20"/>
        </w:rPr>
        <w:t xml:space="preserve"> e fotoperíodo de 16 horas. </w:t>
      </w:r>
      <w:r w:rsidR="009C37FD" w:rsidRPr="009C37FD">
        <w:rPr>
          <w:sz w:val="20"/>
          <w:szCs w:val="20"/>
        </w:rPr>
        <w:t>Para a análise multivariada dos dados, foi utilizado o ambiente de programação Python 3.12.</w:t>
      </w:r>
      <w:r w:rsidR="00FE1100">
        <w:rPr>
          <w:sz w:val="20"/>
          <w:szCs w:val="20"/>
        </w:rPr>
        <w:t>0</w:t>
      </w:r>
      <w:r w:rsidR="00F83220">
        <w:rPr>
          <w:sz w:val="20"/>
          <w:szCs w:val="20"/>
        </w:rPr>
        <w:t xml:space="preserve"> (</w:t>
      </w:r>
      <w:r w:rsidR="00FE1100" w:rsidRPr="00234891">
        <w:rPr>
          <w:sz w:val="20"/>
          <w:szCs w:val="20"/>
        </w:rPr>
        <w:t>PYTHON SOFTWARE FOUNDATION</w:t>
      </w:r>
      <w:r w:rsidR="00FE1100">
        <w:rPr>
          <w:sz w:val="20"/>
          <w:szCs w:val="20"/>
        </w:rPr>
        <w:t>, 2024</w:t>
      </w:r>
      <w:r w:rsidR="00F83220">
        <w:rPr>
          <w:sz w:val="20"/>
          <w:szCs w:val="20"/>
        </w:rPr>
        <w:t>)</w:t>
      </w:r>
      <w:r w:rsidR="009C37FD" w:rsidRPr="009C37FD">
        <w:rPr>
          <w:sz w:val="20"/>
          <w:szCs w:val="20"/>
        </w:rPr>
        <w:t xml:space="preserve">. As bibliotecas utilizadas foram: </w:t>
      </w:r>
      <w:r w:rsidR="009C37FD" w:rsidRPr="009C37FD">
        <w:rPr>
          <w:bCs/>
          <w:sz w:val="20"/>
          <w:szCs w:val="20"/>
        </w:rPr>
        <w:t>Pandas, NumPy</w:t>
      </w:r>
      <w:r w:rsidR="009C37FD" w:rsidRPr="009C37FD">
        <w:rPr>
          <w:sz w:val="20"/>
          <w:szCs w:val="20"/>
        </w:rPr>
        <w:t xml:space="preserve">, </w:t>
      </w:r>
      <w:r w:rsidR="009C37FD" w:rsidRPr="009C37FD">
        <w:rPr>
          <w:bCs/>
          <w:sz w:val="20"/>
          <w:szCs w:val="20"/>
        </w:rPr>
        <w:t>Seaborn</w:t>
      </w:r>
      <w:r w:rsidR="009C37FD" w:rsidRPr="009C37FD">
        <w:rPr>
          <w:sz w:val="20"/>
          <w:szCs w:val="20"/>
        </w:rPr>
        <w:t xml:space="preserve">, </w:t>
      </w:r>
      <w:r w:rsidR="009C37FD" w:rsidRPr="009C37FD">
        <w:rPr>
          <w:bCs/>
          <w:sz w:val="20"/>
          <w:szCs w:val="20"/>
        </w:rPr>
        <w:t>Matplotlib</w:t>
      </w:r>
      <w:r w:rsidR="009C37FD">
        <w:rPr>
          <w:sz w:val="20"/>
          <w:szCs w:val="20"/>
        </w:rPr>
        <w:t xml:space="preserve"> e </w:t>
      </w:r>
      <w:r w:rsidR="009C37FD" w:rsidRPr="009C37FD">
        <w:rPr>
          <w:bCs/>
          <w:sz w:val="20"/>
          <w:szCs w:val="20"/>
        </w:rPr>
        <w:t>SciPy</w:t>
      </w:r>
      <w:r w:rsidR="009C37FD" w:rsidRPr="009C37FD">
        <w:rPr>
          <w:sz w:val="20"/>
          <w:szCs w:val="20"/>
        </w:rPr>
        <w:t>. Os dados foram previamente normalizados (z-score) para permitir a comparação entre variáveis com diferentes magnitudes. Em seguida, foi gerado um mapa de calor com dendrograma (heatmap com clustering hierárquico)</w:t>
      </w:r>
      <w:r w:rsidR="009C37FD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Foram analisadas as variáveis germinação (GER), primeira contagem (PC), velocidade média de germinação (VMG), índice de velocidade de germinação (IVG) e tempo médio de germinação (TMG). Os dados foram submetidos à análise de variância (ANAVA), realizadas com auxílio de dendrograma e mapa de calor. </w:t>
      </w:r>
    </w:p>
    <w:p w14:paraId="039B7357" w14:textId="77777777" w:rsidR="003010A9" w:rsidRDefault="003010A9">
      <w:pPr>
        <w:widowControl/>
        <w:jc w:val="both"/>
        <w:rPr>
          <w:sz w:val="20"/>
          <w:szCs w:val="20"/>
        </w:rPr>
      </w:pPr>
    </w:p>
    <w:p w14:paraId="7DA47338" w14:textId="1AE2DF2A" w:rsidR="003010A9" w:rsidRDefault="00256B64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RESULTADOS E DISCUSSÃO </w:t>
      </w:r>
    </w:p>
    <w:p w14:paraId="64944C6E" w14:textId="77777777" w:rsidR="00F83220" w:rsidRDefault="00F83220">
      <w:pPr>
        <w:widowControl/>
        <w:jc w:val="both"/>
        <w:rPr>
          <w:b/>
          <w:sz w:val="20"/>
          <w:szCs w:val="20"/>
        </w:rPr>
      </w:pPr>
    </w:p>
    <w:p w14:paraId="5CEB921D" w14:textId="027F7F77" w:rsidR="009058BF" w:rsidRDefault="009058BF" w:rsidP="009058BF">
      <w:pPr>
        <w:ind w:firstLine="72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>
        <w:rPr>
          <w:i/>
          <w:iCs/>
          <w:sz w:val="20"/>
          <w:szCs w:val="20"/>
        </w:rPr>
        <w:t xml:space="preserve">M. </w:t>
      </w:r>
      <w:r w:rsidRPr="00F533C7">
        <w:rPr>
          <w:i/>
          <w:iCs/>
          <w:sz w:val="20"/>
          <w:szCs w:val="20"/>
        </w:rPr>
        <w:t>caesalpiniifolia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exibiu valores elevados de IVG, VMG, G e PC, enquanto o baixo TMG não afetou seu desempenho germinativo (Figura 1). Esses resultados demonstram sementes fisiologicamente eficientes, com germinação sincronizada, indicando que o meio MS proporcionou condições ideais para seu desenvolvimento metabólico. Porém, os resultados para </w:t>
      </w:r>
      <w:r>
        <w:rPr>
          <w:i/>
          <w:iCs/>
          <w:sz w:val="20"/>
          <w:szCs w:val="20"/>
        </w:rPr>
        <w:t>L. ferrea</w:t>
      </w:r>
      <w:r w:rsidR="003B0559">
        <w:rPr>
          <w:sz w:val="20"/>
          <w:szCs w:val="20"/>
        </w:rPr>
        <w:t xml:space="preserve">, </w:t>
      </w:r>
      <w:r>
        <w:rPr>
          <w:i/>
          <w:iCs/>
          <w:sz w:val="20"/>
          <w:szCs w:val="20"/>
        </w:rPr>
        <w:t>C. glaziovii</w:t>
      </w:r>
      <w:r w:rsidR="003B0559">
        <w:rPr>
          <w:i/>
          <w:iCs/>
          <w:sz w:val="20"/>
          <w:szCs w:val="20"/>
        </w:rPr>
        <w:t xml:space="preserve"> </w:t>
      </w:r>
      <w:r w:rsidR="003B0559">
        <w:rPr>
          <w:sz w:val="20"/>
          <w:szCs w:val="20"/>
        </w:rPr>
        <w:t xml:space="preserve">e </w:t>
      </w:r>
      <w:r w:rsidR="003B0559">
        <w:rPr>
          <w:i/>
          <w:iCs/>
          <w:sz w:val="20"/>
          <w:szCs w:val="20"/>
        </w:rPr>
        <w:t>S. spectabilis</w:t>
      </w:r>
      <w:r>
        <w:rPr>
          <w:i/>
          <w:iCs/>
          <w:sz w:val="20"/>
          <w:szCs w:val="20"/>
        </w:rPr>
        <w:t>,</w:t>
      </w:r>
      <w:r>
        <w:t xml:space="preserve"> </w:t>
      </w:r>
      <w:r w:rsidR="004E044D">
        <w:rPr>
          <w:sz w:val="20"/>
          <w:szCs w:val="20"/>
        </w:rPr>
        <w:t>apresentaram parâmetros</w:t>
      </w:r>
      <w:r>
        <w:rPr>
          <w:sz w:val="20"/>
          <w:szCs w:val="20"/>
        </w:rPr>
        <w:t xml:space="preserve"> com os valores mais baixos (Figura 1), indicando menor eficiência germinativa. Cardoso </w:t>
      </w:r>
      <w:r>
        <w:rPr>
          <w:i/>
          <w:iCs/>
          <w:sz w:val="20"/>
          <w:szCs w:val="20"/>
        </w:rPr>
        <w:t>et al</w:t>
      </w:r>
      <w:r>
        <w:rPr>
          <w:sz w:val="20"/>
          <w:szCs w:val="20"/>
        </w:rPr>
        <w:t xml:space="preserve">. (2018) relatam que a alta concentração de sais no meio pode limitar a absorção de água durante a embebição, exigindo maior mobilização de sacarose interna para compensar o estresse hídrico, o que pode ter retardado ou inibido a germinação. Neste caso, a </w:t>
      </w:r>
      <w:r>
        <w:rPr>
          <w:i/>
          <w:iCs/>
          <w:sz w:val="20"/>
          <w:szCs w:val="20"/>
        </w:rPr>
        <w:t xml:space="preserve">M. caesalpiniifolia </w:t>
      </w:r>
      <w:r>
        <w:rPr>
          <w:sz w:val="20"/>
          <w:szCs w:val="20"/>
        </w:rPr>
        <w:t xml:space="preserve">pode possuir mecanismos mais eficientes para regular absorção de água e nutrientes. </w:t>
      </w:r>
    </w:p>
    <w:p w14:paraId="19CD5C72" w14:textId="77777777" w:rsidR="00F16179" w:rsidRDefault="00F16179" w:rsidP="009058BF">
      <w:pPr>
        <w:ind w:firstLine="720"/>
        <w:contextualSpacing/>
        <w:jc w:val="both"/>
        <w:rPr>
          <w:sz w:val="20"/>
          <w:szCs w:val="20"/>
        </w:rPr>
      </w:pPr>
    </w:p>
    <w:p w14:paraId="4627AEB4" w14:textId="77777777" w:rsidR="00F16179" w:rsidRDefault="00F16179" w:rsidP="00F16179">
      <w:pPr>
        <w:contextualSpacing/>
        <w:jc w:val="center"/>
        <w:rPr>
          <w:sz w:val="20"/>
          <w:szCs w:val="20"/>
        </w:rPr>
      </w:pPr>
      <w:r w:rsidRPr="0010772B">
        <w:rPr>
          <w:noProof/>
          <w:sz w:val="20"/>
          <w:szCs w:val="20"/>
          <w:lang w:bidi="ar-SA"/>
        </w:rPr>
        <w:drawing>
          <wp:inline distT="0" distB="0" distL="0" distR="0" wp14:anchorId="7B66070E" wp14:editId="142991DC">
            <wp:extent cx="3284700" cy="2597727"/>
            <wp:effectExtent l="0" t="0" r="0" b="0"/>
            <wp:docPr id="1" name="Imagem 1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46040" name="Imagem 1" descr="Gráfic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4141" cy="262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1958" w14:textId="77777777" w:rsidR="00F16179" w:rsidRDefault="00F16179" w:rsidP="00F16179">
      <w:pPr>
        <w:contextualSpacing/>
        <w:jc w:val="center"/>
        <w:rPr>
          <w:sz w:val="20"/>
          <w:szCs w:val="20"/>
        </w:rPr>
      </w:pPr>
    </w:p>
    <w:p w14:paraId="696334EB" w14:textId="77777777" w:rsidR="00F16179" w:rsidRPr="004E0925" w:rsidRDefault="00F16179" w:rsidP="00F16179">
      <w:pPr>
        <w:ind w:left="851" w:hanging="851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Figura 1. Dendrograma e mapa de calor referente aos padrões germinativos de espécies florestais da Caatinga em que 0.0 é o menor valor e 1.0 é o maior valor para o parâmetro analisado.</w:t>
      </w:r>
    </w:p>
    <w:p w14:paraId="5C4F4DA9" w14:textId="77777777" w:rsidR="00F16179" w:rsidRDefault="00F16179" w:rsidP="00F16179">
      <w:pPr>
        <w:contextualSpacing/>
        <w:jc w:val="center"/>
        <w:rPr>
          <w:sz w:val="20"/>
          <w:szCs w:val="20"/>
        </w:rPr>
      </w:pPr>
    </w:p>
    <w:p w14:paraId="77020D65" w14:textId="77777777" w:rsidR="00F16179" w:rsidRDefault="00F16179" w:rsidP="009058BF">
      <w:pPr>
        <w:ind w:firstLine="720"/>
        <w:contextualSpacing/>
        <w:jc w:val="both"/>
        <w:rPr>
          <w:sz w:val="20"/>
          <w:szCs w:val="20"/>
        </w:rPr>
      </w:pPr>
    </w:p>
    <w:p w14:paraId="5451533A" w14:textId="4859F050" w:rsidR="009058BF" w:rsidRDefault="009058BF" w:rsidP="009058BF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A </w:t>
      </w:r>
      <w:r>
        <w:rPr>
          <w:i/>
          <w:iCs/>
          <w:sz w:val="20"/>
          <w:szCs w:val="20"/>
        </w:rPr>
        <w:t xml:space="preserve">M. ophthalmocentra, M. tenuiflora </w:t>
      </w:r>
      <w:r>
        <w:rPr>
          <w:sz w:val="20"/>
          <w:szCs w:val="20"/>
        </w:rPr>
        <w:t xml:space="preserve">e </w:t>
      </w:r>
      <w:r>
        <w:rPr>
          <w:i/>
          <w:iCs/>
          <w:sz w:val="20"/>
          <w:szCs w:val="20"/>
        </w:rPr>
        <w:t xml:space="preserve">P. moniliformis </w:t>
      </w:r>
      <w:r>
        <w:rPr>
          <w:sz w:val="20"/>
          <w:szCs w:val="20"/>
        </w:rPr>
        <w:t xml:space="preserve">apresentaram valores semelhantes e próximos ao de </w:t>
      </w:r>
      <w:r>
        <w:rPr>
          <w:i/>
          <w:iCs/>
          <w:sz w:val="20"/>
          <w:szCs w:val="20"/>
        </w:rPr>
        <w:t>M. caesalpiniifolia</w:t>
      </w:r>
      <w:r>
        <w:rPr>
          <w:sz w:val="20"/>
          <w:szCs w:val="20"/>
        </w:rPr>
        <w:t>, exceto para o IVG e VMG (Figura 1)</w:t>
      </w:r>
      <w:r w:rsidR="00F83220">
        <w:rPr>
          <w:sz w:val="20"/>
          <w:szCs w:val="20"/>
        </w:rPr>
        <w:t>, o que</w:t>
      </w:r>
      <w:r>
        <w:rPr>
          <w:sz w:val="20"/>
          <w:szCs w:val="20"/>
        </w:rPr>
        <w:t xml:space="preserve"> </w:t>
      </w:r>
      <w:r w:rsidR="00F83220">
        <w:rPr>
          <w:sz w:val="20"/>
          <w:szCs w:val="20"/>
        </w:rPr>
        <w:t>i</w:t>
      </w:r>
      <w:r>
        <w:rPr>
          <w:sz w:val="20"/>
          <w:szCs w:val="20"/>
        </w:rPr>
        <w:t xml:space="preserve">ndica que o início da germinação foi tardio e </w:t>
      </w:r>
      <w:r w:rsidR="00F83220">
        <w:rPr>
          <w:sz w:val="20"/>
          <w:szCs w:val="20"/>
        </w:rPr>
        <w:t xml:space="preserve">houve </w:t>
      </w:r>
      <w:r>
        <w:rPr>
          <w:sz w:val="20"/>
          <w:szCs w:val="20"/>
        </w:rPr>
        <w:t xml:space="preserve">menor sincronia entre as sementes, reduzindo a velocidade média de germinação. O meio MS </w:t>
      </w:r>
      <w:r w:rsidR="008C57D5">
        <w:rPr>
          <w:sz w:val="20"/>
          <w:szCs w:val="20"/>
        </w:rPr>
        <w:t xml:space="preserve">foi </w:t>
      </w:r>
      <w:r>
        <w:rPr>
          <w:sz w:val="20"/>
          <w:szCs w:val="20"/>
        </w:rPr>
        <w:t xml:space="preserve">ideal para a fase final de germinação, garantindo valores altos de PC e G, mas não foi eficiente nas etapas iniciais, que envolve a embebição e alongamento celular. Resultados semelhantes foram observados em </w:t>
      </w:r>
      <w:r>
        <w:rPr>
          <w:i/>
          <w:iCs/>
          <w:sz w:val="20"/>
          <w:szCs w:val="20"/>
        </w:rPr>
        <w:t xml:space="preserve">Apuleia leiocarpa, </w:t>
      </w:r>
      <w:r>
        <w:rPr>
          <w:sz w:val="20"/>
          <w:szCs w:val="20"/>
        </w:rPr>
        <w:t xml:space="preserve">cuja resposta germinativa ao meio MS variou conforme a concentração de sais (FABRIS </w:t>
      </w:r>
      <w:r>
        <w:rPr>
          <w:i/>
          <w:iCs/>
          <w:sz w:val="20"/>
          <w:szCs w:val="20"/>
        </w:rPr>
        <w:t xml:space="preserve">et al., </w:t>
      </w:r>
      <w:r>
        <w:rPr>
          <w:sz w:val="20"/>
          <w:szCs w:val="20"/>
        </w:rPr>
        <w:t xml:space="preserve">2016). Mas, para a espécie </w:t>
      </w:r>
      <w:r>
        <w:rPr>
          <w:i/>
          <w:iCs/>
          <w:sz w:val="20"/>
          <w:szCs w:val="20"/>
        </w:rPr>
        <w:t xml:space="preserve">Astronium urundeuva, </w:t>
      </w:r>
      <w:r>
        <w:rPr>
          <w:sz w:val="20"/>
          <w:szCs w:val="20"/>
        </w:rPr>
        <w:t xml:space="preserve">a taxa de germinação obtida e demais parâmetros foram considerados satisfatórios, utilizando no MS 30 g/L de sacarose e 5g/L de ágar (SILVA </w:t>
      </w:r>
      <w:r>
        <w:rPr>
          <w:i/>
          <w:iCs/>
          <w:sz w:val="20"/>
          <w:szCs w:val="20"/>
        </w:rPr>
        <w:t xml:space="preserve">et al., </w:t>
      </w:r>
      <w:r>
        <w:rPr>
          <w:sz w:val="20"/>
          <w:szCs w:val="20"/>
        </w:rPr>
        <w:t xml:space="preserve">2022). Isso reforça que a sensibilidade à composição do meio refere-se à espécie-dependente. </w:t>
      </w:r>
    </w:p>
    <w:p w14:paraId="28E52867" w14:textId="483662FF" w:rsidR="003010A9" w:rsidRDefault="009058BF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Os valores observados para </w:t>
      </w:r>
      <w:r>
        <w:rPr>
          <w:i/>
          <w:iCs/>
          <w:sz w:val="20"/>
          <w:szCs w:val="20"/>
        </w:rPr>
        <w:t xml:space="preserve">M. </w:t>
      </w:r>
      <w:r w:rsidRPr="00F533C7">
        <w:rPr>
          <w:i/>
          <w:iCs/>
          <w:sz w:val="20"/>
          <w:szCs w:val="20"/>
        </w:rPr>
        <w:t>caesalpiniifolia</w:t>
      </w:r>
      <w:r>
        <w:rPr>
          <w:i/>
          <w:iCs/>
          <w:sz w:val="20"/>
          <w:szCs w:val="20"/>
        </w:rPr>
        <w:t xml:space="preserve">, M. ophthalmocentra, M. tenuiflora </w:t>
      </w:r>
      <w:r>
        <w:rPr>
          <w:sz w:val="20"/>
          <w:szCs w:val="20"/>
        </w:rPr>
        <w:t xml:space="preserve">e </w:t>
      </w:r>
      <w:r>
        <w:rPr>
          <w:i/>
          <w:iCs/>
          <w:sz w:val="20"/>
          <w:szCs w:val="20"/>
        </w:rPr>
        <w:t xml:space="preserve">P. moniliformis </w:t>
      </w:r>
      <w:r>
        <w:rPr>
          <w:sz w:val="20"/>
          <w:szCs w:val="20"/>
        </w:rPr>
        <w:t>est</w:t>
      </w:r>
      <w:r w:rsidR="008C57D5">
        <w:rPr>
          <w:sz w:val="20"/>
          <w:szCs w:val="20"/>
        </w:rPr>
        <w:t>á</w:t>
      </w:r>
      <w:r>
        <w:rPr>
          <w:sz w:val="20"/>
          <w:szCs w:val="20"/>
        </w:rPr>
        <w:t xml:space="preserve"> diretamente associado à tolerância moderada as condições salinas (Nogueira </w:t>
      </w:r>
      <w:r>
        <w:rPr>
          <w:i/>
          <w:iCs/>
          <w:sz w:val="20"/>
          <w:szCs w:val="20"/>
        </w:rPr>
        <w:t>et al</w:t>
      </w:r>
      <w:r>
        <w:rPr>
          <w:sz w:val="20"/>
          <w:szCs w:val="20"/>
        </w:rPr>
        <w:t xml:space="preserve">., 2020). Essa adaptação fisiológica pode ter permitido que as espécies mantivessem uma eficiente absorção de água e nutrientes do meio MS. Enquanto para </w:t>
      </w:r>
      <w:r>
        <w:rPr>
          <w:i/>
          <w:iCs/>
          <w:sz w:val="20"/>
          <w:szCs w:val="20"/>
        </w:rPr>
        <w:t>C. glaziovii</w:t>
      </w:r>
      <w:r>
        <w:rPr>
          <w:sz w:val="20"/>
          <w:szCs w:val="20"/>
        </w:rPr>
        <w:t xml:space="preserve">, em que todos os resultados foram 0.0 ou próximo, </w:t>
      </w:r>
      <w:r w:rsidR="008329BA">
        <w:rPr>
          <w:sz w:val="20"/>
          <w:szCs w:val="20"/>
        </w:rPr>
        <w:t>está</w:t>
      </w:r>
      <w:r>
        <w:rPr>
          <w:sz w:val="20"/>
          <w:szCs w:val="20"/>
        </w:rPr>
        <w:t xml:space="preserve"> atribuído a sensibilidade à concentração do meio MS</w:t>
      </w:r>
      <w:r w:rsidR="008329BA">
        <w:rPr>
          <w:sz w:val="20"/>
          <w:szCs w:val="20"/>
        </w:rPr>
        <w:t xml:space="preserve"> (Figura 1)</w:t>
      </w:r>
      <w:r>
        <w:rPr>
          <w:sz w:val="20"/>
          <w:szCs w:val="20"/>
        </w:rPr>
        <w:t xml:space="preserve">. No trabalho de Cardoso </w:t>
      </w:r>
      <w:r>
        <w:rPr>
          <w:i/>
          <w:iCs/>
          <w:sz w:val="20"/>
          <w:szCs w:val="20"/>
        </w:rPr>
        <w:t xml:space="preserve">et al. </w:t>
      </w:r>
      <w:r>
        <w:rPr>
          <w:sz w:val="20"/>
          <w:szCs w:val="20"/>
        </w:rPr>
        <w:t xml:space="preserve">(2018), a ausência de sacarose do meio MS favoreceu a germinação de </w:t>
      </w:r>
      <w:r w:rsidRPr="00B3267C">
        <w:rPr>
          <w:i/>
          <w:iCs/>
          <w:sz w:val="20"/>
          <w:szCs w:val="20"/>
        </w:rPr>
        <w:t>Plukenetia volubilis</w:t>
      </w:r>
      <w:r w:rsidRPr="00B3267C">
        <w:rPr>
          <w:sz w:val="20"/>
          <w:szCs w:val="20"/>
        </w:rPr>
        <w:t xml:space="preserve"> L.</w:t>
      </w:r>
      <w:r>
        <w:rPr>
          <w:sz w:val="20"/>
          <w:szCs w:val="20"/>
        </w:rPr>
        <w:t xml:space="preserve"> Portanto, recomenda-se estudos para verificar os níveis de concentração ideais do meio MS para cada espécie nativa da Caatinga, tendo em vista que espécies tolerantes, como a </w:t>
      </w:r>
      <w:r>
        <w:rPr>
          <w:i/>
          <w:iCs/>
          <w:sz w:val="20"/>
          <w:szCs w:val="20"/>
        </w:rPr>
        <w:t>M. caesalpiniifolia</w:t>
      </w:r>
      <w:r>
        <w:rPr>
          <w:sz w:val="20"/>
          <w:szCs w:val="20"/>
        </w:rPr>
        <w:t xml:space="preserve"> podem ser beneficiar na germinação </w:t>
      </w:r>
      <w:r>
        <w:rPr>
          <w:i/>
          <w:iCs/>
          <w:sz w:val="20"/>
          <w:szCs w:val="20"/>
        </w:rPr>
        <w:t>in vitro</w:t>
      </w:r>
      <w:r>
        <w:rPr>
          <w:sz w:val="20"/>
          <w:szCs w:val="20"/>
        </w:rPr>
        <w:t xml:space="preserve">, enquanto espécies sensíveis, como </w:t>
      </w:r>
      <w:r>
        <w:rPr>
          <w:i/>
          <w:iCs/>
          <w:sz w:val="20"/>
          <w:szCs w:val="20"/>
        </w:rPr>
        <w:t>C. glaziovii</w:t>
      </w:r>
      <w:r>
        <w:rPr>
          <w:sz w:val="20"/>
          <w:szCs w:val="20"/>
        </w:rPr>
        <w:t xml:space="preserve"> podem exigir ajustes.</w:t>
      </w:r>
    </w:p>
    <w:p w14:paraId="5708B398" w14:textId="01A22218" w:rsidR="003010A9" w:rsidRDefault="00256B64" w:rsidP="009058BF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14:paraId="30371C03" w14:textId="77777777" w:rsidR="00446A50" w:rsidRDefault="00446A50" w:rsidP="009058BF">
      <w:pPr>
        <w:widowControl/>
        <w:jc w:val="both"/>
        <w:rPr>
          <w:sz w:val="20"/>
          <w:szCs w:val="20"/>
        </w:rPr>
      </w:pPr>
    </w:p>
    <w:p w14:paraId="03DEB938" w14:textId="1CE51638" w:rsidR="003010A9" w:rsidRDefault="00A8317E">
      <w:pPr>
        <w:widowControl/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ab/>
        <w:t xml:space="preserve">O meio de cultura MS é recomendado na germinação </w:t>
      </w:r>
      <w:r>
        <w:rPr>
          <w:i/>
          <w:iCs/>
          <w:sz w:val="20"/>
          <w:szCs w:val="20"/>
        </w:rPr>
        <w:t xml:space="preserve">in vitro </w:t>
      </w:r>
      <w:r>
        <w:rPr>
          <w:sz w:val="20"/>
          <w:szCs w:val="20"/>
        </w:rPr>
        <w:t xml:space="preserve">para espécies de </w:t>
      </w:r>
      <w:r w:rsidR="003A1B6F">
        <w:rPr>
          <w:sz w:val="20"/>
          <w:szCs w:val="20"/>
        </w:rPr>
        <w:t>sabiá (</w:t>
      </w:r>
      <w:r w:rsidR="003A1B6F">
        <w:rPr>
          <w:i/>
          <w:iCs/>
          <w:sz w:val="20"/>
          <w:szCs w:val="20"/>
        </w:rPr>
        <w:t>M.</w:t>
      </w:r>
      <w:r w:rsidR="003A1B6F" w:rsidRPr="003A1B6F">
        <w:rPr>
          <w:i/>
          <w:iCs/>
          <w:sz w:val="20"/>
          <w:szCs w:val="20"/>
        </w:rPr>
        <w:t xml:space="preserve"> </w:t>
      </w:r>
      <w:r w:rsidR="003A1B6F" w:rsidRPr="00F533C7">
        <w:rPr>
          <w:i/>
          <w:iCs/>
          <w:sz w:val="20"/>
          <w:szCs w:val="20"/>
        </w:rPr>
        <w:t>caesalpiniifolia</w:t>
      </w:r>
      <w:r w:rsidR="003A1B6F">
        <w:rPr>
          <w:sz w:val="20"/>
          <w:szCs w:val="20"/>
        </w:rPr>
        <w:t>), jurema-branca (</w:t>
      </w:r>
      <w:r w:rsidR="003A1B6F">
        <w:rPr>
          <w:i/>
          <w:iCs/>
          <w:sz w:val="20"/>
          <w:szCs w:val="20"/>
        </w:rPr>
        <w:t xml:space="preserve">M. ophthalmocentra), </w:t>
      </w:r>
      <w:r w:rsidR="003A1B6F">
        <w:rPr>
          <w:sz w:val="20"/>
          <w:szCs w:val="20"/>
        </w:rPr>
        <w:t>jurema-preta (</w:t>
      </w:r>
      <w:r w:rsidR="003A1B6F">
        <w:rPr>
          <w:i/>
          <w:iCs/>
          <w:sz w:val="20"/>
          <w:szCs w:val="20"/>
        </w:rPr>
        <w:t>M. tenuiflora)</w:t>
      </w:r>
      <w:r w:rsidR="003A1B6F">
        <w:rPr>
          <w:sz w:val="20"/>
          <w:szCs w:val="20"/>
        </w:rPr>
        <w:t xml:space="preserve"> e catanduva (</w:t>
      </w:r>
      <w:r w:rsidR="003A1B6F">
        <w:rPr>
          <w:i/>
          <w:iCs/>
          <w:sz w:val="20"/>
          <w:szCs w:val="20"/>
        </w:rPr>
        <w:t>P. moniliformis).</w:t>
      </w:r>
    </w:p>
    <w:p w14:paraId="0D215F93" w14:textId="17E898C7" w:rsidR="0040563D" w:rsidRPr="00BF632E" w:rsidRDefault="003B0559">
      <w:pPr>
        <w:widowControl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ab/>
      </w:r>
      <w:r>
        <w:rPr>
          <w:sz w:val="20"/>
          <w:szCs w:val="20"/>
        </w:rPr>
        <w:t>No entanto, para as espécies pau-ferro (</w:t>
      </w:r>
      <w:r>
        <w:rPr>
          <w:i/>
          <w:iCs/>
          <w:sz w:val="20"/>
          <w:szCs w:val="20"/>
        </w:rPr>
        <w:t>L. ferrea</w:t>
      </w:r>
      <w:r>
        <w:rPr>
          <w:sz w:val="20"/>
          <w:szCs w:val="20"/>
        </w:rPr>
        <w:t>), barriguda (</w:t>
      </w:r>
      <w:r>
        <w:rPr>
          <w:i/>
          <w:iCs/>
          <w:sz w:val="20"/>
          <w:szCs w:val="20"/>
        </w:rPr>
        <w:t>C. glaziovii</w:t>
      </w:r>
      <w:r>
        <w:rPr>
          <w:sz w:val="20"/>
          <w:szCs w:val="20"/>
        </w:rPr>
        <w:t>) e cássia-do-nordeste (</w:t>
      </w:r>
      <w:r>
        <w:rPr>
          <w:i/>
          <w:iCs/>
          <w:sz w:val="20"/>
          <w:szCs w:val="20"/>
        </w:rPr>
        <w:t>S. spectabilis</w:t>
      </w:r>
      <w:r>
        <w:rPr>
          <w:sz w:val="20"/>
          <w:szCs w:val="20"/>
        </w:rPr>
        <w:t>)</w:t>
      </w:r>
      <w:r w:rsidR="0040563D">
        <w:rPr>
          <w:sz w:val="20"/>
          <w:szCs w:val="20"/>
        </w:rPr>
        <w:t>, o meio MS mostrou-se inadequado, não proporcionando padrões germinativos satisfatórios.</w:t>
      </w:r>
    </w:p>
    <w:p w14:paraId="663F114D" w14:textId="77777777" w:rsidR="00A8317E" w:rsidRDefault="00A8317E">
      <w:pPr>
        <w:widowControl/>
        <w:jc w:val="both"/>
        <w:rPr>
          <w:sz w:val="20"/>
          <w:szCs w:val="20"/>
        </w:rPr>
      </w:pPr>
    </w:p>
    <w:p w14:paraId="12745B82" w14:textId="74851EAE" w:rsidR="003010A9" w:rsidRDefault="00256B64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AGRADECIMENTOS </w:t>
      </w:r>
    </w:p>
    <w:p w14:paraId="143D5A68" w14:textId="77777777" w:rsidR="00446A50" w:rsidRDefault="00446A50">
      <w:pPr>
        <w:widowControl/>
        <w:jc w:val="both"/>
        <w:rPr>
          <w:sz w:val="20"/>
          <w:szCs w:val="20"/>
        </w:rPr>
      </w:pPr>
    </w:p>
    <w:p w14:paraId="3DFA3372" w14:textId="1DB99BCB" w:rsidR="003010A9" w:rsidRDefault="009058BF" w:rsidP="009058BF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Ao Núcleo de Ecologia e Monitoramento Ambiental – NEMA/UNIVASF, ao Projeto de Integração do Rio São Francisco com as Bacias Hidrográficas do Nordeste </w:t>
      </w:r>
      <w:r w:rsidR="00A8317E">
        <w:rPr>
          <w:sz w:val="20"/>
          <w:szCs w:val="20"/>
        </w:rPr>
        <w:t xml:space="preserve">Setentrional – PISF e ao Ministério do Desenvolvimento Regional – MDR pela doação das sementes florestais nativas da Caatinga. </w:t>
      </w:r>
    </w:p>
    <w:p w14:paraId="42946877" w14:textId="77777777" w:rsidR="003010A9" w:rsidRDefault="003010A9">
      <w:pPr>
        <w:widowControl/>
        <w:ind w:firstLine="709"/>
        <w:jc w:val="both"/>
        <w:rPr>
          <w:sz w:val="20"/>
          <w:szCs w:val="20"/>
        </w:rPr>
      </w:pPr>
    </w:p>
    <w:p w14:paraId="239E2E23" w14:textId="4FEA537F" w:rsidR="009F5EE6" w:rsidRDefault="00256B64" w:rsidP="009F5EE6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5F1591F8" w14:textId="77777777" w:rsidR="009F5EE6" w:rsidRPr="007E4DDF" w:rsidRDefault="009F5EE6" w:rsidP="009F5EE6">
      <w:pPr>
        <w:widowControl/>
        <w:jc w:val="both"/>
        <w:rPr>
          <w:sz w:val="20"/>
          <w:szCs w:val="20"/>
        </w:rPr>
      </w:pPr>
    </w:p>
    <w:p w14:paraId="065CB4C8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 w:rsidRPr="003C60F6">
        <w:rPr>
          <w:sz w:val="20"/>
          <w:szCs w:val="20"/>
        </w:rPr>
        <w:t xml:space="preserve">BRASIL. Ministério da Agricultura, Pecuária e Abastecimento. </w:t>
      </w:r>
      <w:r w:rsidRPr="003C60F6">
        <w:rPr>
          <w:b/>
          <w:bCs/>
          <w:sz w:val="20"/>
          <w:szCs w:val="20"/>
        </w:rPr>
        <w:t>Instruções para análise de sementes de espécies florestais</w:t>
      </w:r>
      <w:r w:rsidRPr="003C60F6">
        <w:rPr>
          <w:sz w:val="20"/>
          <w:szCs w:val="20"/>
        </w:rPr>
        <w:t>. Ministério da Agricultura, Pecuária e</w:t>
      </w:r>
      <w:r>
        <w:rPr>
          <w:sz w:val="20"/>
          <w:szCs w:val="20"/>
        </w:rPr>
        <w:t xml:space="preserve"> </w:t>
      </w:r>
      <w:r w:rsidRPr="003C60F6">
        <w:rPr>
          <w:sz w:val="20"/>
          <w:szCs w:val="20"/>
        </w:rPr>
        <w:t>Abastecimento. Secretaria de Defesa Agropecuária/Coordenação Geral de</w:t>
      </w:r>
      <w:r>
        <w:rPr>
          <w:sz w:val="20"/>
          <w:szCs w:val="20"/>
        </w:rPr>
        <w:t xml:space="preserve"> </w:t>
      </w:r>
      <w:r w:rsidRPr="003C60F6">
        <w:rPr>
          <w:sz w:val="20"/>
          <w:szCs w:val="20"/>
        </w:rPr>
        <w:t>Apoio Laboratorial. Brasília, DF: MAPA/SDA/CGAL, 2013. 97 p.</w:t>
      </w:r>
    </w:p>
    <w:p w14:paraId="1D2CB240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0C8545FB" w14:textId="3AA5DBDA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CARDOSO, A. A. S. </w:t>
      </w:r>
      <w:r>
        <w:rPr>
          <w:i/>
          <w:iCs/>
          <w:sz w:val="20"/>
          <w:szCs w:val="20"/>
        </w:rPr>
        <w:t xml:space="preserve">et al. </w:t>
      </w:r>
      <w:r w:rsidRPr="003C31B9">
        <w:rPr>
          <w:sz w:val="20"/>
          <w:szCs w:val="20"/>
        </w:rPr>
        <w:t>Morfometria de sementes, germinação in vitro e propagação vegetativa de sacha inchi (</w:t>
      </w:r>
      <w:r w:rsidRPr="003C31B9">
        <w:rPr>
          <w:i/>
          <w:iCs/>
          <w:sz w:val="20"/>
          <w:szCs w:val="20"/>
        </w:rPr>
        <w:t>Plukenetia volubilis L.)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 xml:space="preserve">Revista Brasileira de Ciências Agrárias, </w:t>
      </w:r>
      <w:r>
        <w:rPr>
          <w:sz w:val="20"/>
          <w:szCs w:val="20"/>
        </w:rPr>
        <w:t xml:space="preserve">v. 13, n. 3, 2018. </w:t>
      </w:r>
    </w:p>
    <w:p w14:paraId="788E206B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6FDA6E9F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CARVALHO, P. E. R. Cássia-do-Nordeste </w:t>
      </w:r>
      <w:r>
        <w:rPr>
          <w:i/>
          <w:iCs/>
          <w:sz w:val="20"/>
          <w:szCs w:val="20"/>
        </w:rPr>
        <w:t>Senna spectabilis</w:t>
      </w:r>
      <w:r>
        <w:rPr>
          <w:sz w:val="20"/>
          <w:szCs w:val="20"/>
        </w:rPr>
        <w:t xml:space="preserve"> var. excelsa</w:t>
      </w:r>
      <w:r>
        <w:rPr>
          <w:i/>
          <w:i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 xml:space="preserve">Embrapa Informação Tecnológica: </w:t>
      </w:r>
      <w:r>
        <w:rPr>
          <w:sz w:val="20"/>
          <w:szCs w:val="20"/>
        </w:rPr>
        <w:t xml:space="preserve">Espécies Arbóreas Brasileiras, v. 4, 2010b. </w:t>
      </w:r>
    </w:p>
    <w:p w14:paraId="3765C407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29D2ABB2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CARVALHO, P. E. R. Jurema-preta </w:t>
      </w:r>
      <w:r>
        <w:rPr>
          <w:i/>
          <w:iCs/>
          <w:sz w:val="20"/>
          <w:szCs w:val="20"/>
        </w:rPr>
        <w:t xml:space="preserve">Mimosa tenuiflora. </w:t>
      </w:r>
      <w:r>
        <w:rPr>
          <w:b/>
          <w:bCs/>
          <w:sz w:val="20"/>
          <w:szCs w:val="20"/>
        </w:rPr>
        <w:t xml:space="preserve">Embrapa Informação Tecnológica: </w:t>
      </w:r>
      <w:r>
        <w:rPr>
          <w:sz w:val="20"/>
          <w:szCs w:val="20"/>
        </w:rPr>
        <w:t xml:space="preserve">Espécies Arbóreas Brasileiras, v. 4, 2010a. </w:t>
      </w:r>
    </w:p>
    <w:p w14:paraId="5D28E4CA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12118EBA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CARVALHO, P. E. R. Pau-ferro</w:t>
      </w:r>
      <w:r>
        <w:rPr>
          <w:i/>
          <w:iCs/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 xml:space="preserve">Embrapa Informação Tecnológica: </w:t>
      </w:r>
      <w:r>
        <w:rPr>
          <w:sz w:val="20"/>
          <w:szCs w:val="20"/>
        </w:rPr>
        <w:t xml:space="preserve">Espécies Arbóreas Brasileiras, v. 1, 2003. </w:t>
      </w:r>
    </w:p>
    <w:p w14:paraId="51896639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469D3EDA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CARVALHO, P. E.R. Sabiá </w:t>
      </w:r>
      <w:r>
        <w:rPr>
          <w:i/>
          <w:iCs/>
          <w:sz w:val="20"/>
          <w:szCs w:val="20"/>
        </w:rPr>
        <w:t>Mimosa caesalpiniifolia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 xml:space="preserve">Embrapa Informação Tecnológica: </w:t>
      </w:r>
      <w:r>
        <w:rPr>
          <w:sz w:val="20"/>
          <w:szCs w:val="20"/>
        </w:rPr>
        <w:t xml:space="preserve">Circular Técnica, n. 135, 2007. </w:t>
      </w:r>
    </w:p>
    <w:p w14:paraId="1E718D0D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1980FD66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 w:rsidRPr="00F83220">
        <w:rPr>
          <w:sz w:val="20"/>
          <w:szCs w:val="20"/>
          <w:lang w:val="en-US"/>
        </w:rPr>
        <w:t xml:space="preserve">DAIBES, L. F.; CARDOSO, V. J. M. Effect of reduced water potential on seed germination of a forest tree: a </w:t>
      </w:r>
      <w:r w:rsidRPr="00F83220">
        <w:rPr>
          <w:sz w:val="20"/>
          <w:szCs w:val="20"/>
          <w:lang w:val="en-US"/>
        </w:rPr>
        <w:lastRenderedPageBreak/>
        <w:t xml:space="preserve">hydrotime approach. </w:t>
      </w:r>
      <w:r>
        <w:rPr>
          <w:b/>
          <w:bCs/>
          <w:sz w:val="20"/>
          <w:szCs w:val="20"/>
        </w:rPr>
        <w:t xml:space="preserve">Journal of Seed Science, </w:t>
      </w:r>
      <w:r>
        <w:rPr>
          <w:sz w:val="20"/>
          <w:szCs w:val="20"/>
        </w:rPr>
        <w:t xml:space="preserve">v. 42, 2020. </w:t>
      </w:r>
    </w:p>
    <w:p w14:paraId="2FF39F41" w14:textId="77777777" w:rsidR="009F5EE6" w:rsidRPr="009F5EE6" w:rsidRDefault="009F5EE6" w:rsidP="00BF632E">
      <w:pPr>
        <w:contextualSpacing/>
        <w:jc w:val="both"/>
        <w:rPr>
          <w:sz w:val="20"/>
          <w:szCs w:val="20"/>
        </w:rPr>
      </w:pPr>
    </w:p>
    <w:p w14:paraId="0486017C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FABRIS, D.; GERBER, T.; SARTORETTO, L. M. </w:t>
      </w:r>
      <w:r w:rsidRPr="001C23CA">
        <w:rPr>
          <w:sz w:val="20"/>
          <w:szCs w:val="20"/>
        </w:rPr>
        <w:t xml:space="preserve">Desinfestação, germinação e micropropagação in vitro de </w:t>
      </w:r>
      <w:r w:rsidRPr="001C23CA">
        <w:rPr>
          <w:i/>
          <w:iCs/>
          <w:sz w:val="20"/>
          <w:szCs w:val="20"/>
        </w:rPr>
        <w:t>Apuleia leiocarpa</w:t>
      </w:r>
      <w:r w:rsidRPr="001C23CA">
        <w:rPr>
          <w:sz w:val="20"/>
          <w:szCs w:val="20"/>
        </w:rPr>
        <w:t xml:space="preserve"> (Vogel) Macbride</w:t>
      </w:r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 xml:space="preserve">Scientific Electronic Archives, </w:t>
      </w:r>
      <w:r>
        <w:rPr>
          <w:sz w:val="20"/>
          <w:szCs w:val="20"/>
        </w:rPr>
        <w:t>v. 9, n. 3, 2016.</w:t>
      </w:r>
    </w:p>
    <w:p w14:paraId="6E683CD4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23F393D7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FLORA E FUNGA DO BRASIL. </w:t>
      </w:r>
      <w:r>
        <w:rPr>
          <w:b/>
          <w:bCs/>
          <w:sz w:val="20"/>
          <w:szCs w:val="20"/>
        </w:rPr>
        <w:t>Ceiba</w:t>
      </w:r>
      <w:r>
        <w:rPr>
          <w:sz w:val="20"/>
          <w:szCs w:val="20"/>
        </w:rPr>
        <w:t>. Jardim Botânico do Rio de Janeiro. Disponível em: &lt;</w:t>
      </w:r>
      <w:r w:rsidRPr="00F533C7">
        <w:t xml:space="preserve"> </w:t>
      </w:r>
      <w:r w:rsidRPr="00F533C7">
        <w:rPr>
          <w:sz w:val="20"/>
          <w:szCs w:val="20"/>
        </w:rPr>
        <w:t>https://floradobrasil.jbrj.gov.br/FB9035</w:t>
      </w:r>
      <w:r>
        <w:rPr>
          <w:sz w:val="20"/>
          <w:szCs w:val="20"/>
        </w:rPr>
        <w:t xml:space="preserve">&gt;. Acesso em: 26 abr. 2025. </w:t>
      </w:r>
    </w:p>
    <w:p w14:paraId="085ADBDA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527B75DF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IUCN. </w:t>
      </w:r>
      <w:r w:rsidRPr="0097773D">
        <w:rPr>
          <w:b/>
          <w:bCs/>
          <w:sz w:val="20"/>
          <w:szCs w:val="20"/>
        </w:rPr>
        <w:t>Lista Vermelha de Espécies Ameaçadas da IUCN</w:t>
      </w:r>
      <w:r>
        <w:rPr>
          <w:sz w:val="20"/>
          <w:szCs w:val="20"/>
        </w:rPr>
        <w:t>. Versão 2025-1. Disponível em: &lt;</w:t>
      </w:r>
      <w:r w:rsidRPr="0097773D">
        <w:rPr>
          <w:rFonts w:ascii="roboto-regular" w:hAnsi="roboto-regular"/>
          <w:color w:val="FFFFFF"/>
          <w:shd w:val="clear" w:color="auto" w:fill="860A00"/>
        </w:rPr>
        <w:t xml:space="preserve"> </w:t>
      </w:r>
      <w:r w:rsidRPr="0097773D">
        <w:rPr>
          <w:sz w:val="20"/>
          <w:szCs w:val="20"/>
        </w:rPr>
        <w:t>https://www.iucnredlist.org</w:t>
      </w:r>
      <w:r>
        <w:rPr>
          <w:sz w:val="20"/>
          <w:szCs w:val="20"/>
        </w:rPr>
        <w:t xml:space="preserve">&gt;. Acesso em: 27 abr. 2025. </w:t>
      </w:r>
    </w:p>
    <w:p w14:paraId="3F7DC6F1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6565D2E3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LEAL, I. R. </w:t>
      </w:r>
      <w:r>
        <w:rPr>
          <w:i/>
          <w:iCs/>
          <w:sz w:val="20"/>
          <w:szCs w:val="20"/>
        </w:rPr>
        <w:t>et al</w:t>
      </w:r>
      <w:r>
        <w:rPr>
          <w:sz w:val="20"/>
          <w:szCs w:val="20"/>
        </w:rPr>
        <w:t xml:space="preserve">. </w:t>
      </w:r>
      <w:r w:rsidRPr="003B282F">
        <w:rPr>
          <w:sz w:val="20"/>
          <w:szCs w:val="20"/>
        </w:rPr>
        <w:t xml:space="preserve">Mudando o curso da conservação da biodiversidade na Caatinga do nordeste brasileiro. </w:t>
      </w:r>
      <w:r w:rsidRPr="003B282F">
        <w:rPr>
          <w:b/>
          <w:bCs/>
          <w:sz w:val="20"/>
          <w:szCs w:val="20"/>
        </w:rPr>
        <w:t>Biologia da Conservação</w:t>
      </w:r>
      <w:r w:rsidRPr="003B282F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v. </w:t>
      </w:r>
      <w:r w:rsidRPr="003B282F">
        <w:rPr>
          <w:sz w:val="20"/>
          <w:szCs w:val="20"/>
        </w:rPr>
        <w:t>31</w:t>
      </w:r>
      <w:r>
        <w:rPr>
          <w:sz w:val="20"/>
          <w:szCs w:val="20"/>
        </w:rPr>
        <w:t xml:space="preserve">, n. </w:t>
      </w:r>
      <w:r w:rsidRPr="003B282F">
        <w:rPr>
          <w:sz w:val="20"/>
          <w:szCs w:val="20"/>
        </w:rPr>
        <w:t>5,</w:t>
      </w:r>
      <w:r>
        <w:rPr>
          <w:sz w:val="20"/>
          <w:szCs w:val="20"/>
        </w:rPr>
        <w:t xml:space="preserve"> p.</w:t>
      </w:r>
      <w:r w:rsidRPr="003B282F">
        <w:rPr>
          <w:sz w:val="20"/>
          <w:szCs w:val="20"/>
        </w:rPr>
        <w:t>1002-1010</w:t>
      </w:r>
      <w:r>
        <w:rPr>
          <w:sz w:val="20"/>
          <w:szCs w:val="20"/>
        </w:rPr>
        <w:t>, 2017.</w:t>
      </w:r>
    </w:p>
    <w:p w14:paraId="2CA0FFFB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0E58375E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MINISTÉRIO DO MEIO AMBIENTE E MUDANÇA DO CLIMA (MMA). </w:t>
      </w:r>
      <w:r w:rsidRPr="003B282F">
        <w:rPr>
          <w:b/>
          <w:bCs/>
          <w:sz w:val="20"/>
          <w:szCs w:val="20"/>
        </w:rPr>
        <w:t>Caatinga</w:t>
      </w:r>
      <w:r>
        <w:rPr>
          <w:sz w:val="20"/>
          <w:szCs w:val="20"/>
        </w:rPr>
        <w:t>. Disponível em: &lt;</w:t>
      </w:r>
      <w:r w:rsidRPr="003B282F">
        <w:t xml:space="preserve"> </w:t>
      </w:r>
      <w:r w:rsidRPr="003B282F">
        <w:rPr>
          <w:sz w:val="20"/>
          <w:szCs w:val="20"/>
        </w:rPr>
        <w:t>https://www.gov.br/mma/pt-br/assuntos/biodiversidade-e-biomas/ecossistemas/biomas/caatinga</w:t>
      </w:r>
      <w:r>
        <w:rPr>
          <w:sz w:val="20"/>
          <w:szCs w:val="20"/>
        </w:rPr>
        <w:t xml:space="preserve">&gt;. Acesso em: 26 abr. 2025. </w:t>
      </w:r>
    </w:p>
    <w:p w14:paraId="1E28F2DA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6950D003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NASCIMENTO, I. L. </w:t>
      </w:r>
      <w:r w:rsidRPr="003C60F6">
        <w:rPr>
          <w:sz w:val="20"/>
          <w:szCs w:val="20"/>
        </w:rPr>
        <w:t xml:space="preserve">Superação da dormência em sementes de paineira-branca. </w:t>
      </w:r>
      <w:r w:rsidRPr="003C60F6">
        <w:rPr>
          <w:b/>
          <w:bCs/>
          <w:sz w:val="20"/>
          <w:szCs w:val="20"/>
        </w:rPr>
        <w:t>Cerne</w:t>
      </w:r>
      <w:r w:rsidRPr="003C60F6">
        <w:rPr>
          <w:sz w:val="20"/>
          <w:szCs w:val="20"/>
        </w:rPr>
        <w:t>, Lavras, v. 18, n. 2, p. 285-291, 2012.</w:t>
      </w:r>
    </w:p>
    <w:p w14:paraId="2DA21D71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5C48EC23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NASCIMENTO, J. P. B.; DANTAS, B. F. Angico-de-bezerro </w:t>
      </w:r>
      <w:r>
        <w:rPr>
          <w:i/>
          <w:iCs/>
          <w:sz w:val="20"/>
          <w:szCs w:val="20"/>
        </w:rPr>
        <w:t>Pityrocarpa moniliformis</w:t>
      </w:r>
      <w:r>
        <w:rPr>
          <w:sz w:val="20"/>
          <w:szCs w:val="20"/>
        </w:rPr>
        <w:t xml:space="preserve"> (Benth.) Luckow &amp; R. W. Jobson. </w:t>
      </w:r>
      <w:r>
        <w:rPr>
          <w:b/>
          <w:bCs/>
          <w:sz w:val="20"/>
          <w:szCs w:val="20"/>
        </w:rPr>
        <w:t xml:space="preserve">Embrapa Semiárido: </w:t>
      </w:r>
      <w:r>
        <w:rPr>
          <w:sz w:val="20"/>
          <w:szCs w:val="20"/>
        </w:rPr>
        <w:t xml:space="preserve">Nota Técnica, n. 8, 2018. </w:t>
      </w:r>
    </w:p>
    <w:p w14:paraId="05D89B39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7497EDE0" w14:textId="77777777" w:rsidR="009F5EE6" w:rsidRDefault="009F5EE6" w:rsidP="00BF632E">
      <w:pPr>
        <w:contextualSpacing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NOGUEIRA, N. W. </w:t>
      </w:r>
      <w:r>
        <w:rPr>
          <w:i/>
          <w:sz w:val="20"/>
          <w:szCs w:val="20"/>
        </w:rPr>
        <w:t>et al</w:t>
      </w:r>
      <w:r>
        <w:rPr>
          <w:iCs/>
          <w:sz w:val="20"/>
          <w:szCs w:val="20"/>
        </w:rPr>
        <w:t xml:space="preserve">. </w:t>
      </w:r>
      <w:r w:rsidRPr="00A07B5B">
        <w:rPr>
          <w:iCs/>
          <w:sz w:val="20"/>
          <w:szCs w:val="20"/>
        </w:rPr>
        <w:t>Estresse salino na emergência e desenvolvimento inicial de plântulas de jurema-branca</w:t>
      </w:r>
      <w:r>
        <w:rPr>
          <w:iCs/>
          <w:sz w:val="20"/>
          <w:szCs w:val="20"/>
        </w:rPr>
        <w:t xml:space="preserve">. </w:t>
      </w:r>
      <w:r>
        <w:rPr>
          <w:b/>
          <w:bCs/>
          <w:iCs/>
          <w:sz w:val="20"/>
          <w:szCs w:val="20"/>
        </w:rPr>
        <w:t xml:space="preserve">Adv. For. Sci., </w:t>
      </w:r>
      <w:r>
        <w:rPr>
          <w:iCs/>
          <w:sz w:val="20"/>
          <w:szCs w:val="20"/>
        </w:rPr>
        <w:t xml:space="preserve">v. 7, n. 3, p. 1081-1087, 2020. </w:t>
      </w:r>
    </w:p>
    <w:p w14:paraId="72389391" w14:textId="77777777" w:rsidR="009F5EE6" w:rsidRDefault="009F5EE6" w:rsidP="00BF632E">
      <w:pPr>
        <w:contextualSpacing/>
        <w:jc w:val="both"/>
        <w:rPr>
          <w:iCs/>
          <w:sz w:val="20"/>
          <w:szCs w:val="20"/>
        </w:rPr>
      </w:pPr>
    </w:p>
    <w:p w14:paraId="3ABA102F" w14:textId="6D86AD58" w:rsidR="009F5EE6" w:rsidRPr="009F5EE6" w:rsidRDefault="009F5EE6" w:rsidP="00BF632E">
      <w:pPr>
        <w:contextualSpacing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NOGUEIRA, N. W. </w:t>
      </w:r>
      <w:r>
        <w:rPr>
          <w:i/>
          <w:sz w:val="20"/>
          <w:szCs w:val="20"/>
        </w:rPr>
        <w:t xml:space="preserve">et al. </w:t>
      </w:r>
      <w:r w:rsidRPr="009F5EE6">
        <w:rPr>
          <w:iCs/>
          <w:sz w:val="20"/>
          <w:szCs w:val="20"/>
        </w:rPr>
        <w:t xml:space="preserve">Otimização do tempo de escarificação ácida para superação de dormência em sementes de espécies arbóreas da Caatinga. </w:t>
      </w:r>
      <w:r w:rsidRPr="009F5EE6">
        <w:rPr>
          <w:b/>
          <w:bCs/>
          <w:iCs/>
          <w:sz w:val="20"/>
          <w:szCs w:val="20"/>
        </w:rPr>
        <w:t>Revista Caatinga</w:t>
      </w:r>
      <w:r w:rsidRPr="009F5EE6">
        <w:rPr>
          <w:iCs/>
          <w:sz w:val="20"/>
          <w:szCs w:val="20"/>
        </w:rPr>
        <w:t>, v. 32, n. 4, p. 951-960, 2019.</w:t>
      </w:r>
    </w:p>
    <w:p w14:paraId="3DCE0946" w14:textId="77777777" w:rsidR="009F5EE6" w:rsidRDefault="009F5EE6" w:rsidP="00BF632E">
      <w:pPr>
        <w:contextualSpacing/>
        <w:jc w:val="both"/>
        <w:rPr>
          <w:iCs/>
          <w:sz w:val="20"/>
          <w:szCs w:val="20"/>
        </w:rPr>
      </w:pPr>
    </w:p>
    <w:p w14:paraId="038DB18D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NOGUEIRA, N. W. </w:t>
      </w:r>
      <w:r>
        <w:rPr>
          <w:i/>
          <w:iCs/>
          <w:sz w:val="20"/>
          <w:szCs w:val="20"/>
        </w:rPr>
        <w:t xml:space="preserve">et al. </w:t>
      </w:r>
      <w:r w:rsidRPr="001E3E18">
        <w:rPr>
          <w:sz w:val="20"/>
          <w:szCs w:val="20"/>
        </w:rPr>
        <w:t>Salt stress and temperatures on the germination and initial growth of ‘jurema-de-embira’ (</w:t>
      </w:r>
      <w:r w:rsidRPr="001E3E18">
        <w:rPr>
          <w:i/>
          <w:iCs/>
          <w:sz w:val="20"/>
          <w:szCs w:val="20"/>
        </w:rPr>
        <w:t>Mimosa ophthalmocentra</w:t>
      </w:r>
      <w:r w:rsidRPr="001E3E18">
        <w:rPr>
          <w:sz w:val="20"/>
          <w:szCs w:val="20"/>
        </w:rPr>
        <w:t xml:space="preserve">) seedlings. </w:t>
      </w:r>
      <w:r>
        <w:rPr>
          <w:b/>
          <w:bCs/>
          <w:sz w:val="20"/>
          <w:szCs w:val="20"/>
        </w:rPr>
        <w:t>Revista Brasileira de Engenharia Agrícola e Ambiental</w:t>
      </w:r>
      <w:r>
        <w:rPr>
          <w:sz w:val="20"/>
          <w:szCs w:val="20"/>
        </w:rPr>
        <w:t xml:space="preserve">, v. 22, n. 4, p. 273-278, 2018. </w:t>
      </w:r>
    </w:p>
    <w:p w14:paraId="5CB58B63" w14:textId="77777777" w:rsidR="00E75080" w:rsidRDefault="00E75080" w:rsidP="00BF632E">
      <w:pPr>
        <w:contextualSpacing/>
        <w:jc w:val="both"/>
        <w:rPr>
          <w:sz w:val="20"/>
          <w:szCs w:val="20"/>
        </w:rPr>
      </w:pPr>
    </w:p>
    <w:p w14:paraId="16D92C76" w14:textId="601801F5" w:rsidR="00E75080" w:rsidRDefault="00E75080" w:rsidP="00BF632E">
      <w:pPr>
        <w:contextualSpacing/>
        <w:jc w:val="both"/>
        <w:rPr>
          <w:sz w:val="20"/>
          <w:szCs w:val="20"/>
        </w:rPr>
      </w:pPr>
      <w:r w:rsidRPr="001E3E18">
        <w:rPr>
          <w:sz w:val="20"/>
          <w:szCs w:val="20"/>
        </w:rPr>
        <w:t>MURASHIGE, T.; SKOOG, F. A revised medium for rapid growth and bio assays with tobacco tissue cultures.</w:t>
      </w:r>
      <w:r w:rsidRPr="001E3E18">
        <w:rPr>
          <w:b/>
          <w:bCs/>
          <w:sz w:val="20"/>
          <w:szCs w:val="20"/>
        </w:rPr>
        <w:t xml:space="preserve"> </w:t>
      </w:r>
      <w:r w:rsidRPr="00E75080">
        <w:rPr>
          <w:b/>
          <w:bCs/>
          <w:sz w:val="20"/>
          <w:szCs w:val="20"/>
        </w:rPr>
        <w:t>Physiologia Plantarum</w:t>
      </w:r>
      <w:r w:rsidRPr="00E75080">
        <w:rPr>
          <w:sz w:val="20"/>
          <w:szCs w:val="20"/>
        </w:rPr>
        <w:t>, v. 15, n. 3, p. 473-497, 1962.</w:t>
      </w:r>
    </w:p>
    <w:p w14:paraId="451966E7" w14:textId="77777777" w:rsidR="009F5EE6" w:rsidRDefault="009F5EE6" w:rsidP="00BF632E">
      <w:pPr>
        <w:contextualSpacing/>
        <w:jc w:val="both"/>
        <w:rPr>
          <w:sz w:val="20"/>
          <w:szCs w:val="20"/>
        </w:rPr>
      </w:pPr>
    </w:p>
    <w:p w14:paraId="6DE11568" w14:textId="77777777" w:rsidR="009F5EE6" w:rsidRDefault="009F5EE6" w:rsidP="00BF632E">
      <w:pPr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RIBEIRO, J. E. S. </w:t>
      </w:r>
      <w:r>
        <w:rPr>
          <w:i/>
          <w:iCs/>
          <w:sz w:val="20"/>
          <w:szCs w:val="20"/>
        </w:rPr>
        <w:t xml:space="preserve">et al. </w:t>
      </w:r>
      <w:r>
        <w:rPr>
          <w:sz w:val="20"/>
          <w:szCs w:val="20"/>
        </w:rPr>
        <w:t xml:space="preserve">Aspectos morfofisiológicos de </w:t>
      </w:r>
      <w:r>
        <w:rPr>
          <w:i/>
          <w:iCs/>
          <w:sz w:val="20"/>
          <w:szCs w:val="20"/>
        </w:rPr>
        <w:t xml:space="preserve">Ceiba glaziovii </w:t>
      </w:r>
      <w:r>
        <w:rPr>
          <w:sz w:val="20"/>
          <w:szCs w:val="20"/>
        </w:rPr>
        <w:t xml:space="preserve">sob níveis de sombreamento. </w:t>
      </w:r>
      <w:r w:rsidRPr="001E3E18">
        <w:rPr>
          <w:b/>
          <w:bCs/>
          <w:sz w:val="20"/>
          <w:szCs w:val="20"/>
        </w:rPr>
        <w:t>Research, Society and Development</w:t>
      </w:r>
      <w:r w:rsidRPr="001E3E18">
        <w:rPr>
          <w:sz w:val="20"/>
          <w:szCs w:val="20"/>
        </w:rPr>
        <w:t xml:space="preserve">, v. 9, n. 8, 2020. </w:t>
      </w:r>
    </w:p>
    <w:p w14:paraId="2FC69C8A" w14:textId="77777777" w:rsidR="008329BA" w:rsidRDefault="008329BA" w:rsidP="00BF632E">
      <w:pPr>
        <w:contextualSpacing/>
        <w:jc w:val="both"/>
        <w:rPr>
          <w:sz w:val="20"/>
          <w:szCs w:val="20"/>
        </w:rPr>
      </w:pPr>
    </w:p>
    <w:p w14:paraId="71702462" w14:textId="47DD2745" w:rsidR="008329BA" w:rsidRPr="001E3E18" w:rsidRDefault="008329BA" w:rsidP="00BF632E">
      <w:pPr>
        <w:contextualSpacing/>
        <w:jc w:val="both"/>
        <w:rPr>
          <w:sz w:val="20"/>
          <w:szCs w:val="20"/>
        </w:rPr>
      </w:pPr>
      <w:r w:rsidRPr="008329BA">
        <w:rPr>
          <w:sz w:val="20"/>
          <w:szCs w:val="20"/>
        </w:rPr>
        <w:t xml:space="preserve">PYTHON SOFTWARE FOUNDATION. </w:t>
      </w:r>
      <w:r w:rsidRPr="00BF632E">
        <w:rPr>
          <w:b/>
          <w:sz w:val="20"/>
          <w:szCs w:val="20"/>
        </w:rPr>
        <w:t>Python Language Reference, version 3.12.x. Wilmington</w:t>
      </w:r>
      <w:r w:rsidRPr="008329BA">
        <w:rPr>
          <w:sz w:val="20"/>
          <w:szCs w:val="20"/>
        </w:rPr>
        <w:t xml:space="preserve">, DE: </w:t>
      </w:r>
      <w:r w:rsidRPr="00F16179">
        <w:rPr>
          <w:sz w:val="20"/>
          <w:szCs w:val="20"/>
        </w:rPr>
        <w:t>Python Software Foundation</w:t>
      </w:r>
      <w:r w:rsidRPr="008329BA">
        <w:rPr>
          <w:sz w:val="20"/>
          <w:szCs w:val="20"/>
        </w:rPr>
        <w:t>, 2024. Disponível em: &lt;https://www.python.org&gt;. Acesso em: 17 jun. 2025.</w:t>
      </w:r>
    </w:p>
    <w:p w14:paraId="1F68B6A5" w14:textId="77777777" w:rsidR="009F5EE6" w:rsidRPr="001E3E18" w:rsidRDefault="009F5EE6" w:rsidP="00BF632E">
      <w:pPr>
        <w:contextualSpacing/>
        <w:jc w:val="both"/>
        <w:rPr>
          <w:sz w:val="20"/>
          <w:szCs w:val="20"/>
        </w:rPr>
      </w:pPr>
    </w:p>
    <w:p w14:paraId="6EFF36E8" w14:textId="77777777" w:rsidR="009F5EE6" w:rsidRDefault="009F5EE6" w:rsidP="00BF632E">
      <w:pPr>
        <w:contextualSpacing/>
        <w:jc w:val="both"/>
        <w:rPr>
          <w:iCs/>
          <w:sz w:val="20"/>
          <w:szCs w:val="20"/>
        </w:rPr>
      </w:pPr>
      <w:r w:rsidRPr="001E3E18">
        <w:rPr>
          <w:sz w:val="20"/>
          <w:szCs w:val="20"/>
        </w:rPr>
        <w:t xml:space="preserve">SILVA, M. L. </w:t>
      </w:r>
      <w:r w:rsidRPr="001E3E18">
        <w:rPr>
          <w:i/>
          <w:sz w:val="20"/>
          <w:szCs w:val="20"/>
        </w:rPr>
        <w:t xml:space="preserve">et al. </w:t>
      </w:r>
      <w:r>
        <w:rPr>
          <w:iCs/>
          <w:sz w:val="20"/>
          <w:szCs w:val="20"/>
        </w:rPr>
        <w:t xml:space="preserve">Germinação </w:t>
      </w:r>
      <w:r>
        <w:rPr>
          <w:i/>
          <w:sz w:val="20"/>
          <w:szCs w:val="20"/>
        </w:rPr>
        <w:t>in vitro</w:t>
      </w:r>
      <w:r>
        <w:rPr>
          <w:iCs/>
          <w:sz w:val="20"/>
          <w:szCs w:val="20"/>
        </w:rPr>
        <w:t xml:space="preserve"> de aroeira do sertão (</w:t>
      </w:r>
      <w:r w:rsidRPr="001C23CA">
        <w:rPr>
          <w:i/>
          <w:sz w:val="20"/>
          <w:szCs w:val="20"/>
        </w:rPr>
        <w:t>Astronium urundeuva</w:t>
      </w:r>
      <w:r w:rsidRPr="001C23CA">
        <w:rPr>
          <w:iCs/>
          <w:sz w:val="20"/>
          <w:szCs w:val="20"/>
        </w:rPr>
        <w:t xml:space="preserve"> (M. Allemão) Engl.)</w:t>
      </w:r>
      <w:r>
        <w:rPr>
          <w:iCs/>
          <w:sz w:val="20"/>
          <w:szCs w:val="20"/>
        </w:rPr>
        <w:t xml:space="preserve">. </w:t>
      </w:r>
      <w:r>
        <w:rPr>
          <w:b/>
          <w:bCs/>
          <w:iCs/>
          <w:sz w:val="20"/>
          <w:szCs w:val="20"/>
        </w:rPr>
        <w:t>9° Congresso Florestal Brasileiro</w:t>
      </w:r>
      <w:r>
        <w:rPr>
          <w:iCs/>
          <w:sz w:val="20"/>
          <w:szCs w:val="20"/>
        </w:rPr>
        <w:t xml:space="preserve">, v. 1, n. 1, p. 282-285, 2022. </w:t>
      </w:r>
    </w:p>
    <w:p w14:paraId="7E2F515C" w14:textId="77777777" w:rsidR="003010A9" w:rsidRDefault="003010A9" w:rsidP="00FB7412">
      <w:pPr>
        <w:jc w:val="both"/>
        <w:rPr>
          <w:sz w:val="24"/>
          <w:szCs w:val="24"/>
        </w:rPr>
      </w:pPr>
    </w:p>
    <w:sectPr w:rsidR="003010A9">
      <w:headerReference w:type="default" r:id="rId9"/>
      <w:footerReference w:type="default" r:id="rId10"/>
      <w:pgSz w:w="11910" w:h="16840"/>
      <w:pgMar w:top="1701" w:right="1134" w:bottom="1134" w:left="1701" w:header="453" w:footer="1405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B3DDDE9" w16cex:dateUtc="2025-06-05T12:56:00Z"/>
  <w16cex:commentExtensible w16cex:durableId="271F1CEB" w16cex:dateUtc="2025-06-05T12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8546175" w16cid:durableId="3B3DDDE9"/>
  <w16cid:commentId w16cid:paraId="40B05B52" w16cid:durableId="271F1CE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9CF17" w14:textId="77777777" w:rsidR="00DD7599" w:rsidRDefault="00DD7599">
      <w:r>
        <w:separator/>
      </w:r>
    </w:p>
  </w:endnote>
  <w:endnote w:type="continuationSeparator" w:id="0">
    <w:p w14:paraId="191053CD" w14:textId="77777777" w:rsidR="00DD7599" w:rsidRDefault="00DD7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D8C8B6B-F155-4CBB-98E6-A0B2E11A4DC3}"/>
    <w:embedItalic r:id="rId2" w:fontKey="{1BC48102-2776-41D1-8EC3-6685885180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7EDF4E9-911C-49C1-AE8C-0C757205E7BD}"/>
  </w:font>
  <w:font w:name="roboto-regular">
    <w:altName w:val="Times New Roman"/>
    <w:panose1 w:val="00000000000000000000"/>
    <w:charset w:val="00"/>
    <w:family w:val="roman"/>
    <w:notTrueType/>
    <w:pitch w:val="default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4" w:fontKey="{A4860B0E-46A4-44B0-A4F1-F9F644A8B39B}"/>
    <w:embedBold r:id="rId5" w:fontKey="{31966C3A-8604-4DBD-B23F-0919F9E11F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742870-5794-442F-8058-31ED4A47D8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24E9065-C3AB-42A1-9CF3-63E7A56E35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C32AE" w14:textId="77777777" w:rsidR="003010A9" w:rsidRDefault="003010A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F07809" w14:textId="77777777" w:rsidR="00DD7599" w:rsidRDefault="00DD7599">
      <w:r>
        <w:separator/>
      </w:r>
    </w:p>
  </w:footnote>
  <w:footnote w:type="continuationSeparator" w:id="0">
    <w:p w14:paraId="17F8456F" w14:textId="77777777" w:rsidR="00DD7599" w:rsidRDefault="00DD7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4FCCA" w14:textId="77777777" w:rsidR="003010A9" w:rsidRDefault="00256B64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sz w:val="20"/>
        <w:szCs w:val="20"/>
      </w:rPr>
    </w:pPr>
    <w:r>
      <w:rPr>
        <w:noProof/>
        <w:sz w:val="20"/>
        <w:szCs w:val="20"/>
        <w:lang w:bidi="ar-SA"/>
      </w:rPr>
      <w:drawing>
        <wp:inline distT="114300" distB="114300" distL="114300" distR="114300" wp14:anchorId="4319E90A" wp14:editId="540DFF5F">
          <wp:extent cx="4479135" cy="1697251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3383" r="23867"/>
                  <a:stretch>
                    <a:fillRect/>
                  </a:stretch>
                </pic:blipFill>
                <pic:spPr>
                  <a:xfrm>
                    <a:off x="0" y="0"/>
                    <a:ext cx="4479135" cy="16972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9294BE" w14:textId="77777777" w:rsidR="003010A9" w:rsidRDefault="003010A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D61222C" w14:textId="77777777" w:rsidR="003010A9" w:rsidRDefault="003010A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68FA6F" w14:textId="77777777" w:rsidR="003010A9" w:rsidRDefault="003010A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05C1EF5" w14:textId="77777777" w:rsidR="003010A9" w:rsidRDefault="003010A9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1C8468" w14:textId="77777777" w:rsidR="003010A9" w:rsidRDefault="003010A9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rFonts w:ascii="Oswald" w:eastAsia="Oswald" w:hAnsi="Oswald" w:cs="Oswald"/>
        <w:b/>
        <w:color w:val="3D6D38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155E7"/>
    <w:multiLevelType w:val="multilevel"/>
    <w:tmpl w:val="A404DE6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0A9"/>
    <w:rsid w:val="0001238C"/>
    <w:rsid w:val="00093059"/>
    <w:rsid w:val="000B43F5"/>
    <w:rsid w:val="000D0260"/>
    <w:rsid w:val="00191968"/>
    <w:rsid w:val="001A282D"/>
    <w:rsid w:val="001E3E18"/>
    <w:rsid w:val="00256B64"/>
    <w:rsid w:val="003010A9"/>
    <w:rsid w:val="003362EF"/>
    <w:rsid w:val="003A1B6F"/>
    <w:rsid w:val="003B0559"/>
    <w:rsid w:val="0040563D"/>
    <w:rsid w:val="00446A50"/>
    <w:rsid w:val="004E044D"/>
    <w:rsid w:val="0062291E"/>
    <w:rsid w:val="00657D48"/>
    <w:rsid w:val="006A15D6"/>
    <w:rsid w:val="006D1C2D"/>
    <w:rsid w:val="00763699"/>
    <w:rsid w:val="008267F2"/>
    <w:rsid w:val="008329BA"/>
    <w:rsid w:val="00887C29"/>
    <w:rsid w:val="008A1282"/>
    <w:rsid w:val="008B3643"/>
    <w:rsid w:val="008C57D5"/>
    <w:rsid w:val="009058BF"/>
    <w:rsid w:val="00922A24"/>
    <w:rsid w:val="009A7B9D"/>
    <w:rsid w:val="009C37FD"/>
    <w:rsid w:val="009F5EE6"/>
    <w:rsid w:val="00A20265"/>
    <w:rsid w:val="00A8317E"/>
    <w:rsid w:val="00B00DC1"/>
    <w:rsid w:val="00B75E9C"/>
    <w:rsid w:val="00BF632E"/>
    <w:rsid w:val="00C03D17"/>
    <w:rsid w:val="00D30634"/>
    <w:rsid w:val="00D94655"/>
    <w:rsid w:val="00DA5001"/>
    <w:rsid w:val="00DD7599"/>
    <w:rsid w:val="00DE6210"/>
    <w:rsid w:val="00E75080"/>
    <w:rsid w:val="00E854FC"/>
    <w:rsid w:val="00EB2D41"/>
    <w:rsid w:val="00EC46B3"/>
    <w:rsid w:val="00EC7BCA"/>
    <w:rsid w:val="00F16179"/>
    <w:rsid w:val="00F53485"/>
    <w:rsid w:val="00F83220"/>
    <w:rsid w:val="00FB7412"/>
    <w:rsid w:val="00FD5A37"/>
    <w:rsid w:val="00FE1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4A592"/>
  <w15:docId w15:val="{5D24BE95-606D-40D2-A80A-E584E456A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F53485"/>
    <w:pPr>
      <w:widowControl/>
    </w:pPr>
    <w:rPr>
      <w:lang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63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634"/>
    <w:rPr>
      <w:rFonts w:ascii="Segoe UI" w:hAnsi="Segoe UI" w:cs="Segoe UI"/>
      <w:sz w:val="18"/>
      <w:szCs w:val="18"/>
      <w:lang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446A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46A5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46A50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46A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46A50"/>
    <w:rPr>
      <w:b/>
      <w:bCs/>
      <w:sz w:val="20"/>
      <w:szCs w:val="20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2025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Erika Elias</cp:lastModifiedBy>
  <cp:revision>2</cp:revision>
  <dcterms:created xsi:type="dcterms:W3CDTF">2025-06-18T14:53:00Z</dcterms:created>
  <dcterms:modified xsi:type="dcterms:W3CDTF">2025-06-18T14:53:00Z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