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10207" w:type="dxa"/>
        <w:tblInd w:w="-885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E629A4" w:rsidRPr="00BF4E24" w14:paraId="25562A2E" w14:textId="77777777" w:rsidTr="00E629A4">
        <w:tc>
          <w:tcPr>
            <w:tcW w:w="10207" w:type="dxa"/>
          </w:tcPr>
          <w:p w14:paraId="2D959DDA" w14:textId="6FBD198B" w:rsidR="00FA4367" w:rsidRDefault="00FA4367" w:rsidP="00DD36AB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UNIVERSIDADE CATÓLICA DE BRASÍLIA </w:t>
            </w:r>
          </w:p>
          <w:p w14:paraId="1AC2CB23" w14:textId="5F56AFF2" w:rsidR="00DD36AB" w:rsidRDefault="00DD36AB" w:rsidP="00DD36AB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PRÓ</w:t>
            </w:r>
            <w:r w:rsidRPr="00BF4E24">
              <w:rPr>
                <w:rFonts w:ascii="Arial" w:eastAsia="Calibri" w:hAnsi="Arial" w:cs="Arial"/>
                <w:sz w:val="20"/>
                <w:szCs w:val="20"/>
              </w:rPr>
              <w:t xml:space="preserve">-REITORIA </w:t>
            </w:r>
            <w:r w:rsidR="00BE29DE">
              <w:rPr>
                <w:rFonts w:ascii="Arial" w:eastAsia="Calibri" w:hAnsi="Arial" w:cs="Arial"/>
                <w:sz w:val="20"/>
                <w:szCs w:val="20"/>
              </w:rPr>
              <w:t xml:space="preserve">ACADÊMICA </w:t>
            </w:r>
            <w:r w:rsidRPr="00BF4E24">
              <w:rPr>
                <w:rFonts w:ascii="Arial" w:eastAsia="Calibri" w:hAnsi="Arial" w:cs="Arial"/>
                <w:sz w:val="20"/>
                <w:szCs w:val="20"/>
              </w:rPr>
              <w:t>– PR</w:t>
            </w:r>
            <w:r w:rsidR="00BE29DE">
              <w:rPr>
                <w:rFonts w:ascii="Arial" w:eastAsia="Calibri" w:hAnsi="Arial" w:cs="Arial"/>
                <w:sz w:val="20"/>
                <w:szCs w:val="20"/>
              </w:rPr>
              <w:t>OACAD</w:t>
            </w:r>
          </w:p>
          <w:p w14:paraId="1BA8C43D" w14:textId="39753DB6" w:rsidR="00702BB6" w:rsidRPr="00BF4E24" w:rsidRDefault="00702BB6" w:rsidP="00DD36AB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CURSO DE </w:t>
            </w:r>
            <w:r w:rsidR="009D1A5C">
              <w:rPr>
                <w:rFonts w:ascii="Arial" w:eastAsia="Calibri" w:hAnsi="Arial" w:cs="Arial"/>
                <w:sz w:val="20"/>
                <w:szCs w:val="20"/>
              </w:rPr>
              <w:t>FARMÁCIA</w:t>
            </w:r>
          </w:p>
          <w:p w14:paraId="7FE11137" w14:textId="54115F6A" w:rsidR="008E3668" w:rsidRDefault="00D741FF" w:rsidP="008217C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UNIDADE CURRICULAR:</w:t>
            </w:r>
            <w:r w:rsidR="009D1A5C">
              <w:rPr>
                <w:rFonts w:ascii="Arial" w:hAnsi="Arial" w:cs="Arial"/>
                <w:sz w:val="20"/>
                <w:szCs w:val="20"/>
              </w:rPr>
              <w:t xml:space="preserve"> ESTÁGIO SUPERVISIONADO- CUIDADO FARMACÊUTICO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2B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36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85E6AF4" w14:textId="1CD1D237" w:rsidR="00E629A4" w:rsidRPr="00BF4E24" w:rsidRDefault="00261866" w:rsidP="008217C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E629A4" w:rsidRPr="00BF4E24">
              <w:rPr>
                <w:rFonts w:ascii="Arial" w:hAnsi="Arial" w:cs="Arial"/>
                <w:sz w:val="20"/>
                <w:szCs w:val="20"/>
              </w:rPr>
              <w:t>ROFESSOR</w:t>
            </w:r>
            <w:r w:rsidR="008E3668">
              <w:rPr>
                <w:rFonts w:ascii="Arial" w:hAnsi="Arial" w:cs="Arial"/>
                <w:sz w:val="20"/>
                <w:szCs w:val="20"/>
              </w:rPr>
              <w:t>(</w:t>
            </w:r>
            <w:r w:rsidR="00E629A4" w:rsidRPr="00BF4E24">
              <w:rPr>
                <w:rFonts w:ascii="Arial" w:hAnsi="Arial" w:cs="Arial"/>
                <w:sz w:val="20"/>
                <w:szCs w:val="20"/>
              </w:rPr>
              <w:t xml:space="preserve">A): </w:t>
            </w:r>
            <w:r w:rsidR="009D1A5C">
              <w:rPr>
                <w:rFonts w:ascii="Arial" w:hAnsi="Arial" w:cs="Arial"/>
                <w:sz w:val="20"/>
                <w:szCs w:val="20"/>
              </w:rPr>
              <w:t>VIVIANE CORREA DE ALMEIDA FERNANDES</w:t>
            </w:r>
          </w:p>
          <w:p w14:paraId="50D12631" w14:textId="62905624" w:rsidR="00E629A4" w:rsidRDefault="00E77B72" w:rsidP="008217C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ALUNO (</w:t>
            </w:r>
            <w:r w:rsidR="00245E11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): MARIA</w:t>
            </w:r>
            <w:r w:rsidR="00245E11">
              <w:rPr>
                <w:rFonts w:ascii="Arial" w:hAnsi="Arial" w:cs="Arial"/>
                <w:sz w:val="20"/>
                <w:szCs w:val="20"/>
              </w:rPr>
              <w:t xml:space="preserve"> EDUARDA SILVA DE OLIVEIRA</w:t>
            </w:r>
            <w:r w:rsidR="00245E11" w:rsidRPr="4B08864C">
              <w:rPr>
                <w:rFonts w:ascii="Arial" w:hAnsi="Arial" w:cs="Arial"/>
                <w:sz w:val="20"/>
                <w:szCs w:val="20"/>
              </w:rPr>
              <w:t>:</w:t>
            </w:r>
            <w:r w:rsidR="555EE509" w:rsidRPr="4B0886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5E11">
              <w:rPr>
                <w:rFonts w:ascii="Arial" w:hAnsi="Arial" w:cs="Arial"/>
                <w:sz w:val="20"/>
                <w:szCs w:val="20"/>
              </w:rPr>
              <w:t>24103575</w:t>
            </w:r>
          </w:p>
          <w:p w14:paraId="593A1C22" w14:textId="4EA6FF36" w:rsidR="00245E11" w:rsidRPr="00BF4E24" w:rsidRDefault="00245E11" w:rsidP="008217CC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ALUNO(A):RHAVILA MARQUES DE SOUZA: 24102801</w:t>
            </w:r>
          </w:p>
        </w:tc>
      </w:tr>
    </w:tbl>
    <w:p w14:paraId="759CFAC7" w14:textId="19635AA3" w:rsidR="00754D00" w:rsidRDefault="00754D00" w:rsidP="008217CC">
      <w:pPr>
        <w:spacing w:after="0" w:line="240" w:lineRule="auto"/>
        <w:jc w:val="center"/>
        <w:rPr>
          <w:rFonts w:ascii="Arial" w:hAnsi="Arial" w:cs="Arial"/>
          <w:b/>
        </w:rPr>
      </w:pPr>
    </w:p>
    <w:p w14:paraId="1398D085" w14:textId="77777777" w:rsidR="009D1A5C" w:rsidRDefault="009D1A5C" w:rsidP="008217CC">
      <w:pPr>
        <w:spacing w:after="0" w:line="240" w:lineRule="auto"/>
        <w:jc w:val="center"/>
        <w:rPr>
          <w:rFonts w:ascii="Arial" w:hAnsi="Arial" w:cs="Arial"/>
          <w:b/>
        </w:rPr>
      </w:pPr>
    </w:p>
    <w:p w14:paraId="27114505" w14:textId="77777777" w:rsidR="00D741FF" w:rsidRDefault="00D741FF" w:rsidP="008217CC">
      <w:pPr>
        <w:spacing w:after="0" w:line="240" w:lineRule="auto"/>
        <w:jc w:val="center"/>
        <w:rPr>
          <w:rFonts w:ascii="Arial" w:hAnsi="Arial" w:cs="Arial"/>
          <w:b/>
        </w:rPr>
      </w:pPr>
    </w:p>
    <w:p w14:paraId="224D9CDB" w14:textId="7C0F105C" w:rsidR="0093406E" w:rsidRPr="00245E11" w:rsidRDefault="4CFD9EFB" w:rsidP="009D1A5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4B08864C">
        <w:rPr>
          <w:rFonts w:ascii="Arial" w:eastAsia="Arial" w:hAnsi="Arial" w:cs="Arial"/>
          <w:sz w:val="24"/>
          <w:szCs w:val="24"/>
        </w:rPr>
        <w:t xml:space="preserve"> </w:t>
      </w:r>
      <w:r w:rsidRPr="4B08864C">
        <w:rPr>
          <w:rFonts w:ascii="Arial" w:eastAsia="Arial" w:hAnsi="Arial" w:cs="Arial"/>
          <w:b/>
          <w:bCs/>
          <w:sz w:val="24"/>
          <w:szCs w:val="24"/>
        </w:rPr>
        <w:t>A IMPORTÂNCIA</w:t>
      </w:r>
      <w:r w:rsidR="00245E11" w:rsidRPr="4B08864C">
        <w:rPr>
          <w:rFonts w:ascii="Arial" w:eastAsia="Arial" w:hAnsi="Arial" w:cs="Arial"/>
          <w:b/>
          <w:sz w:val="24"/>
          <w:szCs w:val="24"/>
        </w:rPr>
        <w:t xml:space="preserve"> DO </w:t>
      </w:r>
      <w:r w:rsidRPr="4B08864C">
        <w:rPr>
          <w:rFonts w:ascii="Arial" w:eastAsia="Arial" w:hAnsi="Arial" w:cs="Arial"/>
          <w:b/>
          <w:bCs/>
          <w:sz w:val="24"/>
          <w:szCs w:val="24"/>
        </w:rPr>
        <w:t xml:space="preserve">CUIDADO </w:t>
      </w:r>
      <w:r w:rsidR="00245E11" w:rsidRPr="4B08864C">
        <w:rPr>
          <w:rFonts w:ascii="Arial" w:eastAsia="Arial" w:hAnsi="Arial" w:cs="Arial"/>
          <w:b/>
          <w:sz w:val="24"/>
          <w:szCs w:val="24"/>
        </w:rPr>
        <w:t xml:space="preserve">FARMACÊUTICO </w:t>
      </w:r>
      <w:r w:rsidRPr="4B08864C">
        <w:rPr>
          <w:rFonts w:ascii="Arial" w:eastAsia="Arial" w:hAnsi="Arial" w:cs="Arial"/>
          <w:b/>
          <w:bCs/>
          <w:sz w:val="24"/>
          <w:szCs w:val="24"/>
        </w:rPr>
        <w:t>NA PREVENÇÃO E MANEJO DA</w:t>
      </w:r>
      <w:r w:rsidR="00245E11" w:rsidRPr="4B08864C">
        <w:rPr>
          <w:rFonts w:ascii="Arial" w:eastAsia="Arial" w:hAnsi="Arial" w:cs="Arial"/>
          <w:b/>
          <w:sz w:val="24"/>
          <w:szCs w:val="24"/>
        </w:rPr>
        <w:t xml:space="preserve"> INTOXICAÇÃO MEDICAMENTOSA</w:t>
      </w:r>
    </w:p>
    <w:p w14:paraId="5164EC50" w14:textId="27CA8CAF" w:rsidR="009D1A5C" w:rsidRPr="00A42879" w:rsidRDefault="009D1A5C" w:rsidP="009D1A5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83E453" w14:textId="46F7A028" w:rsidR="009D1A5C" w:rsidRPr="00A42879" w:rsidRDefault="00245E11" w:rsidP="00A4287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Maria Eduarda Silva de Oliveira; Rhavila Marques de Souza; Viviane Correa de Almeida Fernandes.</w:t>
      </w:r>
    </w:p>
    <w:p w14:paraId="75AC978F" w14:textId="77777777" w:rsidR="009D1A5C" w:rsidRPr="00A42879" w:rsidRDefault="009D1A5C" w:rsidP="009D1A5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796FA04" w14:textId="77777777" w:rsidR="00A42879" w:rsidRDefault="00A42879" w:rsidP="009D1A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6628180" w14:textId="09263F01" w:rsidR="009D1A5C" w:rsidRPr="00245E11" w:rsidRDefault="00245E11" w:rsidP="009D1A5C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Palavras-chave</w:t>
      </w:r>
      <w:r w:rsidR="009D1A5C" w:rsidRPr="00A42879">
        <w:rPr>
          <w:rFonts w:ascii="Arial" w:hAnsi="Arial" w:cs="Arial"/>
          <w:b/>
          <w:sz w:val="24"/>
          <w:szCs w:val="24"/>
        </w:rPr>
        <w:t>:</w:t>
      </w:r>
      <w:r w:rsidR="009D1A5C" w:rsidRPr="00A42879">
        <w:rPr>
          <w:rFonts w:ascii="Arial" w:hAnsi="Arial" w:cs="Arial"/>
          <w:bCs/>
          <w:sz w:val="24"/>
          <w:szCs w:val="24"/>
        </w:rPr>
        <w:t xml:space="preserve"> </w:t>
      </w:r>
      <w:r w:rsidRPr="00245E11">
        <w:rPr>
          <w:rFonts w:ascii="Arial" w:hAnsi="Arial" w:cs="Arial"/>
          <w:bCs/>
          <w:sz w:val="24"/>
          <w:szCs w:val="24"/>
        </w:rPr>
        <w:t>Cuidado Farmacêutico Baseado em Evidência</w:t>
      </w:r>
      <w:r>
        <w:rPr>
          <w:rFonts w:ascii="Arial" w:hAnsi="Arial" w:cs="Arial"/>
          <w:bCs/>
          <w:sz w:val="24"/>
          <w:szCs w:val="24"/>
        </w:rPr>
        <w:t xml:space="preserve">; </w:t>
      </w:r>
      <w:r w:rsidRPr="00245E11">
        <w:rPr>
          <w:rFonts w:ascii="Arial" w:hAnsi="Arial" w:cs="Arial"/>
          <w:bCs/>
          <w:sz w:val="24"/>
          <w:szCs w:val="24"/>
        </w:rPr>
        <w:t>Uso Racional dos Medicamentos</w:t>
      </w:r>
      <w:r>
        <w:rPr>
          <w:rFonts w:ascii="Arial" w:hAnsi="Arial" w:cs="Arial"/>
          <w:bCs/>
          <w:sz w:val="24"/>
          <w:szCs w:val="24"/>
        </w:rPr>
        <w:t xml:space="preserve">; </w:t>
      </w:r>
      <w:r w:rsidRPr="00245E11">
        <w:rPr>
          <w:rFonts w:ascii="Arial" w:hAnsi="Arial" w:cs="Arial"/>
          <w:bCs/>
          <w:sz w:val="24"/>
          <w:szCs w:val="24"/>
        </w:rPr>
        <w:t>Intoxicação</w:t>
      </w:r>
      <w:r>
        <w:rPr>
          <w:rFonts w:ascii="Arial" w:hAnsi="Arial" w:cs="Arial"/>
          <w:bCs/>
          <w:sz w:val="24"/>
          <w:szCs w:val="24"/>
        </w:rPr>
        <w:t>.</w:t>
      </w:r>
    </w:p>
    <w:p w14:paraId="1E1C2C38" w14:textId="77777777" w:rsidR="00F1703D" w:rsidRPr="00A42879" w:rsidRDefault="00F1703D" w:rsidP="008217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73A805" w14:textId="77777777" w:rsidR="009D1A5C" w:rsidRPr="00A42879" w:rsidRDefault="009D1A5C" w:rsidP="00F170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EEFE8B8" w14:textId="79F940AA" w:rsidR="00E77B72" w:rsidRDefault="00E77B72" w:rsidP="00B7488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65D9393" w14:textId="5E7EE0A7" w:rsidR="009D1A5C" w:rsidRPr="00A42879" w:rsidRDefault="00E77B72" w:rsidP="52D1FE05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</w:t>
      </w:r>
      <w:r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: </w:t>
      </w:r>
      <w:r w:rsidR="00514D70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Em um cenário marcado pela automedicação e pela circulação de informações e desinformações, a intoxicação medicamentosa configura-se como um grave problema de saúde pública. A população, frequentemente, utiliza medicamentos sem orientação adequada, desconsiderando interações perigosas ou repetindo doses de forma indevida. Diante desse contexto, o farmacêutico assume um papel inovador, ultrapassando a simples dispensação de medicamentos para se tornar um agente de transformação na promoção da saúde. Este trabalho teve como objetivo investigar como a atuação farmacêutica tem se reinventado diante das intoxicações medicamentosas, com foco em estratégias e ações de conscientização voltadas ao uso racional de medicamentos e à segurança do paciente. </w:t>
      </w:r>
      <w:r w:rsidR="008725E4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Metodologia: </w:t>
      </w:r>
      <w:r w:rsidR="00514D70">
        <w:rPr>
          <w:rFonts w:ascii="Arial" w:hAnsi="Arial" w:cs="Arial"/>
          <w:bCs/>
          <w:iCs/>
          <w:color w:val="000000" w:themeColor="text1"/>
          <w:sz w:val="24"/>
          <w:szCs w:val="24"/>
        </w:rPr>
        <w:t>A metodologia consistiu em uma revisão bibliográfica nas bases SciELO e PubMed, com publicações dos últimos 10 anos. Foram utilizados os Descritores em Ciências da Saúde (DeCS) e Medical Subject Headings (MeSH): “Cuidados Farmacêuticos Baseados em Evidências”, “Uso Racional de Medicamentos” e “Intoxicação por Medicamentos”. A estratégia de busca combinou os termos com operadores booleanos: (“Pharmaceutical Care” AND “Drug Toxicity”) OR (“Evidence-Based Practice” AND “Rational Use of Medicines”). Foram incluídos artigos originais, revisões sistemáticas e estudos de caso que abordassem a atuação do farmacêutico em contextos de intoxicação medicamentosa. Excluíram-se trabalhos duplicados, editoriais e estudos que não envolviam diretamente a prática farmacêutica</w:t>
      </w:r>
      <w:r w:rsidR="004D22C4">
        <w:rPr>
          <w:rFonts w:ascii="Arial" w:hAnsi="Arial" w:cs="Arial"/>
          <w:bCs/>
          <w:iCs/>
          <w:color w:val="000000" w:themeColor="text1"/>
          <w:sz w:val="24"/>
          <w:szCs w:val="24"/>
        </w:rPr>
        <w:t>. No total foram utilizados 10 artigos para discussão</w:t>
      </w:r>
      <w:r w:rsidR="00514D70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. </w:t>
      </w:r>
      <w:r w:rsidR="004D22C4" w:rsidRPr="004D22C4">
        <w:rPr>
          <w:rFonts w:ascii="Arial" w:hAnsi="Arial" w:cs="Arial"/>
          <w:b/>
          <w:iCs/>
          <w:color w:val="000000" w:themeColor="text1"/>
          <w:sz w:val="24"/>
          <w:szCs w:val="24"/>
        </w:rPr>
        <w:t>Resultado e discussão:</w:t>
      </w:r>
      <w:r w:rsidR="004D22C4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</w:t>
      </w:r>
      <w:r w:rsidR="00514D70">
        <w:rPr>
          <w:rFonts w:ascii="Arial" w:hAnsi="Arial" w:cs="Arial"/>
          <w:bCs/>
          <w:iCs/>
          <w:color w:val="000000" w:themeColor="text1"/>
          <w:sz w:val="24"/>
          <w:szCs w:val="24"/>
        </w:rPr>
        <w:t>A análise revelou práticas in</w:t>
      </w:r>
      <w:r w:rsidR="00274970">
        <w:rPr>
          <w:rFonts w:ascii="Arial" w:hAnsi="Arial" w:cs="Arial"/>
          <w:bCs/>
          <w:iCs/>
          <w:color w:val="000000" w:themeColor="text1"/>
          <w:sz w:val="24"/>
          <w:szCs w:val="24"/>
        </w:rPr>
        <w:t>tere</w:t>
      </w:r>
      <w:r w:rsidR="00AD0D92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ssantes </w:t>
      </w:r>
      <w:r w:rsidR="00514D70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e evidências clínicas da atuação farmacêutica em diferentes níveis de atenção à saúde. Os resultados mostram que, nos hospitais, o farmacêutico tem se </w:t>
      </w:r>
      <w:r w:rsidR="00514D70">
        <w:rPr>
          <w:rFonts w:ascii="Arial" w:hAnsi="Arial" w:cs="Arial"/>
          <w:bCs/>
          <w:iCs/>
          <w:color w:val="000000" w:themeColor="text1"/>
          <w:sz w:val="24"/>
          <w:szCs w:val="24"/>
        </w:rPr>
        <w:lastRenderedPageBreak/>
        <w:t xml:space="preserve">destacado na revisão de prescrições, na presença ativa no cuidado ao paciente e no suporte à antidototerapia, colaborando com equipes multiprofissionais no manejo de intoxicações. Na atenção básica e nas farmácias comunitárias, sua atuação se aproxima do cotidiano da população, com campanhas educativas, uso de tecnologias como aplicativos de monitoramento terapêutico e rodas de conversa com grupos vulneráveis. Destaca-se que crianças, idosos e pessoas com baixa escolaridade são os grupos mais impactados negativamente pela intoxicação medicamentosa, seja por uso incorreto, dificuldade de compreensão das orientações ou maior sensibilidade fisiológica aos fármacos. A discussão evidencia que o farmacêutico, ao adotar práticas baseadas em evidências e estratégias educativas, fortalece seu papel como elo entre ciência e sociedade. Sua atuação não apenas previne intoxicações, mas também transforma a cultura medicamentosa, promovendo o uso seguro e consciente dos medicamentos. </w:t>
      </w:r>
      <w:r w:rsidR="0013073C">
        <w:rPr>
          <w:rFonts w:ascii="Arial" w:hAnsi="Arial" w:cs="Arial"/>
          <w:b/>
          <w:iCs/>
          <w:color w:val="000000" w:themeColor="text1"/>
          <w:sz w:val="24"/>
          <w:szCs w:val="24"/>
        </w:rPr>
        <w:t>Conclusão:</w:t>
      </w:r>
      <w:r w:rsidR="004D22C4" w:rsidRPr="004D22C4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 No mais</w:t>
      </w:r>
      <w:r w:rsidR="004D22C4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, </w:t>
      </w:r>
      <w:r w:rsidR="004D22C4" w:rsidRPr="004D22C4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percebe-se que a atuação multiprofissional, em especial o farmacêutico, em estratégias do fortalecimento da promoção do uso racional de medicamentos </w:t>
      </w:r>
      <w:r w:rsidR="004D22C4">
        <w:rPr>
          <w:rFonts w:ascii="Arial" w:hAnsi="Arial" w:cs="Arial"/>
          <w:bCs/>
          <w:iCs/>
          <w:color w:val="000000" w:themeColor="text1"/>
          <w:sz w:val="24"/>
          <w:szCs w:val="24"/>
        </w:rPr>
        <w:t xml:space="preserve">tem impacto favorável no manejo </w:t>
      </w:r>
      <w:r w:rsidR="004D22C4" w:rsidRPr="004D22C4">
        <w:rPr>
          <w:rFonts w:ascii="Arial" w:hAnsi="Arial" w:cs="Arial"/>
          <w:bCs/>
          <w:iCs/>
          <w:color w:val="000000" w:themeColor="text1"/>
          <w:sz w:val="24"/>
          <w:szCs w:val="24"/>
        </w:rPr>
        <w:t>de intoxicação</w:t>
      </w:r>
      <w:r w:rsidR="004D22C4">
        <w:rPr>
          <w:rFonts w:ascii="Arial" w:hAnsi="Arial" w:cs="Arial"/>
          <w:b/>
          <w:iCs/>
          <w:color w:val="000000" w:themeColor="text1"/>
          <w:sz w:val="24"/>
          <w:szCs w:val="24"/>
        </w:rPr>
        <w:t>.</w:t>
      </w:r>
      <w:r w:rsidR="0013073C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</w:t>
      </w:r>
      <w:r w:rsidR="00514D70">
        <w:rPr>
          <w:rFonts w:ascii="Arial" w:hAnsi="Arial" w:cs="Arial"/>
          <w:bCs/>
          <w:iCs/>
          <w:color w:val="000000" w:themeColor="text1"/>
          <w:sz w:val="24"/>
          <w:szCs w:val="24"/>
        </w:rPr>
        <w:t>Para consolidar essa função, é essencial investir em formação contínua, inovação e pesquisas que aprofundem a visão do próprio profissional sobre sua missão educativa e transformadora.</w:t>
      </w:r>
    </w:p>
    <w:p w14:paraId="668CB87A" w14:textId="05376759" w:rsidR="46F881B2" w:rsidRDefault="46F881B2" w:rsidP="46F881B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BF1D37A" w14:textId="4DAC326A" w:rsidR="42D53F62" w:rsidRDefault="42D53F62" w:rsidP="46F881B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46F881B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Referências: </w:t>
      </w:r>
    </w:p>
    <w:p w14:paraId="5BF396CA" w14:textId="73B96527" w:rsidR="42D53F62" w:rsidRDefault="42D53F62" w:rsidP="46F881B2">
      <w:pPr>
        <w:pStyle w:val="PargrafodaLista"/>
        <w:numPr>
          <w:ilvl w:val="0"/>
          <w:numId w:val="7"/>
        </w:num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 w:rsidRPr="46F881B2">
        <w:rPr>
          <w:rFonts w:ascii="Arial" w:eastAsia="Arial" w:hAnsi="Arial" w:cs="Arial"/>
          <w:b/>
          <w:bCs/>
          <w:sz w:val="24"/>
          <w:szCs w:val="24"/>
        </w:rPr>
        <w:t>BOUSSADI, A.</w:t>
      </w:r>
      <w:r w:rsidRPr="46F881B2">
        <w:rPr>
          <w:rFonts w:ascii="Arial" w:eastAsia="Arial" w:hAnsi="Arial" w:cs="Arial"/>
          <w:sz w:val="24"/>
          <w:szCs w:val="24"/>
        </w:rPr>
        <w:t xml:space="preserve"> et al. Validity of a clinical decision rule based alert system for drug dose adjustment in patients with renal failure intended to improve pharmacists’ analysis of medication orders in hospitals. </w:t>
      </w:r>
      <w:r w:rsidRPr="46F881B2">
        <w:rPr>
          <w:rFonts w:ascii="Arial" w:eastAsia="Arial" w:hAnsi="Arial" w:cs="Arial"/>
          <w:i/>
          <w:iCs/>
          <w:sz w:val="24"/>
          <w:szCs w:val="24"/>
        </w:rPr>
        <w:t>arXiv preprint</w:t>
      </w:r>
      <w:r w:rsidRPr="46F881B2">
        <w:rPr>
          <w:rFonts w:ascii="Arial" w:eastAsia="Arial" w:hAnsi="Arial" w:cs="Arial"/>
          <w:sz w:val="24"/>
          <w:szCs w:val="24"/>
        </w:rPr>
        <w:t xml:space="preserve">, arXiv:1305.5665, 2013. Disponível em: </w:t>
      </w:r>
      <w:hyperlink r:id="rId8">
        <w:r w:rsidRPr="46F881B2">
          <w:rPr>
            <w:rStyle w:val="Hyperlink"/>
            <w:rFonts w:ascii="Arial" w:eastAsia="Arial" w:hAnsi="Arial" w:cs="Arial"/>
            <w:sz w:val="24"/>
            <w:szCs w:val="24"/>
          </w:rPr>
          <w:t>https://arxiv.org/abs/1305.5665</w:t>
        </w:r>
      </w:hyperlink>
      <w:r w:rsidRPr="46F881B2">
        <w:rPr>
          <w:rFonts w:ascii="Arial" w:eastAsia="Arial" w:hAnsi="Arial" w:cs="Arial"/>
          <w:sz w:val="24"/>
          <w:szCs w:val="24"/>
        </w:rPr>
        <w:t>. Acesso em: 27 maio 2025.</w:t>
      </w:r>
    </w:p>
    <w:p w14:paraId="36255869" w14:textId="7B75B381" w:rsidR="42D53F62" w:rsidRDefault="42D53F62" w:rsidP="46F881B2">
      <w:pPr>
        <w:pStyle w:val="PargrafodaLista"/>
        <w:numPr>
          <w:ilvl w:val="0"/>
          <w:numId w:val="7"/>
        </w:num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 w:rsidRPr="46F881B2">
        <w:rPr>
          <w:rFonts w:ascii="Arial" w:eastAsia="Arial" w:hAnsi="Arial" w:cs="Arial"/>
          <w:b/>
          <w:bCs/>
          <w:sz w:val="24"/>
          <w:szCs w:val="24"/>
        </w:rPr>
        <w:t>CHIANG, W.-H.</w:t>
      </w:r>
      <w:r w:rsidRPr="46F881B2">
        <w:rPr>
          <w:rFonts w:ascii="Arial" w:eastAsia="Arial" w:hAnsi="Arial" w:cs="Arial"/>
          <w:sz w:val="24"/>
          <w:szCs w:val="24"/>
        </w:rPr>
        <w:t xml:space="preserve"> et al. Drug recommendation toward safe polypharmacy. </w:t>
      </w:r>
      <w:r w:rsidRPr="46F881B2">
        <w:rPr>
          <w:rFonts w:ascii="Arial" w:eastAsia="Arial" w:hAnsi="Arial" w:cs="Arial"/>
          <w:i/>
          <w:iCs/>
          <w:sz w:val="24"/>
          <w:szCs w:val="24"/>
        </w:rPr>
        <w:t>arXiv preprint</w:t>
      </w:r>
      <w:r w:rsidRPr="46F881B2">
        <w:rPr>
          <w:rFonts w:ascii="Arial" w:eastAsia="Arial" w:hAnsi="Arial" w:cs="Arial"/>
          <w:sz w:val="24"/>
          <w:szCs w:val="24"/>
        </w:rPr>
        <w:t xml:space="preserve">, arXiv:1803.03185, 2018. Disponível em: </w:t>
      </w:r>
      <w:hyperlink r:id="rId9">
        <w:r w:rsidRPr="46F881B2">
          <w:rPr>
            <w:rStyle w:val="Hyperlink"/>
            <w:rFonts w:ascii="Arial" w:eastAsia="Arial" w:hAnsi="Arial" w:cs="Arial"/>
            <w:sz w:val="24"/>
            <w:szCs w:val="24"/>
          </w:rPr>
          <w:t>https://arxiv.org/abs/1803.03185</w:t>
        </w:r>
      </w:hyperlink>
      <w:r w:rsidRPr="46F881B2">
        <w:rPr>
          <w:rFonts w:ascii="Arial" w:eastAsia="Arial" w:hAnsi="Arial" w:cs="Arial"/>
          <w:sz w:val="24"/>
          <w:szCs w:val="24"/>
        </w:rPr>
        <w:t>. Acesso em: 27 maio 2025.</w:t>
      </w:r>
    </w:p>
    <w:p w14:paraId="6642A858" w14:textId="041D75B7" w:rsidR="42D53F62" w:rsidRDefault="42D53F62" w:rsidP="46F881B2">
      <w:pPr>
        <w:pStyle w:val="PargrafodaLista"/>
        <w:numPr>
          <w:ilvl w:val="0"/>
          <w:numId w:val="7"/>
        </w:num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 w:rsidRPr="46F881B2">
        <w:rPr>
          <w:rFonts w:ascii="Arial" w:eastAsia="Arial" w:hAnsi="Arial" w:cs="Arial"/>
          <w:b/>
          <w:bCs/>
          <w:sz w:val="24"/>
          <w:szCs w:val="24"/>
        </w:rPr>
        <w:t>DANTAS, D. do E. S.; ANDRADE, L. G. de; RINALDI NETO, S.</w:t>
      </w:r>
      <w:r w:rsidRPr="46F881B2">
        <w:rPr>
          <w:rFonts w:ascii="Arial" w:eastAsia="Arial" w:hAnsi="Arial" w:cs="Arial"/>
          <w:sz w:val="24"/>
          <w:szCs w:val="24"/>
        </w:rPr>
        <w:t xml:space="preserve"> Atenção farmacêutica nas intoxicações medicamentosas. </w:t>
      </w:r>
      <w:r w:rsidRPr="46F881B2">
        <w:rPr>
          <w:rFonts w:ascii="Arial" w:eastAsia="Arial" w:hAnsi="Arial" w:cs="Arial"/>
          <w:i/>
          <w:iCs/>
          <w:sz w:val="24"/>
          <w:szCs w:val="24"/>
        </w:rPr>
        <w:t>Revista Ibero-Americana de Humanidades, Ciências e Educação</w:t>
      </w:r>
      <w:r w:rsidRPr="46F881B2">
        <w:rPr>
          <w:rFonts w:ascii="Arial" w:eastAsia="Arial" w:hAnsi="Arial" w:cs="Arial"/>
          <w:sz w:val="24"/>
          <w:szCs w:val="24"/>
        </w:rPr>
        <w:t>, v. 7, n. 10, p. 179–196, 2021. DOI: 10.51891/rease.v7i10.2383.</w:t>
      </w:r>
    </w:p>
    <w:p w14:paraId="263069C2" w14:textId="3489259B" w:rsidR="42D53F62" w:rsidRDefault="42D53F62" w:rsidP="46F881B2">
      <w:pPr>
        <w:pStyle w:val="PargrafodaLista"/>
        <w:numPr>
          <w:ilvl w:val="0"/>
          <w:numId w:val="7"/>
        </w:num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 w:rsidRPr="46F881B2">
        <w:rPr>
          <w:rFonts w:ascii="Arial" w:eastAsia="Arial" w:hAnsi="Arial" w:cs="Arial"/>
          <w:b/>
          <w:bCs/>
          <w:sz w:val="24"/>
          <w:szCs w:val="24"/>
        </w:rPr>
        <w:t>FALCÃO, H. O.; CARVALHO, C. J. S. de; PAIVA, M. J. M.</w:t>
      </w:r>
      <w:r w:rsidRPr="46F881B2">
        <w:rPr>
          <w:rFonts w:ascii="Arial" w:eastAsia="Arial" w:hAnsi="Arial" w:cs="Arial"/>
          <w:sz w:val="24"/>
          <w:szCs w:val="24"/>
        </w:rPr>
        <w:t xml:space="preserve"> A importância do farmacêutico na prevenção de intoxicações medicamentosas – uma revisão integrativa. </w:t>
      </w:r>
      <w:r w:rsidRPr="46F881B2">
        <w:rPr>
          <w:rFonts w:ascii="Arial" w:eastAsia="Arial" w:hAnsi="Arial" w:cs="Arial"/>
          <w:i/>
          <w:iCs/>
          <w:sz w:val="24"/>
          <w:szCs w:val="24"/>
        </w:rPr>
        <w:t>PubSaúde</w:t>
      </w:r>
      <w:r w:rsidRPr="46F881B2">
        <w:rPr>
          <w:rFonts w:ascii="Arial" w:eastAsia="Arial" w:hAnsi="Arial" w:cs="Arial"/>
          <w:sz w:val="24"/>
          <w:szCs w:val="24"/>
        </w:rPr>
        <w:t>, v. 7, p. a196, 2021. DOI: 10.31533/pubsaude7.a196.</w:t>
      </w:r>
    </w:p>
    <w:p w14:paraId="4E79A48E" w14:textId="0747A45E" w:rsidR="42D53F62" w:rsidRDefault="42D53F62" w:rsidP="46F881B2">
      <w:pPr>
        <w:pStyle w:val="PargrafodaLista"/>
        <w:numPr>
          <w:ilvl w:val="0"/>
          <w:numId w:val="7"/>
        </w:num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 w:rsidRPr="46F881B2">
        <w:rPr>
          <w:rFonts w:ascii="Arial" w:eastAsia="Arial" w:hAnsi="Arial" w:cs="Arial"/>
          <w:b/>
          <w:bCs/>
          <w:sz w:val="24"/>
          <w:szCs w:val="24"/>
        </w:rPr>
        <w:t>GONÇALVES, C. A.</w:t>
      </w:r>
      <w:r w:rsidRPr="46F881B2">
        <w:rPr>
          <w:rFonts w:ascii="Arial" w:eastAsia="Arial" w:hAnsi="Arial" w:cs="Arial"/>
          <w:sz w:val="24"/>
          <w:szCs w:val="24"/>
        </w:rPr>
        <w:t xml:space="preserve"> et al. Intoxicação medicamentosa: relacionada ao uso indiscriminado de medicamentos. </w:t>
      </w:r>
      <w:r w:rsidRPr="46F881B2">
        <w:rPr>
          <w:rFonts w:ascii="Arial" w:eastAsia="Arial" w:hAnsi="Arial" w:cs="Arial"/>
          <w:i/>
          <w:iCs/>
          <w:sz w:val="24"/>
          <w:szCs w:val="24"/>
        </w:rPr>
        <w:t>Revista Científica da Faculdade de Educação e Meio Ambiente</w:t>
      </w:r>
      <w:r w:rsidRPr="46F881B2">
        <w:rPr>
          <w:rFonts w:ascii="Arial" w:eastAsia="Arial" w:hAnsi="Arial" w:cs="Arial"/>
          <w:sz w:val="24"/>
          <w:szCs w:val="24"/>
        </w:rPr>
        <w:t>, v. 8, n. 1, p. 135–143, 2017. DOI: 10.31072/rcf.v8i1.449.</w:t>
      </w:r>
    </w:p>
    <w:p w14:paraId="4302B005" w14:textId="214D1755" w:rsidR="42D53F62" w:rsidRDefault="42D53F62" w:rsidP="46F881B2">
      <w:pPr>
        <w:pStyle w:val="PargrafodaLista"/>
        <w:numPr>
          <w:ilvl w:val="0"/>
          <w:numId w:val="7"/>
        </w:num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 w:rsidRPr="46F881B2">
        <w:rPr>
          <w:rFonts w:ascii="Arial" w:eastAsia="Arial" w:hAnsi="Arial" w:cs="Arial"/>
          <w:b/>
          <w:bCs/>
          <w:sz w:val="24"/>
          <w:szCs w:val="24"/>
        </w:rPr>
        <w:t>MARINS, A.; MAIA, E.; PRAÇA, I.</w:t>
      </w:r>
      <w:r w:rsidRPr="46F881B2">
        <w:rPr>
          <w:rFonts w:ascii="Arial" w:eastAsia="Arial" w:hAnsi="Arial" w:cs="Arial"/>
          <w:sz w:val="24"/>
          <w:szCs w:val="24"/>
        </w:rPr>
        <w:t xml:space="preserve"> Herb-drug interactions: a holistic decision support system in healthcare. </w:t>
      </w:r>
      <w:r w:rsidRPr="46F881B2">
        <w:rPr>
          <w:rFonts w:ascii="Arial" w:eastAsia="Arial" w:hAnsi="Arial" w:cs="Arial"/>
          <w:i/>
          <w:iCs/>
          <w:sz w:val="24"/>
          <w:szCs w:val="24"/>
        </w:rPr>
        <w:t>arXiv preprint</w:t>
      </w:r>
      <w:r w:rsidRPr="46F881B2">
        <w:rPr>
          <w:rFonts w:ascii="Arial" w:eastAsia="Arial" w:hAnsi="Arial" w:cs="Arial"/>
          <w:sz w:val="24"/>
          <w:szCs w:val="24"/>
        </w:rPr>
        <w:t xml:space="preserve">, arXiv:2306.15365, </w:t>
      </w:r>
      <w:r w:rsidRPr="46F881B2">
        <w:rPr>
          <w:rFonts w:ascii="Arial" w:eastAsia="Arial" w:hAnsi="Arial" w:cs="Arial"/>
          <w:sz w:val="24"/>
          <w:szCs w:val="24"/>
        </w:rPr>
        <w:lastRenderedPageBreak/>
        <w:t xml:space="preserve">2023. Disponível em: </w:t>
      </w:r>
      <w:hyperlink r:id="rId10">
        <w:r w:rsidRPr="46F881B2">
          <w:rPr>
            <w:rStyle w:val="Hyperlink"/>
            <w:rFonts w:ascii="Arial" w:eastAsia="Arial" w:hAnsi="Arial" w:cs="Arial"/>
            <w:sz w:val="24"/>
            <w:szCs w:val="24"/>
          </w:rPr>
          <w:t>https://arxiv.org/abs/2306.15365</w:t>
        </w:r>
      </w:hyperlink>
      <w:r w:rsidRPr="46F881B2">
        <w:rPr>
          <w:rFonts w:ascii="Arial" w:eastAsia="Arial" w:hAnsi="Arial" w:cs="Arial"/>
          <w:sz w:val="24"/>
          <w:szCs w:val="24"/>
        </w:rPr>
        <w:t>. Acesso em: 27 maio 2025.</w:t>
      </w:r>
    </w:p>
    <w:p w14:paraId="086EA9E5" w14:textId="4261E5E0" w:rsidR="42D53F62" w:rsidRDefault="42D53F62" w:rsidP="46F881B2">
      <w:pPr>
        <w:pStyle w:val="PargrafodaLista"/>
        <w:numPr>
          <w:ilvl w:val="0"/>
          <w:numId w:val="7"/>
        </w:num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 w:rsidRPr="46F881B2">
        <w:rPr>
          <w:rFonts w:ascii="Arial" w:eastAsia="Arial" w:hAnsi="Arial" w:cs="Arial"/>
          <w:b/>
          <w:bCs/>
          <w:sz w:val="24"/>
          <w:szCs w:val="24"/>
        </w:rPr>
        <w:t>MELO, R. L. S.</w:t>
      </w:r>
      <w:r w:rsidRPr="46F881B2">
        <w:rPr>
          <w:rFonts w:ascii="Arial" w:eastAsia="Arial" w:hAnsi="Arial" w:cs="Arial"/>
          <w:sz w:val="24"/>
          <w:szCs w:val="24"/>
        </w:rPr>
        <w:t xml:space="preserve"> et al. Intoxicação medicamentosa: os perigos da automedicação. </w:t>
      </w:r>
      <w:r w:rsidRPr="46F881B2">
        <w:rPr>
          <w:rFonts w:ascii="Arial" w:eastAsia="Arial" w:hAnsi="Arial" w:cs="Arial"/>
          <w:i/>
          <w:iCs/>
          <w:sz w:val="24"/>
          <w:szCs w:val="24"/>
        </w:rPr>
        <w:t>Revista Multidisciplinar em Saúde</w:t>
      </w:r>
      <w:r w:rsidRPr="46F881B2">
        <w:rPr>
          <w:rFonts w:ascii="Arial" w:eastAsia="Arial" w:hAnsi="Arial" w:cs="Arial"/>
          <w:sz w:val="24"/>
          <w:szCs w:val="24"/>
        </w:rPr>
        <w:t xml:space="preserve">, v. 1, n. 1, p. 1–10, 2020. Disponível em: </w:t>
      </w:r>
      <w:hyperlink r:id="rId11">
        <w:r w:rsidRPr="46F881B2">
          <w:rPr>
            <w:rStyle w:val="Hyperlink"/>
            <w:rFonts w:ascii="Arial" w:eastAsia="Arial" w:hAnsi="Arial" w:cs="Arial"/>
            <w:sz w:val="24"/>
            <w:szCs w:val="24"/>
          </w:rPr>
          <w:t>https://editoraime.com.br/revistas/index.php/rems/article/view/111</w:t>
        </w:r>
      </w:hyperlink>
      <w:r w:rsidRPr="46F881B2">
        <w:rPr>
          <w:rFonts w:ascii="Arial" w:eastAsia="Arial" w:hAnsi="Arial" w:cs="Arial"/>
          <w:sz w:val="24"/>
          <w:szCs w:val="24"/>
        </w:rPr>
        <w:t>. Acesso em: 27 maio 2025.</w:t>
      </w:r>
    </w:p>
    <w:p w14:paraId="218FC701" w14:textId="756764AA" w:rsidR="42D53F62" w:rsidRDefault="42D53F62" w:rsidP="46F881B2">
      <w:pPr>
        <w:pStyle w:val="PargrafodaLista"/>
        <w:numPr>
          <w:ilvl w:val="0"/>
          <w:numId w:val="7"/>
        </w:num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 w:rsidRPr="46F881B2">
        <w:rPr>
          <w:rFonts w:ascii="Arial" w:eastAsia="Arial" w:hAnsi="Arial" w:cs="Arial"/>
          <w:b/>
          <w:bCs/>
          <w:sz w:val="24"/>
          <w:szCs w:val="24"/>
        </w:rPr>
        <w:t>MOUAZER, A.</w:t>
      </w:r>
      <w:r w:rsidRPr="46F881B2">
        <w:rPr>
          <w:rFonts w:ascii="Arial" w:eastAsia="Arial" w:hAnsi="Arial" w:cs="Arial"/>
          <w:sz w:val="24"/>
          <w:szCs w:val="24"/>
        </w:rPr>
        <w:t xml:space="preserve"> et al. A randomized simulation trial evaluating ABiMed, a clinical decision support system for medication reviews and polypharmacy management. </w:t>
      </w:r>
      <w:r w:rsidRPr="46F881B2">
        <w:rPr>
          <w:rFonts w:ascii="Arial" w:eastAsia="Arial" w:hAnsi="Arial" w:cs="Arial"/>
          <w:i/>
          <w:iCs/>
          <w:sz w:val="24"/>
          <w:szCs w:val="24"/>
        </w:rPr>
        <w:t>arXiv preprint</w:t>
      </w:r>
      <w:r w:rsidRPr="46F881B2">
        <w:rPr>
          <w:rFonts w:ascii="Arial" w:eastAsia="Arial" w:hAnsi="Arial" w:cs="Arial"/>
          <w:sz w:val="24"/>
          <w:szCs w:val="24"/>
        </w:rPr>
        <w:t xml:space="preserve">, arXiv:2409.01903, 2024. Disponível em: </w:t>
      </w:r>
      <w:hyperlink r:id="rId12">
        <w:r w:rsidRPr="46F881B2">
          <w:rPr>
            <w:rStyle w:val="Hyperlink"/>
            <w:rFonts w:ascii="Arial" w:eastAsia="Arial" w:hAnsi="Arial" w:cs="Arial"/>
            <w:sz w:val="24"/>
            <w:szCs w:val="24"/>
          </w:rPr>
          <w:t>https://arxiv.org/abs/2409.01903</w:t>
        </w:r>
      </w:hyperlink>
      <w:r w:rsidRPr="46F881B2">
        <w:rPr>
          <w:rFonts w:ascii="Arial" w:eastAsia="Arial" w:hAnsi="Arial" w:cs="Arial"/>
          <w:sz w:val="24"/>
          <w:szCs w:val="24"/>
        </w:rPr>
        <w:t>. Acesso em: 27 maio 2025.</w:t>
      </w:r>
    </w:p>
    <w:p w14:paraId="42357228" w14:textId="1642C669" w:rsidR="42D53F62" w:rsidRDefault="42D53F62" w:rsidP="46F881B2">
      <w:pPr>
        <w:pStyle w:val="PargrafodaLista"/>
        <w:numPr>
          <w:ilvl w:val="0"/>
          <w:numId w:val="7"/>
        </w:num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 w:rsidRPr="46F881B2">
        <w:rPr>
          <w:rFonts w:ascii="Arial" w:eastAsia="Arial" w:hAnsi="Arial" w:cs="Arial"/>
          <w:b/>
          <w:bCs/>
          <w:sz w:val="24"/>
          <w:szCs w:val="24"/>
        </w:rPr>
        <w:t>SILVA, M. C.</w:t>
      </w:r>
      <w:r w:rsidRPr="46F881B2">
        <w:rPr>
          <w:rFonts w:ascii="Arial" w:eastAsia="Arial" w:hAnsi="Arial" w:cs="Arial"/>
          <w:sz w:val="24"/>
          <w:szCs w:val="24"/>
        </w:rPr>
        <w:t xml:space="preserve"> et al. Polifarmácia, automedicação e uso de medicamentos potencialmente inapropriados: causa de intoxicações em idosos. </w:t>
      </w:r>
      <w:r w:rsidRPr="46F881B2">
        <w:rPr>
          <w:rFonts w:ascii="Arial" w:eastAsia="Arial" w:hAnsi="Arial" w:cs="Arial"/>
          <w:i/>
          <w:iCs/>
          <w:sz w:val="24"/>
          <w:szCs w:val="24"/>
        </w:rPr>
        <w:t>Revista Médica de Minas Gerais</w:t>
      </w:r>
      <w:r w:rsidRPr="46F881B2">
        <w:rPr>
          <w:rFonts w:ascii="Arial" w:eastAsia="Arial" w:hAnsi="Arial" w:cs="Arial"/>
          <w:sz w:val="24"/>
          <w:szCs w:val="24"/>
        </w:rPr>
        <w:t xml:space="preserve">, v. 30, n. 1, p. 1–10, 2020. Disponível em: </w:t>
      </w:r>
      <w:hyperlink r:id="rId13">
        <w:r w:rsidRPr="46F881B2">
          <w:rPr>
            <w:rStyle w:val="Hyperlink"/>
            <w:rFonts w:ascii="Arial" w:eastAsia="Arial" w:hAnsi="Arial" w:cs="Arial"/>
            <w:sz w:val="24"/>
            <w:szCs w:val="24"/>
          </w:rPr>
          <w:t>https://rmmg.org/artigo/detalhes/3874</w:t>
        </w:r>
      </w:hyperlink>
      <w:r w:rsidRPr="46F881B2">
        <w:rPr>
          <w:rFonts w:ascii="Arial" w:eastAsia="Arial" w:hAnsi="Arial" w:cs="Arial"/>
          <w:sz w:val="24"/>
          <w:szCs w:val="24"/>
        </w:rPr>
        <w:t>. Acesso em: 27 maio 2025.</w:t>
      </w:r>
    </w:p>
    <w:p w14:paraId="105ACD11" w14:textId="55F59B20" w:rsidR="42D53F62" w:rsidRDefault="42D53F62" w:rsidP="46F881B2">
      <w:pPr>
        <w:pStyle w:val="PargrafodaLista"/>
        <w:numPr>
          <w:ilvl w:val="0"/>
          <w:numId w:val="7"/>
        </w:numPr>
        <w:spacing w:before="240" w:after="240"/>
        <w:jc w:val="both"/>
        <w:rPr>
          <w:rFonts w:ascii="Arial" w:eastAsia="Arial" w:hAnsi="Arial" w:cs="Arial"/>
          <w:sz w:val="24"/>
          <w:szCs w:val="24"/>
        </w:rPr>
      </w:pPr>
      <w:r w:rsidRPr="46F881B2">
        <w:rPr>
          <w:rFonts w:ascii="Arial" w:eastAsia="Arial" w:hAnsi="Arial" w:cs="Arial"/>
          <w:b/>
          <w:bCs/>
          <w:sz w:val="24"/>
          <w:szCs w:val="24"/>
        </w:rPr>
        <w:t>SOUZA, R. C. de O.; ANDRADE, L. G. de.</w:t>
      </w:r>
      <w:r w:rsidRPr="46F881B2">
        <w:rPr>
          <w:rFonts w:ascii="Arial" w:eastAsia="Arial" w:hAnsi="Arial" w:cs="Arial"/>
          <w:sz w:val="24"/>
          <w:szCs w:val="24"/>
        </w:rPr>
        <w:t xml:space="preserve"> Automedicação: atuação do farmacêutico na prevenção à intoxicação medicamentosa. </w:t>
      </w:r>
      <w:r w:rsidRPr="46F881B2">
        <w:rPr>
          <w:rFonts w:ascii="Arial" w:eastAsia="Arial" w:hAnsi="Arial" w:cs="Arial"/>
          <w:i/>
          <w:iCs/>
          <w:sz w:val="24"/>
          <w:szCs w:val="24"/>
        </w:rPr>
        <w:t>Revista Ibero-Americana de Humanidades, Ciências e Educação</w:t>
      </w:r>
      <w:r w:rsidRPr="46F881B2">
        <w:rPr>
          <w:rFonts w:ascii="Arial" w:eastAsia="Arial" w:hAnsi="Arial" w:cs="Arial"/>
          <w:sz w:val="24"/>
          <w:szCs w:val="24"/>
        </w:rPr>
        <w:t>, v. 7, n. 10, p. 958–975, 2021. DOI: 10.51891/rease.v7i10.2634.</w:t>
      </w:r>
    </w:p>
    <w:p w14:paraId="7D664A8E" w14:textId="71D4570F" w:rsidR="009D1A5C" w:rsidRDefault="009D1A5C" w:rsidP="52D1FE05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9D1A5C" w:rsidSect="00496319">
      <w:headerReference w:type="default" r:id="rId14"/>
      <w:footerReference w:type="default" r:id="rId15"/>
      <w:pgSz w:w="11906" w:h="16838"/>
      <w:pgMar w:top="1915" w:right="1701" w:bottom="1417" w:left="1701" w:header="5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19166" w14:textId="77777777" w:rsidR="00EE317A" w:rsidRDefault="00EE317A" w:rsidP="00E629A4">
      <w:pPr>
        <w:spacing w:after="0" w:line="240" w:lineRule="auto"/>
      </w:pPr>
      <w:r>
        <w:separator/>
      </w:r>
    </w:p>
  </w:endnote>
  <w:endnote w:type="continuationSeparator" w:id="0">
    <w:p w14:paraId="65937D59" w14:textId="77777777" w:rsidR="00EE317A" w:rsidRDefault="00EE317A" w:rsidP="00E629A4">
      <w:pPr>
        <w:spacing w:after="0" w:line="240" w:lineRule="auto"/>
      </w:pPr>
      <w:r>
        <w:continuationSeparator/>
      </w:r>
    </w:p>
  </w:endnote>
  <w:endnote w:type="continuationNotice" w:id="1">
    <w:p w14:paraId="3E0F1BAF" w14:textId="77777777" w:rsidR="00EE317A" w:rsidRDefault="00EE31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549B5" w14:textId="3404A634" w:rsidR="00E00846" w:rsidRDefault="005E57F3">
    <w:pPr>
      <w:pStyle w:val="Rodap"/>
    </w:pPr>
    <w:r>
      <w:rPr>
        <w:noProof/>
      </w:rPr>
      <w:drawing>
        <wp:anchor distT="0" distB="0" distL="114300" distR="114300" simplePos="0" relativeHeight="251658241" behindDoc="1" locked="0" layoutInCell="0" allowOverlap="1" wp14:anchorId="735D5617" wp14:editId="7BF17B5F">
          <wp:simplePos x="0" y="0"/>
          <wp:positionH relativeFrom="margin">
            <wp:posOffset>-1127760</wp:posOffset>
          </wp:positionH>
          <wp:positionV relativeFrom="margin">
            <wp:posOffset>8451215</wp:posOffset>
          </wp:positionV>
          <wp:extent cx="7566025" cy="904875"/>
          <wp:effectExtent l="0" t="0" r="0" b="9525"/>
          <wp:wrapNone/>
          <wp:docPr id="1" name="Imagem 1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566" b="-27"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70E4F" w14:textId="77777777" w:rsidR="00EE317A" w:rsidRDefault="00EE317A" w:rsidP="00E629A4">
      <w:pPr>
        <w:spacing w:after="0" w:line="240" w:lineRule="auto"/>
      </w:pPr>
      <w:r>
        <w:separator/>
      </w:r>
    </w:p>
  </w:footnote>
  <w:footnote w:type="continuationSeparator" w:id="0">
    <w:p w14:paraId="7A086EE4" w14:textId="77777777" w:rsidR="00EE317A" w:rsidRDefault="00EE317A" w:rsidP="00E629A4">
      <w:pPr>
        <w:spacing w:after="0" w:line="240" w:lineRule="auto"/>
      </w:pPr>
      <w:r>
        <w:continuationSeparator/>
      </w:r>
    </w:p>
  </w:footnote>
  <w:footnote w:type="continuationNotice" w:id="1">
    <w:p w14:paraId="1935CCC2" w14:textId="77777777" w:rsidR="00EE317A" w:rsidRDefault="00EE31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64C1E" w14:textId="13162191" w:rsidR="00EF62BA" w:rsidRDefault="005E57F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735D5617" wp14:editId="669EFA34">
          <wp:simplePos x="0" y="0"/>
          <wp:positionH relativeFrom="margin">
            <wp:posOffset>-984885</wp:posOffset>
          </wp:positionH>
          <wp:positionV relativeFrom="margin">
            <wp:posOffset>-1148715</wp:posOffset>
          </wp:positionV>
          <wp:extent cx="7566025" cy="1476375"/>
          <wp:effectExtent l="0" t="0" r="0" b="9525"/>
          <wp:wrapNone/>
          <wp:docPr id="2" name="Imagem 1"/>
          <wp:cNvGraphicFramePr>
            <a:graphicFrameLocks xmlns:a="http://schemas.openxmlformats.org/drawingml/2006/main" noGrp="1" noChangeAspect="1" noResize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 noGrp="1" noRot="1" noChangeAspect="1" noResize="1" noEditPoints="1" noAdjustHandles="1" noChangeArrowheads="1" noChangeShapeType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194"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1476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82E12E" w14:textId="1012082A" w:rsidR="00EF62BA" w:rsidRDefault="00EF62BA" w:rsidP="00B86935">
    <w:pPr>
      <w:pStyle w:val="Cabealho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VscjbJha8HB5R" int2:id="i2nz6Xhi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2606C"/>
    <w:multiLevelType w:val="hybridMultilevel"/>
    <w:tmpl w:val="A86236B0"/>
    <w:lvl w:ilvl="0" w:tplc="FE2689D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A17C7"/>
    <w:multiLevelType w:val="hybridMultilevel"/>
    <w:tmpl w:val="D86A18F8"/>
    <w:lvl w:ilvl="0" w:tplc="2C68F8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DE065"/>
    <w:multiLevelType w:val="hybridMultilevel"/>
    <w:tmpl w:val="FFFFFFFF"/>
    <w:lvl w:ilvl="0" w:tplc="CB9CA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54F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561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EB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CA8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626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98B5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C4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004D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C5E67"/>
    <w:multiLevelType w:val="hybridMultilevel"/>
    <w:tmpl w:val="2B4E99E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B4B42"/>
    <w:multiLevelType w:val="hybridMultilevel"/>
    <w:tmpl w:val="AF18C2D8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E6E2B"/>
    <w:multiLevelType w:val="hybridMultilevel"/>
    <w:tmpl w:val="B04602CE"/>
    <w:lvl w:ilvl="0" w:tplc="E09C663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6547E"/>
    <w:multiLevelType w:val="hybridMultilevel"/>
    <w:tmpl w:val="09E86B2E"/>
    <w:lvl w:ilvl="0" w:tplc="7B247D90">
      <w:start w:val="1"/>
      <w:numFmt w:val="decimalZero"/>
      <w:lvlText w:val="%1)"/>
      <w:lvlJc w:val="left"/>
      <w:pPr>
        <w:ind w:left="720" w:hanging="360"/>
      </w:pPr>
      <w:rPr>
        <w:rFonts w:hint="default"/>
        <w:b/>
      </w:rPr>
    </w:lvl>
    <w:lvl w:ilvl="1" w:tplc="5D7E3C38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531716">
    <w:abstractNumId w:val="6"/>
  </w:num>
  <w:num w:numId="2" w16cid:durableId="1325666042">
    <w:abstractNumId w:val="4"/>
  </w:num>
  <w:num w:numId="3" w16cid:durableId="1630697579">
    <w:abstractNumId w:val="3"/>
  </w:num>
  <w:num w:numId="4" w16cid:durableId="1623339862">
    <w:abstractNumId w:val="5"/>
  </w:num>
  <w:num w:numId="5" w16cid:durableId="1873766309">
    <w:abstractNumId w:val="1"/>
  </w:num>
  <w:num w:numId="6" w16cid:durableId="773671591">
    <w:abstractNumId w:val="0"/>
  </w:num>
  <w:num w:numId="7" w16cid:durableId="95525625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A4"/>
    <w:rsid w:val="00001092"/>
    <w:rsid w:val="00005BFC"/>
    <w:rsid w:val="0002681D"/>
    <w:rsid w:val="0005207E"/>
    <w:rsid w:val="00070C09"/>
    <w:rsid w:val="000766F4"/>
    <w:rsid w:val="000773E6"/>
    <w:rsid w:val="00077EBF"/>
    <w:rsid w:val="0009479E"/>
    <w:rsid w:val="000A02A6"/>
    <w:rsid w:val="000B1354"/>
    <w:rsid w:val="000C0BD4"/>
    <w:rsid w:val="000C57DD"/>
    <w:rsid w:val="000D7A59"/>
    <w:rsid w:val="000D7B88"/>
    <w:rsid w:val="00124169"/>
    <w:rsid w:val="0013073C"/>
    <w:rsid w:val="00132FA3"/>
    <w:rsid w:val="00134659"/>
    <w:rsid w:val="001472CD"/>
    <w:rsid w:val="001479D7"/>
    <w:rsid w:val="00156114"/>
    <w:rsid w:val="00157B9A"/>
    <w:rsid w:val="0016603C"/>
    <w:rsid w:val="001700C1"/>
    <w:rsid w:val="001756F5"/>
    <w:rsid w:val="00180CA4"/>
    <w:rsid w:val="0018326B"/>
    <w:rsid w:val="001868BE"/>
    <w:rsid w:val="001A0DF1"/>
    <w:rsid w:val="001B71D5"/>
    <w:rsid w:val="001D72CC"/>
    <w:rsid w:val="001E4736"/>
    <w:rsid w:val="001F4639"/>
    <w:rsid w:val="001F7677"/>
    <w:rsid w:val="002003DC"/>
    <w:rsid w:val="0023027A"/>
    <w:rsid w:val="00245E11"/>
    <w:rsid w:val="002609D1"/>
    <w:rsid w:val="00261866"/>
    <w:rsid w:val="00266EA6"/>
    <w:rsid w:val="00274970"/>
    <w:rsid w:val="00275CE5"/>
    <w:rsid w:val="0027672E"/>
    <w:rsid w:val="00276CF2"/>
    <w:rsid w:val="002920B8"/>
    <w:rsid w:val="00295BD4"/>
    <w:rsid w:val="002969C6"/>
    <w:rsid w:val="002A1824"/>
    <w:rsid w:val="002C6A14"/>
    <w:rsid w:val="002D3126"/>
    <w:rsid w:val="002E293C"/>
    <w:rsid w:val="002E6DDE"/>
    <w:rsid w:val="003077A8"/>
    <w:rsid w:val="00314FB4"/>
    <w:rsid w:val="00320F03"/>
    <w:rsid w:val="0032278D"/>
    <w:rsid w:val="00365FDF"/>
    <w:rsid w:val="00372C58"/>
    <w:rsid w:val="00395D1C"/>
    <w:rsid w:val="003A54F8"/>
    <w:rsid w:val="003B0175"/>
    <w:rsid w:val="003C0783"/>
    <w:rsid w:val="003D1A92"/>
    <w:rsid w:val="003D1CA2"/>
    <w:rsid w:val="003E1877"/>
    <w:rsid w:val="003E7779"/>
    <w:rsid w:val="004067FF"/>
    <w:rsid w:val="0041007F"/>
    <w:rsid w:val="00411724"/>
    <w:rsid w:val="00421421"/>
    <w:rsid w:val="00423531"/>
    <w:rsid w:val="00424A2E"/>
    <w:rsid w:val="0046503B"/>
    <w:rsid w:val="00475909"/>
    <w:rsid w:val="00496319"/>
    <w:rsid w:val="004A4627"/>
    <w:rsid w:val="004A7849"/>
    <w:rsid w:val="004A7979"/>
    <w:rsid w:val="004C1CD2"/>
    <w:rsid w:val="004C6C92"/>
    <w:rsid w:val="004D22C4"/>
    <w:rsid w:val="004E1D3A"/>
    <w:rsid w:val="004F1594"/>
    <w:rsid w:val="004F37FC"/>
    <w:rsid w:val="004F6B0E"/>
    <w:rsid w:val="00502076"/>
    <w:rsid w:val="005025AF"/>
    <w:rsid w:val="00505E57"/>
    <w:rsid w:val="00507ADA"/>
    <w:rsid w:val="005110BC"/>
    <w:rsid w:val="00512903"/>
    <w:rsid w:val="00514D70"/>
    <w:rsid w:val="005156DE"/>
    <w:rsid w:val="00527C0E"/>
    <w:rsid w:val="00537D05"/>
    <w:rsid w:val="005502D9"/>
    <w:rsid w:val="00555554"/>
    <w:rsid w:val="00561808"/>
    <w:rsid w:val="00565A2D"/>
    <w:rsid w:val="005738F6"/>
    <w:rsid w:val="005818CF"/>
    <w:rsid w:val="0058399E"/>
    <w:rsid w:val="005D042D"/>
    <w:rsid w:val="005D2B25"/>
    <w:rsid w:val="005D3DE7"/>
    <w:rsid w:val="005D48C8"/>
    <w:rsid w:val="005E0AA8"/>
    <w:rsid w:val="005E57F3"/>
    <w:rsid w:val="005E5D34"/>
    <w:rsid w:val="00610FEF"/>
    <w:rsid w:val="00612F6F"/>
    <w:rsid w:val="00620534"/>
    <w:rsid w:val="006343C1"/>
    <w:rsid w:val="00644515"/>
    <w:rsid w:val="00650F40"/>
    <w:rsid w:val="006519A5"/>
    <w:rsid w:val="006543FC"/>
    <w:rsid w:val="00655CCF"/>
    <w:rsid w:val="00672049"/>
    <w:rsid w:val="00682EEF"/>
    <w:rsid w:val="006964F5"/>
    <w:rsid w:val="006C020D"/>
    <w:rsid w:val="006C4970"/>
    <w:rsid w:val="006D3D1B"/>
    <w:rsid w:val="006D7C16"/>
    <w:rsid w:val="006E2DB3"/>
    <w:rsid w:val="006F26C7"/>
    <w:rsid w:val="00702BB6"/>
    <w:rsid w:val="007227BE"/>
    <w:rsid w:val="007276AB"/>
    <w:rsid w:val="00742B76"/>
    <w:rsid w:val="007519E3"/>
    <w:rsid w:val="00754D00"/>
    <w:rsid w:val="00764310"/>
    <w:rsid w:val="00774243"/>
    <w:rsid w:val="007A017F"/>
    <w:rsid w:val="007B61CB"/>
    <w:rsid w:val="007C64D0"/>
    <w:rsid w:val="007D3A1D"/>
    <w:rsid w:val="007D42C6"/>
    <w:rsid w:val="007E0F4A"/>
    <w:rsid w:val="007F2912"/>
    <w:rsid w:val="007F2E80"/>
    <w:rsid w:val="00815BA5"/>
    <w:rsid w:val="008217CC"/>
    <w:rsid w:val="008233A7"/>
    <w:rsid w:val="00824BEE"/>
    <w:rsid w:val="008356DF"/>
    <w:rsid w:val="0084264A"/>
    <w:rsid w:val="00861674"/>
    <w:rsid w:val="0086521A"/>
    <w:rsid w:val="008725E4"/>
    <w:rsid w:val="008812D4"/>
    <w:rsid w:val="008A49FA"/>
    <w:rsid w:val="008A4F01"/>
    <w:rsid w:val="008B6043"/>
    <w:rsid w:val="008C069C"/>
    <w:rsid w:val="008D2B17"/>
    <w:rsid w:val="008E3668"/>
    <w:rsid w:val="00907D23"/>
    <w:rsid w:val="00921425"/>
    <w:rsid w:val="0093145F"/>
    <w:rsid w:val="00931BC8"/>
    <w:rsid w:val="0093406E"/>
    <w:rsid w:val="0093663C"/>
    <w:rsid w:val="009461A0"/>
    <w:rsid w:val="009662DA"/>
    <w:rsid w:val="00973208"/>
    <w:rsid w:val="00974F54"/>
    <w:rsid w:val="00981A5A"/>
    <w:rsid w:val="009A06F3"/>
    <w:rsid w:val="009A2119"/>
    <w:rsid w:val="009A3FAC"/>
    <w:rsid w:val="009A53F3"/>
    <w:rsid w:val="009A6E64"/>
    <w:rsid w:val="009C164E"/>
    <w:rsid w:val="009C28E8"/>
    <w:rsid w:val="009D1A5C"/>
    <w:rsid w:val="009D4FDF"/>
    <w:rsid w:val="009D5107"/>
    <w:rsid w:val="009E6F22"/>
    <w:rsid w:val="009F2195"/>
    <w:rsid w:val="009F5D1D"/>
    <w:rsid w:val="009F6C8B"/>
    <w:rsid w:val="009F7DD5"/>
    <w:rsid w:val="00A1229F"/>
    <w:rsid w:val="00A32100"/>
    <w:rsid w:val="00A359D3"/>
    <w:rsid w:val="00A41256"/>
    <w:rsid w:val="00A42879"/>
    <w:rsid w:val="00A43F24"/>
    <w:rsid w:val="00A460B9"/>
    <w:rsid w:val="00A60340"/>
    <w:rsid w:val="00A61DF9"/>
    <w:rsid w:val="00A63C51"/>
    <w:rsid w:val="00A6622D"/>
    <w:rsid w:val="00A75591"/>
    <w:rsid w:val="00A83526"/>
    <w:rsid w:val="00A87C43"/>
    <w:rsid w:val="00A92345"/>
    <w:rsid w:val="00A95B6F"/>
    <w:rsid w:val="00AA60B2"/>
    <w:rsid w:val="00AA6B92"/>
    <w:rsid w:val="00AD0D92"/>
    <w:rsid w:val="00AE38F9"/>
    <w:rsid w:val="00B01762"/>
    <w:rsid w:val="00B1787B"/>
    <w:rsid w:val="00B33240"/>
    <w:rsid w:val="00B42F47"/>
    <w:rsid w:val="00B44343"/>
    <w:rsid w:val="00B5044D"/>
    <w:rsid w:val="00B54125"/>
    <w:rsid w:val="00B577F4"/>
    <w:rsid w:val="00B67926"/>
    <w:rsid w:val="00B74887"/>
    <w:rsid w:val="00B8296B"/>
    <w:rsid w:val="00B83A5E"/>
    <w:rsid w:val="00B83C62"/>
    <w:rsid w:val="00B85E58"/>
    <w:rsid w:val="00B86935"/>
    <w:rsid w:val="00B94A4E"/>
    <w:rsid w:val="00B972CD"/>
    <w:rsid w:val="00BA38CC"/>
    <w:rsid w:val="00BC6A27"/>
    <w:rsid w:val="00BE29DE"/>
    <w:rsid w:val="00BE5809"/>
    <w:rsid w:val="00BF04B8"/>
    <w:rsid w:val="00BF4205"/>
    <w:rsid w:val="00BF4E24"/>
    <w:rsid w:val="00BF6346"/>
    <w:rsid w:val="00C009FE"/>
    <w:rsid w:val="00C07B38"/>
    <w:rsid w:val="00C173FC"/>
    <w:rsid w:val="00C376CA"/>
    <w:rsid w:val="00C44979"/>
    <w:rsid w:val="00C5763A"/>
    <w:rsid w:val="00C60517"/>
    <w:rsid w:val="00C618ED"/>
    <w:rsid w:val="00C7475F"/>
    <w:rsid w:val="00C83DFA"/>
    <w:rsid w:val="00C9067E"/>
    <w:rsid w:val="00C91926"/>
    <w:rsid w:val="00C9449F"/>
    <w:rsid w:val="00CA4B91"/>
    <w:rsid w:val="00CB1585"/>
    <w:rsid w:val="00CB25E2"/>
    <w:rsid w:val="00CC2B43"/>
    <w:rsid w:val="00CD2903"/>
    <w:rsid w:val="00CD5692"/>
    <w:rsid w:val="00CE1E13"/>
    <w:rsid w:val="00CF2D52"/>
    <w:rsid w:val="00D038FA"/>
    <w:rsid w:val="00D15AD2"/>
    <w:rsid w:val="00D20066"/>
    <w:rsid w:val="00D21243"/>
    <w:rsid w:val="00D317FF"/>
    <w:rsid w:val="00D33860"/>
    <w:rsid w:val="00D741FF"/>
    <w:rsid w:val="00D85ED3"/>
    <w:rsid w:val="00D9173D"/>
    <w:rsid w:val="00D93AFA"/>
    <w:rsid w:val="00DB2DAA"/>
    <w:rsid w:val="00DC02D0"/>
    <w:rsid w:val="00DC3472"/>
    <w:rsid w:val="00DC3F96"/>
    <w:rsid w:val="00DC7F5A"/>
    <w:rsid w:val="00DD36AB"/>
    <w:rsid w:val="00DF32AB"/>
    <w:rsid w:val="00E00846"/>
    <w:rsid w:val="00E019DD"/>
    <w:rsid w:val="00E17B47"/>
    <w:rsid w:val="00E2303A"/>
    <w:rsid w:val="00E421FB"/>
    <w:rsid w:val="00E44CCD"/>
    <w:rsid w:val="00E46583"/>
    <w:rsid w:val="00E4686C"/>
    <w:rsid w:val="00E539CA"/>
    <w:rsid w:val="00E629A4"/>
    <w:rsid w:val="00E6607A"/>
    <w:rsid w:val="00E772C3"/>
    <w:rsid w:val="00E77B72"/>
    <w:rsid w:val="00E84155"/>
    <w:rsid w:val="00E865D5"/>
    <w:rsid w:val="00E94B0C"/>
    <w:rsid w:val="00E968AB"/>
    <w:rsid w:val="00EA1502"/>
    <w:rsid w:val="00ED0E12"/>
    <w:rsid w:val="00ED146E"/>
    <w:rsid w:val="00EE0AE2"/>
    <w:rsid w:val="00EE0F95"/>
    <w:rsid w:val="00EE317A"/>
    <w:rsid w:val="00EE4CEF"/>
    <w:rsid w:val="00EE6581"/>
    <w:rsid w:val="00EF62BA"/>
    <w:rsid w:val="00F10E50"/>
    <w:rsid w:val="00F1703D"/>
    <w:rsid w:val="00F212E0"/>
    <w:rsid w:val="00F21764"/>
    <w:rsid w:val="00F25DC2"/>
    <w:rsid w:val="00F3103D"/>
    <w:rsid w:val="00F3292A"/>
    <w:rsid w:val="00F337AB"/>
    <w:rsid w:val="00F4397A"/>
    <w:rsid w:val="00F57450"/>
    <w:rsid w:val="00F64DEA"/>
    <w:rsid w:val="00F654AD"/>
    <w:rsid w:val="00F86890"/>
    <w:rsid w:val="00F922A3"/>
    <w:rsid w:val="00FA0E8B"/>
    <w:rsid w:val="00FA4367"/>
    <w:rsid w:val="00FB21A6"/>
    <w:rsid w:val="00FC3968"/>
    <w:rsid w:val="00FD4824"/>
    <w:rsid w:val="00FE51AB"/>
    <w:rsid w:val="08D2C715"/>
    <w:rsid w:val="215D50C5"/>
    <w:rsid w:val="278EE3DF"/>
    <w:rsid w:val="2F30FD04"/>
    <w:rsid w:val="38624D30"/>
    <w:rsid w:val="3EC1A236"/>
    <w:rsid w:val="3F5E9541"/>
    <w:rsid w:val="42D53F62"/>
    <w:rsid w:val="4304727F"/>
    <w:rsid w:val="467D6AAA"/>
    <w:rsid w:val="46F881B2"/>
    <w:rsid w:val="4A7D124E"/>
    <w:rsid w:val="4B08864C"/>
    <w:rsid w:val="4CFD9EFB"/>
    <w:rsid w:val="4D9FEB44"/>
    <w:rsid w:val="52D1FE05"/>
    <w:rsid w:val="555EE509"/>
    <w:rsid w:val="5E73398C"/>
    <w:rsid w:val="65A34B61"/>
    <w:rsid w:val="66FCD93D"/>
    <w:rsid w:val="6F0AB1A8"/>
    <w:rsid w:val="6F166918"/>
    <w:rsid w:val="7455B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794E2"/>
  <w15:docId w15:val="{587D836F-2B38-CE42-AF9A-33DEBD9D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629A4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8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F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629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har">
    <w:name w:val="Título 1 Char"/>
    <w:basedOn w:val="Fontepargpadro"/>
    <w:link w:val="Ttulo1"/>
    <w:rsid w:val="00E629A4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629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29A4"/>
  </w:style>
  <w:style w:type="paragraph" w:styleId="Rodap">
    <w:name w:val="footer"/>
    <w:basedOn w:val="Normal"/>
    <w:link w:val="RodapChar"/>
    <w:uiPriority w:val="99"/>
    <w:unhideWhenUsed/>
    <w:rsid w:val="00E629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29A4"/>
  </w:style>
  <w:style w:type="paragraph" w:styleId="Textodebalo">
    <w:name w:val="Balloon Text"/>
    <w:basedOn w:val="Normal"/>
    <w:link w:val="TextodebaloChar"/>
    <w:uiPriority w:val="99"/>
    <w:semiHidden/>
    <w:unhideWhenUsed/>
    <w:rsid w:val="00E62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29A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629A4"/>
    <w:pPr>
      <w:ind w:left="720"/>
      <w:contextualSpacing/>
    </w:pPr>
  </w:style>
  <w:style w:type="character" w:customStyle="1" w:styleId="apple-style-span">
    <w:name w:val="apple-style-span"/>
    <w:basedOn w:val="Fontepargpadro"/>
    <w:rsid w:val="00B67926"/>
  </w:style>
  <w:style w:type="character" w:customStyle="1" w:styleId="apple-converted-space">
    <w:name w:val="apple-converted-space"/>
    <w:basedOn w:val="Fontepargpadro"/>
    <w:rsid w:val="00B67926"/>
  </w:style>
  <w:style w:type="paragraph" w:styleId="NormalWeb">
    <w:name w:val="Normal (Web)"/>
    <w:basedOn w:val="Normal"/>
    <w:uiPriority w:val="99"/>
    <w:unhideWhenUsed/>
    <w:rsid w:val="0009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129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818CF"/>
    <w:rPr>
      <w:color w:val="0000FF" w:themeColor="hyperlink"/>
      <w:u w:val="single"/>
    </w:rPr>
  </w:style>
  <w:style w:type="paragraph" w:customStyle="1" w:styleId="subtit">
    <w:name w:val="sub_tit"/>
    <w:basedOn w:val="Normal"/>
    <w:rsid w:val="009F6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9F6C8B"/>
    <w:rPr>
      <w:i/>
      <w:iCs/>
    </w:rPr>
  </w:style>
  <w:style w:type="character" w:styleId="Forte">
    <w:name w:val="Strong"/>
    <w:basedOn w:val="Fontepargpadro"/>
    <w:uiPriority w:val="22"/>
    <w:qFormat/>
    <w:rsid w:val="00655CCF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F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537D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7D0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7D0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7D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7D0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xiv.org/abs/1305.5665" TargetMode="External"/><Relationship Id="rId13" Type="http://schemas.openxmlformats.org/officeDocument/2006/relationships/hyperlink" Target="https://rmmg.org/artigo/detalhes/3874" TargetMode="External"/><Relationship Id="rId1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rxiv.org/abs/2409.0190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itoraime.com.br/revistas/index.php/rems/article/view/11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rxiv.org/abs/2306.153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xiv.org/abs/1803.03185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23292-9063-443D-8603-0463D410BF0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1029</Words>
  <Characters>5561</Characters>
  <Application>Microsoft Office Word</Application>
  <DocSecurity>4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Cliente S/A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Tatyane</dc:creator>
  <cp:keywords/>
  <cp:lastModifiedBy>Pedro Juan Ribeiro Calisto dos Santos</cp:lastModifiedBy>
  <cp:revision>2</cp:revision>
  <cp:lastPrinted>2017-09-22T11:07:00Z</cp:lastPrinted>
  <dcterms:created xsi:type="dcterms:W3CDTF">2025-05-27T21:53:00Z</dcterms:created>
  <dcterms:modified xsi:type="dcterms:W3CDTF">2025-05-27T21:53:00Z</dcterms:modified>
</cp:coreProperties>
</file>