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TECNOLOGIAS E MÍDIAS DIGITAIS NA FORMAÇÃO DOCENTE: EXPERIÊNCIAS EM EDUCAÇÃO MATEMÁTICA</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 Souza Rodrigues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w:t>
      </w:r>
    </w:p>
    <w:p w:rsidR="00000000" w:rsidDel="00000000" w:rsidP="00000000" w:rsidRDefault="00000000" w:rsidRPr="00000000" w14:paraId="00000006">
      <w:pPr>
        <w:spacing w:after="0" w:line="240" w:lineRule="auto"/>
        <w:jc w:val="right"/>
        <w:rPr/>
      </w:pPr>
      <w:hyperlink r:id="rId6">
        <w:r w:rsidDel="00000000" w:rsidR="00000000" w:rsidRPr="00000000">
          <w:rPr>
            <w:rFonts w:ascii="Times New Roman" w:cs="Times New Roman" w:eastAsia="Times New Roman" w:hAnsi="Times New Roman"/>
            <w:color w:val="0000ff"/>
            <w:sz w:val="24"/>
            <w:szCs w:val="24"/>
            <w:u w:val="single"/>
            <w:rtl w:val="0"/>
          </w:rPr>
          <w:t xml:space="preserve">giovannasouza0721@gmail.com</w:t>
        </w:r>
      </w:hyperlink>
      <w:r w:rsidDel="00000000" w:rsidR="00000000" w:rsidRPr="00000000">
        <w:rPr>
          <w:rtl w:val="0"/>
        </w:rPr>
      </w:r>
    </w:p>
    <w:p w:rsidR="00000000" w:rsidDel="00000000" w:rsidP="00000000" w:rsidRDefault="00000000" w:rsidRPr="00000000" w14:paraId="00000007">
      <w:pPr>
        <w:spacing w:after="0" w:line="240" w:lineRule="auto"/>
        <w:jc w:val="right"/>
        <w:rPr/>
      </w:pP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Igor Soares Santos</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w:t>
      </w:r>
    </w:p>
    <w:p w:rsidR="00000000" w:rsidDel="00000000" w:rsidP="00000000" w:rsidRDefault="00000000" w:rsidRPr="00000000" w14:paraId="0000000A">
      <w:pPr>
        <w:spacing w:after="0" w:line="240" w:lineRule="auto"/>
        <w:jc w:val="right"/>
        <w:rPr/>
      </w:pPr>
      <w:hyperlink r:id="rId7">
        <w:r w:rsidDel="00000000" w:rsidR="00000000" w:rsidRPr="00000000">
          <w:rPr>
            <w:rFonts w:ascii="Times New Roman" w:cs="Times New Roman" w:eastAsia="Times New Roman" w:hAnsi="Times New Roman"/>
            <w:color w:val="1155cc"/>
            <w:sz w:val="24"/>
            <w:szCs w:val="24"/>
            <w:u w:val="single"/>
            <w:rtl w:val="0"/>
          </w:rPr>
          <w:t xml:space="preserve">igsoaressantos@gmail.com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Vitória Santos Carvalho</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  </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mariavitoriasantoscarvalho59@gmail.com</w:t>
        </w:r>
      </w:hyperlink>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Janine Freitas Mota </w:t>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 Unimontes</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janine.mota@unimontes.br</w:t>
        </w:r>
      </w:hyperlink>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r w:rsidDel="00000000" w:rsidR="00000000" w:rsidRPr="00000000">
        <w:rPr>
          <w:rtl w:val="0"/>
        </w:rPr>
      </w:r>
    </w:p>
    <w:p w:rsidR="00000000" w:rsidDel="00000000" w:rsidP="00000000" w:rsidRDefault="00000000" w:rsidRPr="00000000" w14:paraId="0000001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Tecnologias Digitais, Objetos Digitais de Aprendizagem, Educação Matemática</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 Relato de Experiência</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relato apresenta vivências dos mestrandos na disciplina Tecnologias e Mídias Digitais em Educação Matemática do Programa de Pós-Graduação em Educação da Universidade Estadual de Montes Claros.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Contextualização e justificativa da prática desenvolvida</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Tecnologias Digitais (TD) na educação tem sido amplamente discutido. Neste trabalho, o foco recai sobre o contexto específico da área de Educação Matemática. Na sociedade contemporânea, observa-se a presença significativa das TD em diversos ambientes, incluindo o educacional. Destaca-se o uso de aplicativos voltados ao ensino e à aprendizagem, potencializando os processos de construção do conhecimento matemático. Dessa forma, a disciplina possibilitou novos olhares quanto às tecnologias digitais, em particular os objetos digitais de aprendizagem, ao propor atividades voltadas para o ensino de Matemática, utilizando tais applets.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 norteador e objetivos</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disciplina destacou o objetivo de explorar as potencialidades dos Objetos Digitais de Aprendizagem (ODAs), considerando suas contribuições para o ensino e a aprendizagem matemática.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e/ou estratégias metodológicas</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aulas contemplaram discussões e propostas sobre o uso das TD no contexto educacional, com ênfase nos ODAs. Foram considerados </w:t>
      </w:r>
      <w:r w:rsidDel="00000000" w:rsidR="00000000" w:rsidRPr="00000000">
        <w:rPr>
          <w:rFonts w:ascii="Times New Roman" w:cs="Times New Roman" w:eastAsia="Times New Roman" w:hAnsi="Times New Roman"/>
          <w:i w:val="1"/>
          <w:sz w:val="24"/>
          <w:szCs w:val="24"/>
          <w:rtl w:val="0"/>
        </w:rPr>
        <w:t xml:space="preserve">sites</w:t>
      </w:r>
      <w:r w:rsidDel="00000000" w:rsidR="00000000" w:rsidRPr="00000000">
        <w:rPr>
          <w:rFonts w:ascii="Times New Roman" w:cs="Times New Roman" w:eastAsia="Times New Roman" w:hAnsi="Times New Roman"/>
          <w:sz w:val="24"/>
          <w:szCs w:val="24"/>
          <w:rtl w:val="0"/>
        </w:rPr>
        <w:t xml:space="preserve"> especializados, como EduCapes, Phet Colorado, Geogebra, entre outros, para familiarizarmos com os recursos disponíveis, e posteriormente propostas de atividades que integrassem o uso dos ODAs ao ensino de Matemática, por exemplo um guia para uma atividade com uso do site oficial do Geogebra referente as aulas de seno no Círculo Trigonométrico, onde seguimos um roteiro orientado pela professora com links, de applets do site em cada pergunta. Ao fim das atividades, era discutido com a turma a respeito de mudanças e comentários quanto ao uso desta atividade no ensino de Matemática.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 que sustentou/sustenta a prática desenvolvida</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Borba e Balbino Junior (2023, p. 146) defendem que professores podem e devem fazer uso das tecnologias em suas práticas, tornando-as aliadas poderosas no ensino e na aprendizagem. Evidencia-se, portanto, que as TD, quando utilizadas com intencionalidade pedagógica, possuem potencial para favorecer o ensino de Matemática, contribuindo para práticas dinâmicas e interativas. </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da prática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experiência evidenciou a contribuição dos ODAs, na ampliação de possibilidades pedagógicas relacionadas às TD em sala de aula. Destaca-se o uso de um aplicativo que mobiliza conhecimentos acerca da unidade temática Probabilidade e Estatística e ainda, do </w:t>
      </w:r>
      <w:r w:rsidDel="00000000" w:rsidR="00000000" w:rsidRPr="00000000">
        <w:rPr>
          <w:rFonts w:ascii="Times New Roman" w:cs="Times New Roman" w:eastAsia="Times New Roman" w:hAnsi="Times New Roman"/>
          <w:i w:val="1"/>
          <w:sz w:val="24"/>
          <w:szCs w:val="24"/>
          <w:rtl w:val="0"/>
        </w:rPr>
        <w:t xml:space="preserve">site</w:t>
      </w:r>
      <w:r w:rsidDel="00000000" w:rsidR="00000000" w:rsidRPr="00000000">
        <w:rPr>
          <w:rFonts w:ascii="Times New Roman" w:cs="Times New Roman" w:eastAsia="Times New Roman" w:hAnsi="Times New Roman"/>
          <w:sz w:val="24"/>
          <w:szCs w:val="24"/>
          <w:rtl w:val="0"/>
        </w:rPr>
        <w:t xml:space="preserve"> oficial do GeoGebra para o trabalho com o círculo trigonométrico. </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Relevância social da experiência para o contexto/público destinado e para a educação e relações com o eixo temático do COPED</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utilização dos ODAs contribui para construção de conhecimento e formas dinâmicas de abordagem de conteúdos matemáticos, articulando tecnologias digitais e Educação Matemática.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experiência evidenciou o vasto potencial das ferramentas digitais nos processos de ensino e de aprendizagem de Matemática na educação básica. As atividades demonstraram como os mestrandos podem incorporar tais recursos em suas práticas de ensino de conceitos matemáticos, de forma a estimular o desenvolvimento do raciocínio lógico, a resolução de problemas e a construção colaborativa de saberes.</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bookmarkStart w:colFirst="0" w:colLast="0" w:name="_vzzq8vbbnm8d" w:id="0"/>
      <w:bookmarkEnd w:id="0"/>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bookmarkStart w:colFirst="0" w:colLast="0" w:name="_taqqjxdq5r" w:id="1"/>
      <w:bookmarkEnd w:id="1"/>
      <w:r w:rsidDel="00000000" w:rsidR="00000000" w:rsidRPr="00000000">
        <w:rPr>
          <w:rFonts w:ascii="Times New Roman" w:cs="Times New Roman" w:eastAsia="Times New Roman" w:hAnsi="Times New Roman"/>
          <w:sz w:val="24"/>
          <w:szCs w:val="24"/>
          <w:rtl w:val="0"/>
        </w:rPr>
        <w:t xml:space="preserve">BORBA, M. de C.; BALBINO JUNIOR, V. R. O ChatGPT e educação matemática. </w:t>
      </w:r>
      <w:r w:rsidDel="00000000" w:rsidR="00000000" w:rsidRPr="00000000">
        <w:rPr>
          <w:rFonts w:ascii="Times New Roman" w:cs="Times New Roman" w:eastAsia="Times New Roman" w:hAnsi="Times New Roman"/>
          <w:b w:val="1"/>
          <w:sz w:val="24"/>
          <w:szCs w:val="24"/>
          <w:rtl w:val="0"/>
        </w:rPr>
        <w:t xml:space="preserve">Educação Matemática Pesquisa Revista do Programa de Estudos Pós-Graduados em Educação Matemática</w:t>
      </w:r>
      <w:r w:rsidDel="00000000" w:rsidR="00000000" w:rsidRPr="00000000">
        <w:rPr>
          <w:rFonts w:ascii="Times New Roman" w:cs="Times New Roman" w:eastAsia="Times New Roman" w:hAnsi="Times New Roman"/>
          <w:sz w:val="24"/>
          <w:szCs w:val="24"/>
          <w:rtl w:val="0"/>
        </w:rPr>
        <w:t xml:space="preserve">, São Paulo, v. 25, n. 3, p. 142–156, 2023. DOI: 10.23925/1983-3156.2023v25i3p142-156. 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https://revistas.pucsp.br/index.php/emp/article/view/63304</w:t>
        </w:r>
      </w:hyperlink>
      <w:r w:rsidDel="00000000" w:rsidR="00000000" w:rsidRPr="00000000">
        <w:rPr>
          <w:rFonts w:ascii="Times New Roman" w:cs="Times New Roman" w:eastAsia="Times New Roman" w:hAnsi="Times New Roman"/>
          <w:sz w:val="24"/>
          <w:szCs w:val="24"/>
          <w:rtl w:val="0"/>
        </w:rPr>
        <w:t xml:space="preserve">. Acesso em: 10 abr. 2025</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bookmarkStart w:colFirst="0" w:colLast="0" w:name="_d1wmo4a2o60u" w:id="2"/>
      <w:bookmarkEnd w:id="2"/>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bookmarkStart w:colFirst="0" w:colLast="0" w:name="_x21aakchvkdq" w:id="3"/>
      <w:bookmarkEnd w:id="3"/>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bookmarkStart w:colFirst="0" w:colLast="0" w:name="_jqbrwmh1fix" w:id="4"/>
      <w:bookmarkEnd w:id="4"/>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bookmarkStart w:colFirst="0" w:colLast="0" w:name="_atxtd7pbhc8a" w:id="5"/>
      <w:bookmarkEnd w:id="5"/>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bookmarkStart w:colFirst="0" w:colLast="0" w:name="_a6hrvylhp33w" w:id="6"/>
      <w:bookmarkEnd w:id="6"/>
      <w:r w:rsidDel="00000000" w:rsidR="00000000" w:rsidRPr="00000000">
        <w:rPr>
          <w:rtl w:val="0"/>
        </w:rPr>
      </w:r>
    </w:p>
    <w:sectPr>
      <w:headerReference r:id="rId11"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inline distB="0" distT="0" distL="114300" distR="114300">
          <wp:extent cx="5394325" cy="1630045"/>
          <wp:effectExtent b="0" l="0" r="0" t="0"/>
          <wp:docPr descr="Timbrado" id="1"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revistas.pucsp.br/index.php/emp/article/view/63304" TargetMode="External"/><Relationship Id="rId9" Type="http://schemas.openxmlformats.org/officeDocument/2006/relationships/hyperlink" Target="mailto:janine.mota@unimontes.br" TargetMode="External"/><Relationship Id="rId5" Type="http://schemas.openxmlformats.org/officeDocument/2006/relationships/styles" Target="styles.xml"/><Relationship Id="rId6" Type="http://schemas.openxmlformats.org/officeDocument/2006/relationships/hyperlink" Target="mailto:giovannasouza0721@gmail.com" TargetMode="External"/><Relationship Id="rId7" Type="http://schemas.openxmlformats.org/officeDocument/2006/relationships/hyperlink" Target="mailto:igsoaressantos@gmail.com" TargetMode="External"/><Relationship Id="rId8" Type="http://schemas.openxmlformats.org/officeDocument/2006/relationships/hyperlink" Target="mailto:mariavitoriasantoscarvalho5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