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ind w:left="1" w:hanging="3"/>
        <w:jc w:val="center"/>
        <w:rPr>
          <w:sz w:val="28"/>
          <w:szCs w:val="28"/>
        </w:rPr>
      </w:pPr>
      <w:r w:rsidDel="00000000" w:rsidR="00000000" w:rsidRPr="00000000">
        <w:rPr>
          <w:b w:val="1"/>
          <w:sz w:val="28"/>
          <w:szCs w:val="28"/>
          <w:rtl w:val="0"/>
        </w:rPr>
        <w:t xml:space="preserve">AVANÇOS NO TRATAMENTO EM CRIANÇAS ACOMETIDAS PELA LIPOFUSCINOSE CERÓIDE NEURONAL – LCN </w:t>
      </w:r>
      <w:r w:rsidDel="00000000" w:rsidR="00000000" w:rsidRPr="00000000">
        <w:rPr>
          <w:rtl w:val="0"/>
        </w:rPr>
      </w:r>
    </w:p>
    <w:p w:rsidR="00000000" w:rsidDel="00000000" w:rsidP="00000000" w:rsidRDefault="00000000" w:rsidRPr="00000000" w14:paraId="00000003">
      <w:pPr>
        <w:spacing w:line="240" w:lineRule="auto"/>
        <w:ind w:left="1" w:hanging="3"/>
        <w:jc w:val="center"/>
        <w:rPr>
          <w:sz w:val="28"/>
          <w:szCs w:val="28"/>
        </w:rPr>
      </w:pPr>
      <w:r w:rsidDel="00000000" w:rsidR="00000000" w:rsidRPr="00000000">
        <w:rPr>
          <w:rtl w:val="0"/>
        </w:rPr>
      </w:r>
    </w:p>
    <w:p w:rsidR="00000000" w:rsidDel="00000000" w:rsidP="00000000" w:rsidRDefault="00000000" w:rsidRPr="00000000" w14:paraId="00000004">
      <w:pPr>
        <w:spacing w:line="240" w:lineRule="auto"/>
        <w:ind w:hanging="2"/>
        <w:jc w:val="center"/>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Thallita Albuquerque da Silva</w:t>
      </w:r>
    </w:p>
    <w:p w:rsidR="00000000" w:rsidDel="00000000" w:rsidP="00000000" w:rsidRDefault="00000000" w:rsidRPr="00000000" w14:paraId="00000005">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7">
        <w:r w:rsidDel="00000000" w:rsidR="00000000" w:rsidRPr="00000000">
          <w:rPr>
            <w:color w:val="1155cc"/>
            <w:sz w:val="20"/>
            <w:szCs w:val="20"/>
            <w:u w:val="single"/>
            <w:rtl w:val="0"/>
          </w:rPr>
          <w:t xml:space="preserve">thallitaalbuquerque16@gmail.com</w:t>
        </w:r>
      </w:hyperlink>
      <w:r w:rsidDel="00000000" w:rsidR="00000000" w:rsidRPr="00000000">
        <w:rPr>
          <w:sz w:val="20"/>
          <w:szCs w:val="20"/>
          <w:rtl w:val="0"/>
        </w:rPr>
        <w:t xml:space="preserve"> </w:t>
      </w:r>
    </w:p>
    <w:p w:rsidR="00000000" w:rsidDel="00000000" w:rsidP="00000000" w:rsidRDefault="00000000" w:rsidRPr="00000000" w14:paraId="00000006">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7">
      <w:pPr>
        <w:spacing w:line="240" w:lineRule="auto"/>
        <w:ind w:hanging="2"/>
        <w:jc w:val="center"/>
        <w:rPr>
          <w:sz w:val="24"/>
          <w:szCs w:val="24"/>
        </w:rPr>
      </w:pPr>
      <w:r w:rsidDel="00000000" w:rsidR="00000000" w:rsidRPr="00000000">
        <w:rPr>
          <w:sz w:val="24"/>
          <w:szCs w:val="24"/>
          <w:rtl w:val="0"/>
        </w:rPr>
        <w:t xml:space="preserve">Vanessa Maria Monteiro Silva </w:t>
      </w:r>
    </w:p>
    <w:p w:rsidR="00000000" w:rsidDel="00000000" w:rsidP="00000000" w:rsidRDefault="00000000" w:rsidRPr="00000000" w14:paraId="00000008">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8">
        <w:r w:rsidDel="00000000" w:rsidR="00000000" w:rsidRPr="00000000">
          <w:rPr>
            <w:color w:val="1155cc"/>
            <w:sz w:val="20"/>
            <w:szCs w:val="20"/>
            <w:u w:val="single"/>
            <w:rtl w:val="0"/>
          </w:rPr>
          <w:t xml:space="preserve">vanessasilva@enf.fiponline.edu.br</w:t>
        </w:r>
      </w:hyperlink>
      <w:r w:rsidDel="00000000" w:rsidR="00000000" w:rsidRPr="00000000">
        <w:rPr>
          <w:sz w:val="20"/>
          <w:szCs w:val="20"/>
          <w:rtl w:val="0"/>
        </w:rPr>
        <w:t xml:space="preserve"> </w:t>
      </w:r>
    </w:p>
    <w:p w:rsidR="00000000" w:rsidDel="00000000" w:rsidP="00000000" w:rsidRDefault="00000000" w:rsidRPr="00000000" w14:paraId="00000009">
      <w:pPr>
        <w:spacing w:line="240" w:lineRule="auto"/>
        <w:ind w:hanging="2"/>
        <w:jc w:val="left"/>
        <w:rPr>
          <w:sz w:val="24"/>
          <w:szCs w:val="24"/>
        </w:rPr>
      </w:pPr>
      <w:r w:rsidDel="00000000" w:rsidR="00000000" w:rsidRPr="00000000">
        <w:rPr>
          <w:rtl w:val="0"/>
        </w:rPr>
      </w:r>
    </w:p>
    <w:p w:rsidR="00000000" w:rsidDel="00000000" w:rsidP="00000000" w:rsidRDefault="00000000" w:rsidRPr="00000000" w14:paraId="0000000A">
      <w:pPr>
        <w:spacing w:line="240" w:lineRule="auto"/>
        <w:ind w:hanging="2"/>
        <w:jc w:val="center"/>
        <w:rPr>
          <w:sz w:val="24"/>
          <w:szCs w:val="24"/>
        </w:rPr>
      </w:pPr>
      <w:r w:rsidDel="00000000" w:rsidR="00000000" w:rsidRPr="00000000">
        <w:rPr>
          <w:sz w:val="24"/>
          <w:szCs w:val="24"/>
          <w:rtl w:val="0"/>
        </w:rPr>
        <w:t xml:space="preserve">Davi Kéviny Vieira de Sousa</w:t>
      </w:r>
    </w:p>
    <w:p w:rsidR="00000000" w:rsidDel="00000000" w:rsidP="00000000" w:rsidRDefault="00000000" w:rsidRPr="00000000" w14:paraId="0000000B">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9">
        <w:r w:rsidDel="00000000" w:rsidR="00000000" w:rsidRPr="00000000">
          <w:rPr>
            <w:color w:val="1155cc"/>
            <w:sz w:val="20"/>
            <w:szCs w:val="20"/>
            <w:u w:val="single"/>
            <w:rtl w:val="0"/>
          </w:rPr>
          <w:t xml:space="preserve">davisousa@enf.fiponline.edu.br</w:t>
        </w:r>
      </w:hyperlink>
      <w:r w:rsidDel="00000000" w:rsidR="00000000" w:rsidRPr="00000000">
        <w:rPr>
          <w:rtl w:val="0"/>
        </w:rPr>
      </w:r>
    </w:p>
    <w:p w:rsidR="00000000" w:rsidDel="00000000" w:rsidP="00000000" w:rsidRDefault="00000000" w:rsidRPr="00000000" w14:paraId="0000000C">
      <w:pPr>
        <w:spacing w:line="240" w:lineRule="auto"/>
        <w:jc w:val="left"/>
        <w:rPr>
          <w:sz w:val="24"/>
          <w:szCs w:val="24"/>
        </w:rPr>
      </w:pPr>
      <w:r w:rsidDel="00000000" w:rsidR="00000000" w:rsidRPr="00000000">
        <w:rPr>
          <w:rtl w:val="0"/>
        </w:rPr>
      </w:r>
    </w:p>
    <w:p w:rsidR="00000000" w:rsidDel="00000000" w:rsidP="00000000" w:rsidRDefault="00000000" w:rsidRPr="00000000" w14:paraId="0000000D">
      <w:pPr>
        <w:spacing w:line="240" w:lineRule="auto"/>
        <w:ind w:hanging="2"/>
        <w:jc w:val="center"/>
        <w:rPr>
          <w:sz w:val="24"/>
          <w:szCs w:val="24"/>
        </w:rPr>
      </w:pPr>
      <w:r w:rsidDel="00000000" w:rsidR="00000000" w:rsidRPr="00000000">
        <w:rPr>
          <w:sz w:val="24"/>
          <w:szCs w:val="24"/>
          <w:rtl w:val="0"/>
        </w:rPr>
        <w:t xml:space="preserve">Alícia Medeiros de Farias </w:t>
      </w:r>
    </w:p>
    <w:p w:rsidR="00000000" w:rsidDel="00000000" w:rsidP="00000000" w:rsidRDefault="00000000" w:rsidRPr="00000000" w14:paraId="0000000E">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10">
        <w:r w:rsidDel="00000000" w:rsidR="00000000" w:rsidRPr="00000000">
          <w:rPr>
            <w:color w:val="1155cc"/>
            <w:sz w:val="20"/>
            <w:szCs w:val="20"/>
            <w:u w:val="single"/>
            <w:rtl w:val="0"/>
          </w:rPr>
          <w:t xml:space="preserve">aliciafarias@enf.fiponline.edu.br</w:t>
        </w:r>
      </w:hyperlink>
      <w:r w:rsidDel="00000000" w:rsidR="00000000" w:rsidRPr="00000000">
        <w:rPr>
          <w:sz w:val="20"/>
          <w:szCs w:val="20"/>
          <w:rtl w:val="0"/>
        </w:rPr>
        <w:t xml:space="preserve">  </w:t>
      </w:r>
    </w:p>
    <w:p w:rsidR="00000000" w:rsidDel="00000000" w:rsidP="00000000" w:rsidRDefault="00000000" w:rsidRPr="00000000" w14:paraId="0000000F">
      <w:pPr>
        <w:spacing w:line="240" w:lineRule="auto"/>
        <w:ind w:hanging="2"/>
        <w:jc w:val="center"/>
        <w:rPr>
          <w:sz w:val="20"/>
          <w:szCs w:val="20"/>
        </w:rPr>
      </w:pPr>
      <w:r w:rsidDel="00000000" w:rsidR="00000000" w:rsidRPr="00000000">
        <w:rPr>
          <w:rtl w:val="0"/>
        </w:rPr>
      </w:r>
    </w:p>
    <w:p w:rsidR="00000000" w:rsidDel="00000000" w:rsidP="00000000" w:rsidRDefault="00000000" w:rsidRPr="00000000" w14:paraId="00000010">
      <w:pPr>
        <w:spacing w:line="240" w:lineRule="auto"/>
        <w:ind w:hanging="2"/>
        <w:jc w:val="center"/>
        <w:rPr>
          <w:sz w:val="24"/>
          <w:szCs w:val="24"/>
        </w:rPr>
      </w:pPr>
      <w:r w:rsidDel="00000000" w:rsidR="00000000" w:rsidRPr="00000000">
        <w:rPr>
          <w:sz w:val="24"/>
          <w:szCs w:val="24"/>
          <w:rtl w:val="0"/>
        </w:rPr>
        <w:t xml:space="preserve">Marianna Alves de Oliveira</w:t>
      </w:r>
    </w:p>
    <w:p w:rsidR="00000000" w:rsidDel="00000000" w:rsidP="00000000" w:rsidRDefault="00000000" w:rsidRPr="00000000" w14:paraId="00000011">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11">
        <w:r w:rsidDel="00000000" w:rsidR="00000000" w:rsidRPr="00000000">
          <w:rPr>
            <w:color w:val="1155cc"/>
            <w:sz w:val="20"/>
            <w:szCs w:val="20"/>
            <w:u w:val="single"/>
            <w:rtl w:val="0"/>
          </w:rPr>
          <w:t xml:space="preserve">alvesmarianna47@gmail.com</w:t>
        </w:r>
      </w:hyperlink>
      <w:r w:rsidDel="00000000" w:rsidR="00000000" w:rsidRPr="00000000">
        <w:rPr>
          <w:rtl w:val="0"/>
        </w:rPr>
      </w:r>
    </w:p>
    <w:p w:rsidR="00000000" w:rsidDel="00000000" w:rsidP="00000000" w:rsidRDefault="00000000" w:rsidRPr="00000000" w14:paraId="00000012">
      <w:pPr>
        <w:spacing w:line="240" w:lineRule="auto"/>
        <w:ind w:hanging="2"/>
        <w:rPr>
          <w:sz w:val="24"/>
          <w:szCs w:val="24"/>
        </w:rPr>
      </w:pPr>
      <w:r w:rsidDel="00000000" w:rsidR="00000000" w:rsidRPr="00000000">
        <w:rPr>
          <w:rtl w:val="0"/>
        </w:rPr>
      </w:r>
    </w:p>
    <w:p w:rsidR="00000000" w:rsidDel="00000000" w:rsidP="00000000" w:rsidRDefault="00000000" w:rsidRPr="00000000" w14:paraId="00000013">
      <w:pPr>
        <w:spacing w:line="240" w:lineRule="auto"/>
        <w:ind w:hanging="2"/>
        <w:jc w:val="center"/>
        <w:rPr>
          <w:sz w:val="24"/>
          <w:szCs w:val="24"/>
        </w:rPr>
      </w:pPr>
      <w:r w:rsidDel="00000000" w:rsidR="00000000" w:rsidRPr="00000000">
        <w:rPr>
          <w:sz w:val="24"/>
          <w:szCs w:val="24"/>
          <w:rtl w:val="0"/>
        </w:rPr>
        <w:t xml:space="preserve">Juliane de Oliveira Costa</w:t>
      </w:r>
    </w:p>
    <w:p w:rsidR="00000000" w:rsidDel="00000000" w:rsidP="00000000" w:rsidRDefault="00000000" w:rsidRPr="00000000" w14:paraId="00000014">
      <w:pPr>
        <w:spacing w:line="240" w:lineRule="auto"/>
        <w:ind w:hanging="2"/>
        <w:jc w:val="center"/>
        <w:rPr>
          <w:sz w:val="24"/>
          <w:szCs w:val="24"/>
        </w:rPr>
      </w:pPr>
      <w:r w:rsidDel="00000000" w:rsidR="00000000" w:rsidRPr="00000000">
        <w:rPr>
          <w:sz w:val="20"/>
          <w:szCs w:val="20"/>
          <w:rtl w:val="0"/>
        </w:rPr>
        <w:t xml:space="preserve">Centro Universitário de Patos - UNIFIP - </w:t>
      </w:r>
      <w:hyperlink r:id="rId12">
        <w:r w:rsidDel="00000000" w:rsidR="00000000" w:rsidRPr="00000000">
          <w:rPr>
            <w:color w:val="1155cc"/>
            <w:sz w:val="20"/>
            <w:szCs w:val="20"/>
            <w:u w:val="single"/>
            <w:rtl w:val="0"/>
          </w:rPr>
          <w:t xml:space="preserve">julianecosta@fiponline.edu.br</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5">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16">
      <w:pPr>
        <w:spacing w:line="240" w:lineRule="auto"/>
        <w:ind w:hanging="2"/>
        <w:jc w:val="center"/>
        <w:rPr>
          <w:sz w:val="24"/>
          <w:szCs w:val="24"/>
        </w:rPr>
      </w:pPr>
      <w:r w:rsidDel="00000000" w:rsidR="00000000" w:rsidRPr="00000000">
        <w:rPr>
          <w:b w:val="1"/>
          <w:sz w:val="24"/>
          <w:szCs w:val="24"/>
          <w:rtl w:val="0"/>
        </w:rPr>
        <w:t xml:space="preserve">Resumo</w:t>
      </w:r>
      <w:r w:rsidDel="00000000" w:rsidR="00000000" w:rsidRPr="00000000">
        <w:rPr>
          <w:rtl w:val="0"/>
        </w:rPr>
      </w:r>
    </w:p>
    <w:p w:rsidR="00000000" w:rsidDel="00000000" w:rsidP="00000000" w:rsidRDefault="00000000" w:rsidRPr="00000000" w14:paraId="00000017">
      <w:pPr>
        <w:spacing w:line="216" w:lineRule="auto"/>
        <w:ind w:hanging="2"/>
        <w:jc w:val="both"/>
        <w:rPr>
          <w:sz w:val="24"/>
          <w:szCs w:val="24"/>
        </w:rPr>
      </w:pPr>
      <w:r w:rsidDel="00000000" w:rsidR="00000000" w:rsidRPr="00000000">
        <w:rPr>
          <w:b w:val="1"/>
          <w:sz w:val="24"/>
          <w:szCs w:val="24"/>
          <w:rtl w:val="0"/>
        </w:rPr>
        <w:t xml:space="preserve">Introdução:</w:t>
      </w:r>
      <w:r w:rsidDel="00000000" w:rsidR="00000000" w:rsidRPr="00000000">
        <w:rPr>
          <w:sz w:val="24"/>
          <w:szCs w:val="24"/>
          <w:rtl w:val="0"/>
        </w:rPr>
        <w:t xml:space="preserve"> A doença de Batten, também conhecida como Lipofuscinose Ceróide Neuronal (LCN), é um grupo de doenças de armazenamento lisossomal neurodegenerativas devastadoras e letais que geralmente afetam crianças. </w:t>
      </w:r>
      <w:r w:rsidDel="00000000" w:rsidR="00000000" w:rsidRPr="00000000">
        <w:rPr>
          <w:color w:val="1b1b1b"/>
          <w:sz w:val="24"/>
          <w:szCs w:val="24"/>
          <w:rtl w:val="0"/>
        </w:rPr>
        <w:t xml:space="preserve">É considerada uma variante juvenil das lipofuscinoses ceroides neuronais (JNCL).</w:t>
      </w:r>
      <w:r w:rsidDel="00000000" w:rsidR="00000000" w:rsidRPr="00000000">
        <w:rPr>
          <w:b w:val="1"/>
          <w:sz w:val="24"/>
          <w:szCs w:val="24"/>
          <w:rtl w:val="0"/>
        </w:rPr>
        <w:t xml:space="preserve">Metodologia:</w:t>
      </w:r>
      <w:r w:rsidDel="00000000" w:rsidR="00000000" w:rsidRPr="00000000">
        <w:rPr>
          <w:sz w:val="24"/>
          <w:szCs w:val="24"/>
          <w:rtl w:val="0"/>
        </w:rPr>
        <w:t xml:space="preserve"> É um estudo de revisão integrativa da literatura com uma abordagem qualitativa onde teve como pergunta norteadora “Quais os avanços do tratamento em crianças acometidas pela lipofuscinose ceroide neuronal?”. </w:t>
      </w:r>
      <w:r w:rsidDel="00000000" w:rsidR="00000000" w:rsidRPr="00000000">
        <w:rPr>
          <w:b w:val="1"/>
          <w:sz w:val="24"/>
          <w:szCs w:val="24"/>
          <w:rtl w:val="0"/>
        </w:rPr>
        <w:t xml:space="preserve">Resultados e discussão:</w:t>
      </w:r>
      <w:r w:rsidDel="00000000" w:rsidR="00000000" w:rsidRPr="00000000">
        <w:rPr>
          <w:sz w:val="24"/>
          <w:szCs w:val="24"/>
          <w:rtl w:val="0"/>
        </w:rPr>
        <w:t xml:space="preserve"> Fica explícito que ainda há o desenvolvimento, ensaios clínicos e outros métodos para a Doença de Batten. Não descartando avanços futuros quanto para com o  prognóstico da doença, pois o uso de medicamentos fazem-se como um avanço para a diminuição dos sinais e sintomas da doença, melhorar a qualidade de vida, mas não como cura. </w:t>
      </w:r>
      <w:r w:rsidDel="00000000" w:rsidR="00000000" w:rsidRPr="00000000">
        <w:rPr>
          <w:b w:val="1"/>
          <w:sz w:val="24"/>
          <w:szCs w:val="24"/>
          <w:rtl w:val="0"/>
        </w:rPr>
        <w:t xml:space="preserve">Conclusão</w:t>
      </w:r>
      <w:r w:rsidDel="00000000" w:rsidR="00000000" w:rsidRPr="00000000">
        <w:rPr>
          <w:sz w:val="24"/>
          <w:szCs w:val="24"/>
          <w:rtl w:val="0"/>
        </w:rPr>
        <w:t xml:space="preserve">: atualmente não há medidas preventivas para impedir o início desse distúrbio hereditário. Educar pacientes e famílias é crucial para gerenciar expectativas, entender a natureza progressiva da doença e tomar decisões informadas sobre o tratamento. </w:t>
      </w:r>
    </w:p>
    <w:p w:rsidR="00000000" w:rsidDel="00000000" w:rsidP="00000000" w:rsidRDefault="00000000" w:rsidRPr="00000000" w14:paraId="00000018">
      <w:pPr>
        <w:spacing w:line="216" w:lineRule="auto"/>
        <w:ind w:hanging="2"/>
        <w:jc w:val="both"/>
        <w:rPr>
          <w:sz w:val="24"/>
          <w:szCs w:val="24"/>
        </w:rPr>
      </w:pPr>
      <w:r w:rsidDel="00000000" w:rsidR="00000000" w:rsidRPr="00000000">
        <w:rPr>
          <w:b w:val="1"/>
          <w:sz w:val="24"/>
          <w:szCs w:val="24"/>
          <w:rtl w:val="0"/>
        </w:rPr>
        <w:t xml:space="preserve">Descritores:</w:t>
      </w:r>
      <w:r w:rsidDel="00000000" w:rsidR="00000000" w:rsidRPr="00000000">
        <w:rPr>
          <w:sz w:val="24"/>
          <w:szCs w:val="24"/>
          <w:rtl w:val="0"/>
        </w:rPr>
        <w:t xml:space="preserve"> Doença de Batten. Lipofuscinosis Ceroidea Neuronal Infantil. CLN1.  CLN2. CLN3.</w:t>
      </w:r>
    </w:p>
    <w:p w:rsidR="00000000" w:rsidDel="00000000" w:rsidP="00000000" w:rsidRDefault="00000000" w:rsidRPr="00000000" w14:paraId="00000019">
      <w:pPr>
        <w:spacing w:line="240" w:lineRule="auto"/>
        <w:ind w:hanging="2"/>
        <w:jc w:val="center"/>
        <w:rPr>
          <w:sz w:val="24"/>
          <w:szCs w:val="24"/>
        </w:rPr>
      </w:pPr>
      <w:r w:rsidDel="00000000" w:rsidR="00000000" w:rsidRPr="00000000">
        <w:rPr>
          <w:b w:val="1"/>
          <w:sz w:val="24"/>
          <w:szCs w:val="24"/>
          <w:rtl w:val="0"/>
        </w:rPr>
        <w:t xml:space="preserve">Abstract</w:t>
      </w:r>
      <w:r w:rsidDel="00000000" w:rsidR="00000000" w:rsidRPr="00000000">
        <w:rPr>
          <w:rtl w:val="0"/>
        </w:rPr>
      </w:r>
    </w:p>
    <w:p w:rsidR="00000000" w:rsidDel="00000000" w:rsidP="00000000" w:rsidRDefault="00000000" w:rsidRPr="00000000" w14:paraId="0000001A">
      <w:pPr>
        <w:spacing w:line="216" w:lineRule="auto"/>
        <w:ind w:hanging="2"/>
        <w:jc w:val="both"/>
        <w:rPr>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 Batten disease, also known as Neuronal Ceroid Lipofuscinosis (NCL), is a group of devastating and lethal neurodegenerative lysosomal storage diseases that usually affect children. It is considered a juvenile variant of neuronal ceroid lipofuscinoses (JNCL). </w:t>
      </w:r>
      <w:r w:rsidDel="00000000" w:rsidR="00000000" w:rsidRPr="00000000">
        <w:rPr>
          <w:b w:val="1"/>
          <w:sz w:val="24"/>
          <w:szCs w:val="24"/>
          <w:shd w:fill="f8f9fa" w:val="clear"/>
          <w:rtl w:val="0"/>
        </w:rPr>
        <w:t xml:space="preserve">Methodology</w:t>
      </w:r>
      <w:r w:rsidDel="00000000" w:rsidR="00000000" w:rsidRPr="00000000">
        <w:rPr>
          <w:b w:val="1"/>
          <w:sz w:val="24"/>
          <w:szCs w:val="24"/>
          <w:rtl w:val="0"/>
        </w:rPr>
        <w:t xml:space="preserve">:</w:t>
      </w:r>
      <w:r w:rsidDel="00000000" w:rsidR="00000000" w:rsidRPr="00000000">
        <w:rPr>
          <w:sz w:val="24"/>
          <w:szCs w:val="24"/>
          <w:rtl w:val="0"/>
        </w:rPr>
        <w:t xml:space="preserve"> This is an integrative literature review study with a qualitative approach where the guiding question was “What are the advances in treatment for children affected by neuronal ceroid lipofuscinosis?”. </w:t>
      </w:r>
      <w:r w:rsidDel="00000000" w:rsidR="00000000" w:rsidRPr="00000000">
        <w:rPr>
          <w:b w:val="1"/>
          <w:sz w:val="24"/>
          <w:szCs w:val="24"/>
          <w:rtl w:val="0"/>
        </w:rPr>
        <w:t xml:space="preserve">Results and discussion:</w:t>
      </w:r>
      <w:r w:rsidDel="00000000" w:rsidR="00000000" w:rsidRPr="00000000">
        <w:rPr>
          <w:sz w:val="24"/>
          <w:szCs w:val="24"/>
          <w:rtl w:val="0"/>
        </w:rPr>
        <w:t xml:space="preserve"> It is clear that there are still developments, clinical trials and other methods for Batten disease. Future advances in the prognosis of the disease are not ruled out, since the use of medications is an advance in reducing the signs and symptoms of the disease and improving quality of life, but not as a cure. </w:t>
      </w:r>
      <w:r w:rsidDel="00000000" w:rsidR="00000000" w:rsidRPr="00000000">
        <w:rPr>
          <w:b w:val="1"/>
          <w:sz w:val="24"/>
          <w:szCs w:val="24"/>
          <w:rtl w:val="0"/>
        </w:rPr>
        <w:t xml:space="preserve">Conclusion: </w:t>
      </w:r>
      <w:r w:rsidDel="00000000" w:rsidR="00000000" w:rsidRPr="00000000">
        <w:rPr>
          <w:sz w:val="24"/>
          <w:szCs w:val="24"/>
          <w:rtl w:val="0"/>
        </w:rPr>
        <w:t xml:space="preserve">There are currently no preventive measures to prevent the onset of this inherited disorder. Educating patients and families is crucial to managing expectations, understanding the progressive nature of the disease and making informed decisions about treatment. </w:t>
      </w:r>
    </w:p>
    <w:p w:rsidR="00000000" w:rsidDel="00000000" w:rsidP="00000000" w:rsidRDefault="00000000" w:rsidRPr="00000000" w14:paraId="0000001B">
      <w:pPr>
        <w:spacing w:line="216" w:lineRule="auto"/>
        <w:ind w:hanging="2"/>
        <w:jc w:val="both"/>
        <w:rPr>
          <w:sz w:val="24"/>
          <w:szCs w:val="24"/>
        </w:rPr>
        <w:sectPr>
          <w:headerReference r:id="rId13" w:type="default"/>
          <w:footerReference r:id="rId14" w:type="default"/>
          <w:pgSz w:h="16834" w:w="11909" w:orient="portrait"/>
          <w:pgMar w:bottom="1440.0000000000002" w:top="1440.0000000000002" w:left="1440.0000000000002" w:right="1440.0000000000002" w:header="0" w:footer="0"/>
          <w:pgNumType w:start="1"/>
        </w:sectPr>
      </w:pPr>
      <w:r w:rsidDel="00000000" w:rsidR="00000000" w:rsidRPr="00000000">
        <w:rPr>
          <w:b w:val="1"/>
          <w:sz w:val="24"/>
          <w:szCs w:val="24"/>
          <w:rtl w:val="0"/>
        </w:rPr>
        <w:t xml:space="preserve">Descriptors: </w:t>
      </w:r>
      <w:r w:rsidDel="00000000" w:rsidR="00000000" w:rsidRPr="00000000">
        <w:rPr>
          <w:sz w:val="24"/>
          <w:szCs w:val="24"/>
          <w:rtl w:val="0"/>
        </w:rPr>
        <w:t xml:space="preserve">Batten Disease. Infantile Neuronal Ceroid Lipofuscinosis. CLN1. CLN2. CLN3.</w:t>
      </w:r>
    </w:p>
    <w:p w:rsidR="00000000" w:rsidDel="00000000" w:rsidP="00000000" w:rsidRDefault="00000000" w:rsidRPr="00000000" w14:paraId="0000001C">
      <w:pPr>
        <w:spacing w:line="240" w:lineRule="auto"/>
        <w:ind w:left="-2" w:firstLine="0"/>
        <w:rPr>
          <w:sz w:val="24"/>
          <w:szCs w:val="24"/>
        </w:rPr>
      </w:pPr>
      <w:r w:rsidDel="00000000" w:rsidR="00000000" w:rsidRPr="00000000">
        <w:rPr>
          <w:b w:val="1"/>
          <w:sz w:val="24"/>
          <w:szCs w:val="24"/>
          <w:rtl w:val="0"/>
        </w:rPr>
        <w:t xml:space="preserve">1 INTRODUÇÃO </w:t>
      </w:r>
      <w:r w:rsidDel="00000000" w:rsidR="00000000" w:rsidRPr="00000000">
        <w:rPr>
          <w:rtl w:val="0"/>
        </w:rPr>
      </w:r>
    </w:p>
    <w:p w:rsidR="00000000" w:rsidDel="00000000" w:rsidP="00000000" w:rsidRDefault="00000000" w:rsidRPr="00000000" w14:paraId="0000001D">
      <w:pP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1E">
      <w:pPr>
        <w:spacing w:line="240" w:lineRule="auto"/>
        <w:ind w:firstLine="708.6614173228347"/>
        <w:jc w:val="both"/>
        <w:rPr>
          <w:sz w:val="24"/>
          <w:szCs w:val="24"/>
        </w:rPr>
      </w:pPr>
      <w:r w:rsidDel="00000000" w:rsidR="00000000" w:rsidRPr="00000000">
        <w:rPr>
          <w:sz w:val="24"/>
          <w:szCs w:val="24"/>
          <w:rtl w:val="0"/>
        </w:rPr>
        <w:t xml:space="preserve">A doença de Batten, também conhecida como Lipofuscinose Ceróide Neuronal (LCN), é um grupo de doenças de armazenamento lisossomal neurodegenerativas devastadoras e letais que geralmente afetam crianças. </w:t>
      </w:r>
      <w:r w:rsidDel="00000000" w:rsidR="00000000" w:rsidRPr="00000000">
        <w:rPr>
          <w:color w:val="1b1b1b"/>
          <w:sz w:val="24"/>
          <w:szCs w:val="24"/>
          <w:rtl w:val="0"/>
        </w:rPr>
        <w:t xml:space="preserve">É considerada uma variante juvenil das lipofuscinoses ceroides neuronais (JNCL). São um grupo de doenças caracterizadas pela deposição anormal de substâncias como lipofuscina, ceroides e lipopigmentos nos neurônios do cérebro e outros tecidos do corpo (Ekazi; Kominami., 2004). Esse acúmulo leva à atrofia progressiva de áreas do cérebro que se manifesta com vários comprometimentos neurológicos. As primeiras características clínicas podem incluir convulsões, ataxia e perda de visão começando entre as idades de 5 e 8 anos. A doença é progressiva e invariavelmente fatal, levando à morte no início dos 20 anos (Goebel; Wisniewski., 2004). </w:t>
      </w:r>
      <w:r w:rsidDel="00000000" w:rsidR="00000000" w:rsidRPr="00000000">
        <w:rPr>
          <w:rtl w:val="0"/>
        </w:rPr>
      </w:r>
    </w:p>
    <w:p w:rsidR="00000000" w:rsidDel="00000000" w:rsidP="00000000" w:rsidRDefault="00000000" w:rsidRPr="00000000" w14:paraId="0000001F">
      <w:pPr>
        <w:spacing w:line="240" w:lineRule="auto"/>
        <w:ind w:firstLine="708.6614173228347"/>
        <w:jc w:val="both"/>
        <w:rPr>
          <w:sz w:val="24"/>
          <w:szCs w:val="24"/>
        </w:rPr>
      </w:pPr>
      <w:r w:rsidDel="00000000" w:rsidR="00000000" w:rsidRPr="00000000">
        <w:rPr>
          <w:sz w:val="24"/>
          <w:szCs w:val="24"/>
          <w:rtl w:val="0"/>
        </w:rPr>
        <w:t xml:space="preserve">Embora a doença de Batten tenha sido historicamente considerada a forma juvenil da NCL, alguns médicos usaram, e ainda usam, o termo "doença de Batten" para descrever todas as formas de NCL (Ostergaard Jr., 2016). A doença recebeu o nome de Frederick Eustace Batten, um pediatra e neurologista inglês que também é chamado de pai da neurologia pediátrica (Chaves-Carballo &amp; Frederick, 1978). Cada forma da doença é identificada como lipofuscinose neuronal ceroide (CLN) e recebe um número diferente com base no subtipo (ou seja, CLN1, CLN2 e CLN3) (Rahim;Russell; Mole, 2020). Cada forma da doença de Batten, juntamente com a variante genética associada, tem diferentes níveis de gravidade, idades médias de início e progride em taxas diferentes. </w:t>
      </w:r>
    </w:p>
    <w:p w:rsidR="00000000" w:rsidDel="00000000" w:rsidP="00000000" w:rsidRDefault="00000000" w:rsidRPr="00000000" w14:paraId="00000020">
      <w:pPr>
        <w:spacing w:line="240" w:lineRule="auto"/>
        <w:ind w:firstLine="708.6614173228347"/>
        <w:jc w:val="both"/>
        <w:rPr>
          <w:sz w:val="24"/>
          <w:szCs w:val="24"/>
        </w:rPr>
      </w:pPr>
      <w:r w:rsidDel="00000000" w:rsidR="00000000" w:rsidRPr="00000000">
        <w:rPr>
          <w:sz w:val="24"/>
          <w:szCs w:val="24"/>
          <w:rtl w:val="0"/>
        </w:rPr>
        <w:t xml:space="preserve">Como as NCL’s resultam de mutações monogênicas distintas, cada forma pode ter patomecanismos únicos que afetam o sistema endolisossomal, levando a diferentes fenótipos (Radke; Stenzel; Goebel, 2015). Muitos dos fenótipos patológicos observados nas NCL’s são comuns a outros distúrbios de armazenamento lisossomal, bem como a outros distúrbios neurodegenerativos (Palmer </w:t>
      </w:r>
      <w:r w:rsidDel="00000000" w:rsidR="00000000" w:rsidRPr="00000000">
        <w:rPr>
          <w:i w:val="1"/>
          <w:sz w:val="24"/>
          <w:szCs w:val="24"/>
          <w:rtl w:val="0"/>
        </w:rPr>
        <w:t xml:space="preserve">et al</w:t>
      </w:r>
      <w:r w:rsidDel="00000000" w:rsidR="00000000" w:rsidRPr="00000000">
        <w:rPr>
          <w:sz w:val="24"/>
          <w:szCs w:val="24"/>
          <w:rtl w:val="0"/>
        </w:rPr>
        <w:t xml:space="preserve">., 2013). A NCL tem apresentações variadas com base em 14 tipos que foram expostos na literatura. As características distintivas são mostradas no quadro abaixo:</w:t>
      </w:r>
    </w:p>
    <w:p w:rsidR="00000000" w:rsidDel="00000000" w:rsidP="00000000" w:rsidRDefault="00000000" w:rsidRPr="00000000" w14:paraId="00000021">
      <w:pP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22">
      <w:pPr>
        <w:spacing w:line="240" w:lineRule="auto"/>
        <w:ind w:hanging="2"/>
        <w:rPr>
          <w:rFonts w:ascii="Times New Roman" w:cs="Times New Roman" w:eastAsia="Times New Roman" w:hAnsi="Times New Roman"/>
          <w:b w:val="1"/>
          <w:sz w:val="24"/>
          <w:szCs w:val="24"/>
        </w:rPr>
      </w:pPr>
      <w:r w:rsidDel="00000000" w:rsidR="00000000" w:rsidRPr="00000000">
        <w:rPr>
          <w:b w:val="1"/>
          <w:sz w:val="24"/>
          <w:szCs w:val="24"/>
          <w:rtl w:val="0"/>
        </w:rPr>
        <w:t xml:space="preserve">Quadro 1 –</w:t>
      </w:r>
      <w:r w:rsidDel="00000000" w:rsidR="00000000" w:rsidRPr="00000000">
        <w:rPr>
          <w:sz w:val="24"/>
          <w:szCs w:val="24"/>
          <w:rtl w:val="0"/>
        </w:rPr>
        <w:t xml:space="preserve"> Subtipos mais comuns da Lipofuscinose Ceroide Neuronal.</w:t>
      </w:r>
      <w:r w:rsidDel="00000000" w:rsidR="00000000" w:rsidRPr="00000000">
        <w:rPr>
          <w:rtl w:val="0"/>
        </w:rPr>
      </w:r>
    </w:p>
    <w:tbl>
      <w:tblPr>
        <w:tblStyle w:val="Table1"/>
        <w:tblW w:w="9360.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2955"/>
        <w:gridCol w:w="3270"/>
        <w:tblGridChange w:id="0">
          <w:tblGrid>
            <w:gridCol w:w="3135"/>
            <w:gridCol w:w="2955"/>
            <w:gridCol w:w="3270"/>
          </w:tblGrid>
        </w:tblGridChange>
      </w:tblGrid>
      <w:tr>
        <w:trPr>
          <w:cantSplit w:val="0"/>
          <w:trHeight w:val="501.9609385013580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jc w:val="center"/>
              <w:rPr>
                <w:b w:val="1"/>
                <w:sz w:val="20"/>
                <w:szCs w:val="20"/>
              </w:rPr>
            </w:pPr>
            <w:r w:rsidDel="00000000" w:rsidR="00000000" w:rsidRPr="00000000">
              <w:rPr>
                <w:b w:val="1"/>
                <w:sz w:val="20"/>
                <w:szCs w:val="20"/>
                <w:rtl w:val="0"/>
              </w:rPr>
              <w:t xml:space="preserve">CLN1 (forma clássica de início infantil)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b w:val="1"/>
                <w:sz w:val="20"/>
                <w:szCs w:val="20"/>
              </w:rPr>
            </w:pPr>
            <w:r w:rsidDel="00000000" w:rsidR="00000000" w:rsidRPr="00000000">
              <w:rPr>
                <w:b w:val="1"/>
                <w:sz w:val="20"/>
                <w:szCs w:val="20"/>
                <w:rtl w:val="0"/>
              </w:rPr>
              <w:t xml:space="preserve">CLN2 (forma clássica de início infantil tardio)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b w:val="1"/>
                <w:sz w:val="20"/>
                <w:szCs w:val="20"/>
              </w:rPr>
            </w:pPr>
            <w:r w:rsidDel="00000000" w:rsidR="00000000" w:rsidRPr="00000000">
              <w:rPr>
                <w:b w:val="1"/>
                <w:sz w:val="20"/>
                <w:szCs w:val="20"/>
                <w:rtl w:val="0"/>
              </w:rPr>
              <w:t xml:space="preserve">CLN3 (forma mais clássica de início juvenil)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center"/>
              <w:rPr>
                <w:sz w:val="20"/>
                <w:szCs w:val="20"/>
              </w:rPr>
            </w:pPr>
            <w:r w:rsidDel="00000000" w:rsidR="00000000" w:rsidRPr="00000000">
              <w:rPr>
                <w:sz w:val="20"/>
                <w:szCs w:val="20"/>
                <w:rtl w:val="0"/>
              </w:rPr>
              <w:t xml:space="preserve">A criança afetada pode ter microcefalia, convulsões, fraqueza motora e deterioração da fala. A NCL infantil geralmente poupa a maior parte da porção anterior do olho sem alterações grosseiras nas pálpebras, conjuntiva, córnea, íris e até mesmo vítreo. O fundo pode mostrar atrofia do epitélio pigmentar da retina (EPR), (Kamate; Reddy; Detroja, 2021)</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sz w:val="20"/>
                <w:szCs w:val="20"/>
              </w:rPr>
            </w:pPr>
            <w:r w:rsidDel="00000000" w:rsidR="00000000" w:rsidRPr="00000000">
              <w:rPr>
                <w:sz w:val="20"/>
                <w:szCs w:val="20"/>
                <w:rtl w:val="0"/>
              </w:rPr>
              <w:t xml:space="preserve">O início dos sintomas oculares ocorre tardiamente na doença, em uma idade média de 4 a 5 anos (Orlin </w:t>
            </w:r>
            <w:r w:rsidDel="00000000" w:rsidR="00000000" w:rsidRPr="00000000">
              <w:rPr>
                <w:i w:val="1"/>
                <w:sz w:val="20"/>
                <w:szCs w:val="20"/>
                <w:rtl w:val="0"/>
              </w:rPr>
              <w:t xml:space="preserve">et al</w:t>
            </w:r>
            <w:r w:rsidDel="00000000" w:rsidR="00000000" w:rsidRPr="00000000">
              <w:rPr>
                <w:sz w:val="20"/>
                <w:szCs w:val="20"/>
                <w:rtl w:val="0"/>
              </w:rPr>
              <w:t xml:space="preserve">., 2013). A criança começa a ter atraso de linguagem e epilepsia por volta dos 2 a 3 anos de idade, o que pode ser acompanhado por ataxia e atraso global do desenvolvimento aos 5 anos de idade. (Johnson </w:t>
            </w:r>
            <w:r w:rsidDel="00000000" w:rsidR="00000000" w:rsidRPr="00000000">
              <w:rPr>
                <w:i w:val="1"/>
                <w:sz w:val="20"/>
                <w:szCs w:val="20"/>
                <w:rtl w:val="0"/>
              </w:rPr>
              <w:t xml:space="preserve">et al</w:t>
            </w:r>
            <w:r w:rsidDel="00000000" w:rsidR="00000000" w:rsidRPr="00000000">
              <w:rPr>
                <w:sz w:val="20"/>
                <w:szCs w:val="20"/>
                <w:rtl w:val="0"/>
              </w:rPr>
              <w:t xml:space="preserve">., 2020; Orlin </w:t>
            </w:r>
            <w:r w:rsidDel="00000000" w:rsidR="00000000" w:rsidRPr="00000000">
              <w:rPr>
                <w:i w:val="1"/>
                <w:sz w:val="20"/>
                <w:szCs w:val="20"/>
                <w:rtl w:val="0"/>
              </w:rPr>
              <w:t xml:space="preserve">et al</w:t>
            </w:r>
            <w:r w:rsidDel="00000000" w:rsidR="00000000" w:rsidRPr="00000000">
              <w:rPr>
                <w:sz w:val="20"/>
                <w:szCs w:val="20"/>
                <w:rtl w:val="0"/>
              </w:rPr>
              <w:t xml:space="preserve">., 2013)  </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sz w:val="20"/>
                <w:szCs w:val="20"/>
              </w:rPr>
            </w:pPr>
            <w:r w:rsidDel="00000000" w:rsidR="00000000" w:rsidRPr="00000000">
              <w:rPr>
                <w:sz w:val="20"/>
                <w:szCs w:val="20"/>
                <w:rtl w:val="0"/>
              </w:rPr>
              <w:t xml:space="preserve">Os sintomas visuais precedem ou coincidem com as manifestações neuropsiquiátricas. A idade média de apresentação ao oftalmologista é de 5,5 a 8,5 anos (Collins </w:t>
            </w:r>
            <w:r w:rsidDel="00000000" w:rsidR="00000000" w:rsidRPr="00000000">
              <w:rPr>
                <w:i w:val="1"/>
                <w:sz w:val="20"/>
                <w:szCs w:val="20"/>
                <w:rtl w:val="0"/>
              </w:rPr>
              <w:t xml:space="preserve">et al</w:t>
            </w:r>
            <w:r w:rsidDel="00000000" w:rsidR="00000000" w:rsidRPr="00000000">
              <w:rPr>
                <w:sz w:val="20"/>
                <w:szCs w:val="20"/>
                <w:rtl w:val="0"/>
              </w:rPr>
              <w:t xml:space="preserve">., 2006).  A criança pode apresentar nistagmo rotatório, juntamente com visão/olhar excêntrico. Retinopatia pigmentar normal a grave com palidez do disco óptico(Singh </w:t>
            </w:r>
            <w:r w:rsidDel="00000000" w:rsidR="00000000" w:rsidRPr="00000000">
              <w:rPr>
                <w:i w:val="1"/>
                <w:sz w:val="20"/>
                <w:szCs w:val="20"/>
                <w:rtl w:val="0"/>
              </w:rPr>
              <w:t xml:space="preserve">et al</w:t>
            </w:r>
            <w:r w:rsidDel="00000000" w:rsidR="00000000" w:rsidRPr="00000000">
              <w:rPr>
                <w:sz w:val="20"/>
                <w:szCs w:val="20"/>
                <w:rtl w:val="0"/>
              </w:rPr>
              <w:t xml:space="preserve">., 2021).  </w:t>
            </w:r>
          </w:p>
        </w:tc>
      </w:tr>
    </w:tbl>
    <w:p w:rsidR="00000000" w:rsidDel="00000000" w:rsidP="00000000" w:rsidRDefault="00000000" w:rsidRPr="00000000" w14:paraId="00000029">
      <w:pPr>
        <w:spacing w:line="240" w:lineRule="auto"/>
        <w:ind w:hanging="2"/>
        <w:rPr>
          <w:sz w:val="24"/>
          <w:szCs w:val="24"/>
        </w:rPr>
      </w:pPr>
      <w:r w:rsidDel="00000000" w:rsidR="00000000" w:rsidRPr="00000000">
        <w:rPr>
          <w:sz w:val="20"/>
          <w:szCs w:val="20"/>
          <w:rtl w:val="0"/>
        </w:rPr>
        <w:t xml:space="preserve">Fonte: Autoria própria, 2025.</w:t>
      </w:r>
      <w:r w:rsidDel="00000000" w:rsidR="00000000" w:rsidRPr="00000000">
        <w:rPr>
          <w:rtl w:val="0"/>
        </w:rPr>
      </w:r>
    </w:p>
    <w:p w:rsidR="00000000" w:rsidDel="00000000" w:rsidP="00000000" w:rsidRDefault="00000000" w:rsidRPr="00000000" w14:paraId="0000002A">
      <w:pPr>
        <w:spacing w:line="240" w:lineRule="auto"/>
        <w:ind w:hanging="2"/>
        <w:rPr>
          <w:sz w:val="24"/>
          <w:szCs w:val="24"/>
        </w:rPr>
      </w:pPr>
      <w:r w:rsidDel="00000000" w:rsidR="00000000" w:rsidRPr="00000000">
        <w:rPr>
          <w:rtl w:val="0"/>
        </w:rPr>
      </w:r>
    </w:p>
    <w:p w:rsidR="00000000" w:rsidDel="00000000" w:rsidP="00000000" w:rsidRDefault="00000000" w:rsidRPr="00000000" w14:paraId="0000002B">
      <w:pPr>
        <w:spacing w:line="240" w:lineRule="auto"/>
        <w:ind w:firstLine="708.6614173228347"/>
        <w:jc w:val="both"/>
        <w:rPr>
          <w:sz w:val="24"/>
          <w:szCs w:val="24"/>
        </w:rPr>
      </w:pPr>
      <w:r w:rsidDel="00000000" w:rsidR="00000000" w:rsidRPr="00000000">
        <w:rPr>
          <w:sz w:val="24"/>
          <w:szCs w:val="24"/>
          <w:rtl w:val="0"/>
        </w:rPr>
        <w:t xml:space="preserve">As NCL são atualmente agrupadas sob dois epônimos principais, doença de Batten e doença de Kufs. A doença de Batten se refere às NCL's da infância, independentemente da idade de início, enquanto o termo doença de Kufs é atribuído aos dois principais fenótipos de NCL de  início adulto [Kufs A e B (Berkoic </w:t>
      </w:r>
      <w:r w:rsidDel="00000000" w:rsidR="00000000" w:rsidRPr="00000000">
        <w:rPr>
          <w:i w:val="1"/>
          <w:sz w:val="24"/>
          <w:szCs w:val="24"/>
          <w:rtl w:val="0"/>
        </w:rPr>
        <w:t xml:space="preserve">et al</w:t>
      </w:r>
      <w:r w:rsidDel="00000000" w:rsidR="00000000" w:rsidRPr="00000000">
        <w:rPr>
          <w:sz w:val="24"/>
          <w:szCs w:val="24"/>
          <w:rtl w:val="0"/>
        </w:rPr>
        <w:t xml:space="preserve">., 1988)]. A definição de NCL depende de critérios patológicos: a presença de lipofuscina autofluorescente e os citossomos característicos. </w:t>
      </w:r>
    </w:p>
    <w:p w:rsidR="00000000" w:rsidDel="00000000" w:rsidP="00000000" w:rsidRDefault="00000000" w:rsidRPr="00000000" w14:paraId="0000002C">
      <w:pPr>
        <w:spacing w:line="240" w:lineRule="auto"/>
        <w:ind w:firstLine="708.6614173228347"/>
        <w:jc w:val="both"/>
        <w:rPr>
          <w:sz w:val="24"/>
          <w:szCs w:val="24"/>
        </w:rPr>
      </w:pPr>
      <w:r w:rsidDel="00000000" w:rsidR="00000000" w:rsidRPr="00000000">
        <w:rPr>
          <w:sz w:val="24"/>
          <w:szCs w:val="24"/>
          <w:rtl w:val="0"/>
        </w:rPr>
        <w:t xml:space="preserve">O horizonte terapêutico para NCLs está se expandindo, embora haja controvérsias quanto aos melhores métodos de modificação dessas doenças. Dado que NCLs representam múltiplos processos patobiológicos, qualquer abordagem terapêutica única provavelmente não será definitiva para todas as formas. Embora o tratamento seja primariamente sintomático, existem alguns estudos pré-clínicos promissores e ensaios clínicos planejados e em andamento (Masten; Mink; Augustine., 2020). Assim, o presente estudo tem como objetivo evidenciar os avanços terapêuticos desenvolvidos para a Lipofuscinose Ceroide Neuronal – LCN em crianças.</w:t>
      </w:r>
    </w:p>
    <w:p w:rsidR="00000000" w:rsidDel="00000000" w:rsidP="00000000" w:rsidRDefault="00000000" w:rsidRPr="00000000" w14:paraId="0000002D">
      <w:pP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2E">
      <w:pPr>
        <w:spacing w:line="240" w:lineRule="auto"/>
        <w:ind w:left="-2" w:firstLine="0"/>
        <w:rPr>
          <w:sz w:val="24"/>
          <w:szCs w:val="24"/>
        </w:rPr>
      </w:pPr>
      <w:r w:rsidDel="00000000" w:rsidR="00000000" w:rsidRPr="00000000">
        <w:rPr>
          <w:b w:val="1"/>
          <w:sz w:val="24"/>
          <w:szCs w:val="24"/>
          <w:rtl w:val="0"/>
        </w:rPr>
        <w:t xml:space="preserve">2 METODOLOGIA</w:t>
      </w:r>
      <w:r w:rsidDel="00000000" w:rsidR="00000000" w:rsidRPr="00000000">
        <w:rPr>
          <w:rtl w:val="0"/>
        </w:rPr>
      </w:r>
    </w:p>
    <w:p w:rsidR="00000000" w:rsidDel="00000000" w:rsidP="00000000" w:rsidRDefault="00000000" w:rsidRPr="00000000" w14:paraId="0000002F">
      <w:pPr>
        <w:spacing w:line="240" w:lineRule="auto"/>
        <w:ind w:firstLine="708.6614173228347"/>
        <w:rPr>
          <w:sz w:val="24"/>
          <w:szCs w:val="24"/>
        </w:rPr>
      </w:pPr>
      <w:r w:rsidDel="00000000" w:rsidR="00000000" w:rsidRPr="00000000">
        <w:rPr>
          <w:rtl w:val="0"/>
        </w:rPr>
      </w:r>
    </w:p>
    <w:p w:rsidR="00000000" w:rsidDel="00000000" w:rsidP="00000000" w:rsidRDefault="00000000" w:rsidRPr="00000000" w14:paraId="00000030">
      <w:pPr>
        <w:spacing w:line="240" w:lineRule="auto"/>
        <w:ind w:firstLine="708.6614173228347"/>
        <w:jc w:val="both"/>
        <w:rPr>
          <w:sz w:val="24"/>
          <w:szCs w:val="24"/>
        </w:rPr>
      </w:pPr>
      <w:r w:rsidDel="00000000" w:rsidR="00000000" w:rsidRPr="00000000">
        <w:rPr>
          <w:sz w:val="24"/>
          <w:szCs w:val="24"/>
          <w:rtl w:val="0"/>
        </w:rPr>
        <w:t xml:space="preserve">Para este estudo, foi conduzida uma revisão integrativa da literatura com abordagem qualitativa, seguindo uma metodologia estruturada em etapas. Inicialmente, foram definidos os critérios de inclusão e exclusão, as bases de dados consultadas e os parâmetros para a análise e interpretação dos estudos selecionados. O tema central da revisão foi: “Avanços no tratamento em crianças acometidas pela lipofuscinose ceroide neuronal – LCN”, tendo como questão norteadora: “Quais os avanços do tratamento em crianças acometidas pela lipofuscinose ceroide neuronal?”.</w:t>
      </w:r>
    </w:p>
    <w:p w:rsidR="00000000" w:rsidDel="00000000" w:rsidP="00000000" w:rsidRDefault="00000000" w:rsidRPr="00000000" w14:paraId="00000031">
      <w:pPr>
        <w:spacing w:line="240" w:lineRule="auto"/>
        <w:ind w:firstLine="708.6614173228347"/>
        <w:jc w:val="both"/>
        <w:rPr>
          <w:sz w:val="24"/>
          <w:szCs w:val="24"/>
        </w:rPr>
      </w:pPr>
      <w:r w:rsidDel="00000000" w:rsidR="00000000" w:rsidRPr="00000000">
        <w:rPr>
          <w:sz w:val="24"/>
          <w:szCs w:val="24"/>
          <w:rtl w:val="0"/>
        </w:rPr>
        <w:t xml:space="preserve">A seleção dos artigos seguem os seguintes critérios de inclusão: publicações disponíveis em bases de dados, no idioma inglês, e publicadas entre os anos de 2020 e 2025. Os descritores utilizados na busca foram: Doença de Batten. Lipofuscinosis Ceroidea Neuronal Infantil. CLN1. CLN2. CLN3. Foram excluídos artigos duplicados, dissertações, teses e os periódicos que não estavam alinhados com o tema principal.</w:t>
      </w:r>
    </w:p>
    <w:p w:rsidR="00000000" w:rsidDel="00000000" w:rsidP="00000000" w:rsidRDefault="00000000" w:rsidRPr="00000000" w14:paraId="00000032">
      <w:pPr>
        <w:spacing w:line="240" w:lineRule="auto"/>
        <w:ind w:firstLine="708.6614173228347"/>
        <w:jc w:val="both"/>
        <w:rPr>
          <w:sz w:val="24"/>
          <w:szCs w:val="24"/>
        </w:rPr>
      </w:pPr>
      <w:r w:rsidDel="00000000" w:rsidR="00000000" w:rsidRPr="00000000">
        <w:rPr>
          <w:sz w:val="24"/>
          <w:szCs w:val="24"/>
          <w:rtl w:val="0"/>
        </w:rPr>
        <w:t xml:space="preserve">Para a busca dos artigos, utilizou-se a base de dados do Pubmed e Google Acadêmico. A pesquisa inicial resultou em 16 artigos, dos quais 9 foram descartados com base nos critérios de inclusão e exclusão previamente definidos, restando 7 para uma análise mais aprofundada. Após a leitura integral dos textos, 2 estudos foram eliminados por não atenderem aos critérios de elegibilidade. Ao final do processo, foram incluídos 5 estudos para a análise final, os quais embasaram sobre a temática do trabalho.</w:t>
      </w:r>
    </w:p>
    <w:p w:rsidR="00000000" w:rsidDel="00000000" w:rsidP="00000000" w:rsidRDefault="00000000" w:rsidRPr="00000000" w14:paraId="00000033">
      <w:pPr>
        <w:spacing w:line="240" w:lineRule="auto"/>
        <w:ind w:left="0" w:firstLine="708.6614173228347"/>
        <w:jc w:val="both"/>
        <w:rPr>
          <w:sz w:val="24"/>
          <w:szCs w:val="24"/>
        </w:rPr>
      </w:pPr>
      <w:r w:rsidDel="00000000" w:rsidR="00000000" w:rsidRPr="00000000">
        <w:rPr>
          <w:sz w:val="24"/>
          <w:szCs w:val="24"/>
          <w:rtl w:val="0"/>
        </w:rPr>
        <w:t xml:space="preserve">A coleta de informações foi dividida em duas fases. Na fase inicial, foram registrados os dados de localização do artigo, incluindo o ano e o periódico em que foi publicado. Na fase seguinte, foram analisados os artigos com base em seus objetivos, metodologias utilizadas e resultados obtidos, organizando as conclusões conforme a relevância do tema abordado, considerando: autores, título, objetivo e principais achados.</w:t>
      </w:r>
    </w:p>
    <w:p w:rsidR="00000000" w:rsidDel="00000000" w:rsidP="00000000" w:rsidRDefault="00000000" w:rsidRPr="00000000" w14:paraId="00000034">
      <w:pPr>
        <w:spacing w:line="240" w:lineRule="auto"/>
        <w:ind w:left="-2" w:firstLine="0"/>
        <w:rPr>
          <w:sz w:val="24"/>
          <w:szCs w:val="24"/>
        </w:rPr>
      </w:pPr>
      <w:r w:rsidDel="00000000" w:rsidR="00000000" w:rsidRPr="00000000">
        <w:rPr>
          <w:rtl w:val="0"/>
        </w:rPr>
      </w:r>
    </w:p>
    <w:p w:rsidR="00000000" w:rsidDel="00000000" w:rsidP="00000000" w:rsidRDefault="00000000" w:rsidRPr="00000000" w14:paraId="00000035">
      <w:pPr>
        <w:spacing w:line="240" w:lineRule="auto"/>
        <w:ind w:left="-2" w:firstLine="0"/>
        <w:rPr>
          <w:b w:val="1"/>
          <w:sz w:val="24"/>
          <w:szCs w:val="24"/>
        </w:rPr>
      </w:pPr>
      <w:r w:rsidDel="00000000" w:rsidR="00000000" w:rsidRPr="00000000">
        <w:rPr>
          <w:b w:val="1"/>
          <w:sz w:val="24"/>
          <w:szCs w:val="24"/>
          <w:rtl w:val="0"/>
        </w:rPr>
        <w:t xml:space="preserve">3 RESULTADOS E DISCUSSÕES</w:t>
        <w:tab/>
        <w:tab/>
      </w:r>
    </w:p>
    <w:p w:rsidR="00000000" w:rsidDel="00000000" w:rsidP="00000000" w:rsidRDefault="00000000" w:rsidRPr="00000000" w14:paraId="00000036">
      <w:pPr>
        <w:spacing w:line="240" w:lineRule="auto"/>
        <w:ind w:hanging="2"/>
        <w:rPr>
          <w:sz w:val="24"/>
          <w:szCs w:val="24"/>
        </w:rPr>
      </w:pPr>
      <w:r w:rsidDel="00000000" w:rsidR="00000000" w:rsidRPr="00000000">
        <w:rPr>
          <w:rtl w:val="0"/>
        </w:rPr>
      </w:r>
    </w:p>
    <w:p w:rsidR="00000000" w:rsidDel="00000000" w:rsidP="00000000" w:rsidRDefault="00000000" w:rsidRPr="00000000" w14:paraId="00000037">
      <w:pPr>
        <w:spacing w:line="240" w:lineRule="auto"/>
        <w:ind w:hanging="2"/>
        <w:rPr>
          <w:rFonts w:ascii="Times New Roman" w:cs="Times New Roman" w:eastAsia="Times New Roman" w:hAnsi="Times New Roman"/>
          <w:b w:val="1"/>
          <w:sz w:val="24"/>
          <w:szCs w:val="24"/>
        </w:rPr>
      </w:pPr>
      <w:r w:rsidDel="00000000" w:rsidR="00000000" w:rsidRPr="00000000">
        <w:rPr>
          <w:b w:val="1"/>
          <w:sz w:val="24"/>
          <w:szCs w:val="24"/>
          <w:rtl w:val="0"/>
        </w:rPr>
        <w:t xml:space="preserve">Tabela 2 – </w:t>
      </w:r>
      <w:r w:rsidDel="00000000" w:rsidR="00000000" w:rsidRPr="00000000">
        <w:rPr>
          <w:sz w:val="24"/>
          <w:szCs w:val="24"/>
          <w:rtl w:val="0"/>
        </w:rPr>
        <w:t xml:space="preserve">Estruturação dos artigos que compuseram o estudo sobre a LCN, 2025.</w:t>
      </w:r>
      <w:r w:rsidDel="00000000" w:rsidR="00000000" w:rsidRPr="00000000">
        <w:rPr>
          <w:rtl w:val="0"/>
        </w:rPr>
      </w:r>
    </w:p>
    <w:tbl>
      <w:tblPr>
        <w:tblStyle w:val="Table2"/>
        <w:tblW w:w="9375.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055"/>
        <w:gridCol w:w="2265"/>
        <w:gridCol w:w="3540"/>
        <w:tblGridChange w:id="0">
          <w:tblGrid>
            <w:gridCol w:w="1515"/>
            <w:gridCol w:w="2055"/>
            <w:gridCol w:w="2265"/>
            <w:gridCol w:w="3540"/>
          </w:tblGrid>
        </w:tblGridChange>
      </w:tblGrid>
      <w:tr>
        <w:trPr>
          <w:cantSplit w:val="0"/>
          <w:trHeight w:val="501.9609385013580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b w:val="1"/>
                <w:sz w:val="20"/>
                <w:szCs w:val="20"/>
              </w:rPr>
            </w:pPr>
            <w:r w:rsidDel="00000000" w:rsidR="00000000" w:rsidRPr="00000000">
              <w:rPr>
                <w:b w:val="1"/>
                <w:sz w:val="20"/>
                <w:szCs w:val="20"/>
                <w:rtl w:val="0"/>
              </w:rPr>
              <w:t xml:space="preserve">Autor(es) / Ano de publicação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b w:val="1"/>
                <w:sz w:val="20"/>
                <w:szCs w:val="20"/>
              </w:rPr>
            </w:pPr>
            <w:r w:rsidDel="00000000" w:rsidR="00000000" w:rsidRPr="00000000">
              <w:rPr>
                <w:b w:val="1"/>
                <w:sz w:val="20"/>
                <w:szCs w:val="20"/>
                <w:rtl w:val="0"/>
              </w:rPr>
              <w:t xml:space="preserve">Título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b w:val="1"/>
                <w:sz w:val="20"/>
                <w:szCs w:val="20"/>
              </w:rPr>
            </w:pPr>
            <w:r w:rsidDel="00000000" w:rsidR="00000000" w:rsidRPr="00000000">
              <w:rPr>
                <w:b w:val="1"/>
                <w:sz w:val="20"/>
                <w:szCs w:val="20"/>
                <w:rtl w:val="0"/>
              </w:rPr>
              <w:t xml:space="preserve">Objetivos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keepNext w:val="1"/>
              <w:widowControl w:val="0"/>
              <w:spacing w:line="240" w:lineRule="auto"/>
              <w:jc w:val="center"/>
              <w:rPr>
                <w:b w:val="1"/>
                <w:sz w:val="20"/>
                <w:szCs w:val="20"/>
              </w:rPr>
            </w:pPr>
            <w:r w:rsidDel="00000000" w:rsidR="00000000" w:rsidRPr="00000000">
              <w:rPr>
                <w:b w:val="1"/>
                <w:sz w:val="20"/>
                <w:szCs w:val="20"/>
                <w:rtl w:val="0"/>
              </w:rPr>
              <w:t xml:space="preserve">Principais Resultados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sz w:val="20"/>
                <w:szCs w:val="20"/>
              </w:rPr>
            </w:pPr>
            <w:r w:rsidDel="00000000" w:rsidR="00000000" w:rsidRPr="00000000">
              <w:rPr>
                <w:sz w:val="20"/>
                <w:szCs w:val="20"/>
                <w:rtl w:val="0"/>
              </w:rPr>
              <w:t xml:space="preserve">Bose A; Tripathy K., 2025</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sz w:val="20"/>
                <w:szCs w:val="20"/>
              </w:rPr>
            </w:pPr>
            <w:r w:rsidDel="00000000" w:rsidR="00000000" w:rsidRPr="00000000">
              <w:rPr>
                <w:sz w:val="20"/>
                <w:szCs w:val="20"/>
                <w:rtl w:val="0"/>
              </w:rPr>
              <w:t xml:space="preserve">Doença de Batten (Lipofuscinose Ceróide Neuronal Juvenil)</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center"/>
              <w:rPr>
                <w:sz w:val="20"/>
                <w:szCs w:val="20"/>
              </w:rPr>
            </w:pPr>
            <w:r w:rsidDel="00000000" w:rsidR="00000000" w:rsidRPr="00000000">
              <w:rPr>
                <w:sz w:val="20"/>
                <w:szCs w:val="20"/>
                <w:rtl w:val="0"/>
              </w:rPr>
              <w:t xml:space="preserve">Identificar a etiologia e epidemiologia da Doença de Batten.</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center"/>
              <w:rPr>
                <w:sz w:val="20"/>
                <w:szCs w:val="20"/>
              </w:rPr>
            </w:pPr>
            <w:r w:rsidDel="00000000" w:rsidR="00000000" w:rsidRPr="00000000">
              <w:rPr>
                <w:sz w:val="20"/>
                <w:szCs w:val="20"/>
                <w:rtl w:val="0"/>
              </w:rPr>
              <w:t xml:space="preserve">Esta atividade descreve a epidemiologia, genética, apresentação clínica e gerenciamento de JNCL, onde destaca também o papel de uma equipe de saúde interprofissional no suporte e gerenciamento de pacientes com esta condição complexa.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sz w:val="20"/>
                <w:szCs w:val="20"/>
              </w:rPr>
            </w:pPr>
            <w:r w:rsidDel="00000000" w:rsidR="00000000" w:rsidRPr="00000000">
              <w:rPr>
                <w:sz w:val="20"/>
                <w:szCs w:val="20"/>
                <w:rtl w:val="0"/>
              </w:rPr>
              <w:t xml:space="preserve">Simonati; Williams</w:t>
            </w:r>
            <w:r w:rsidDel="00000000" w:rsidR="00000000" w:rsidRPr="00000000">
              <w:rPr>
                <w:i w:val="1"/>
                <w:sz w:val="20"/>
                <w:szCs w:val="20"/>
                <w:rtl w:val="0"/>
              </w:rPr>
              <w:t xml:space="preserve">.,</w:t>
            </w:r>
            <w:r w:rsidDel="00000000" w:rsidR="00000000" w:rsidRPr="00000000">
              <w:rPr>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sz w:val="20"/>
                <w:szCs w:val="20"/>
              </w:rPr>
            </w:pPr>
            <w:r w:rsidDel="00000000" w:rsidR="00000000" w:rsidRPr="00000000">
              <w:rPr>
                <w:sz w:val="20"/>
                <w:szCs w:val="20"/>
                <w:rtl w:val="0"/>
              </w:rPr>
              <w:t xml:space="preserve">Lipofuscinose Ceroide Neuronal: A Abordagem Multifacetada das Questões Clínicas, uma Visão Geral</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sz w:val="20"/>
                <w:szCs w:val="20"/>
              </w:rPr>
            </w:pPr>
            <w:r w:rsidDel="00000000" w:rsidR="00000000" w:rsidRPr="00000000">
              <w:rPr>
                <w:sz w:val="20"/>
                <w:szCs w:val="20"/>
                <w:rtl w:val="0"/>
              </w:rPr>
              <w:t xml:space="preserve">Resumir o estado da arte atual no campo da Lipofuscinose Ceróide Neuronal (NCL) infantil, um grupo de distúrbios neurodegenerativos raros.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b w:val="1"/>
                <w:sz w:val="20"/>
                <w:szCs w:val="20"/>
              </w:rPr>
            </w:pPr>
            <w:r w:rsidDel="00000000" w:rsidR="00000000" w:rsidRPr="00000000">
              <w:rPr>
                <w:sz w:val="20"/>
                <w:szCs w:val="20"/>
                <w:rtl w:val="0"/>
              </w:rPr>
              <w:t xml:space="preserve">O estudo destaca a importância dos cuidados paliativos e dos tratamentos sintomáticos que continuam sendo as principais intervenções terapêuticas.</w:t>
            </w:r>
            <w:r w:rsidDel="00000000" w:rsidR="00000000" w:rsidRPr="00000000">
              <w:rPr>
                <w:rtl w:val="0"/>
              </w:rPr>
            </w:r>
          </w:p>
        </w:tc>
      </w:tr>
      <w:tr>
        <w:trPr>
          <w:cantSplit w:val="0"/>
          <w:trHeight w:val="16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sz w:val="20"/>
                <w:szCs w:val="20"/>
              </w:rPr>
            </w:pPr>
            <w:r w:rsidDel="00000000" w:rsidR="00000000" w:rsidRPr="00000000">
              <w:rPr>
                <w:sz w:val="20"/>
                <w:szCs w:val="20"/>
                <w:rtl w:val="0"/>
              </w:rPr>
              <w:t xml:space="preserve">Reddy; Brahmbhatt H</w:t>
            </w:r>
            <w:r w:rsidDel="00000000" w:rsidR="00000000" w:rsidRPr="00000000">
              <w:rPr>
                <w:i w:val="1"/>
                <w:sz w:val="20"/>
                <w:szCs w:val="20"/>
                <w:rtl w:val="0"/>
              </w:rPr>
              <w:t xml:space="preserve">.,</w:t>
            </w:r>
            <w:r w:rsidDel="00000000" w:rsidR="00000000" w:rsidRPr="00000000">
              <w:rPr>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45">
            <w:pPr>
              <w:pStyle w:val="Heading1"/>
              <w:keepNext w:val="0"/>
              <w:keepLines w:val="0"/>
              <w:widowControl w:val="0"/>
              <w:shd w:fill="ffffff" w:val="clear"/>
              <w:spacing w:before="0" w:line="240" w:lineRule="auto"/>
              <w:jc w:val="center"/>
              <w:rPr>
                <w:color w:val="212121"/>
                <w:sz w:val="20"/>
                <w:szCs w:val="20"/>
              </w:rPr>
            </w:pPr>
            <w:bookmarkStart w:colFirst="0" w:colLast="0" w:name="_heading=h.xb0gx2wmz0co" w:id="0"/>
            <w:bookmarkEnd w:id="0"/>
            <w:r w:rsidDel="00000000" w:rsidR="00000000" w:rsidRPr="00000000">
              <w:rPr>
                <w:color w:val="212121"/>
                <w:sz w:val="20"/>
                <w:szCs w:val="20"/>
                <w:rtl w:val="0"/>
              </w:rPr>
              <w:t xml:space="preserve">Aplicação de anticonvulsivantes, antiepilépticos e vitamina C no tratamento e análise da doença de Batten</w:t>
            </w:r>
          </w:p>
          <w:p w:rsidR="00000000" w:rsidDel="00000000" w:rsidP="00000000" w:rsidRDefault="00000000" w:rsidRPr="00000000" w14:paraId="0000004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sz w:val="20"/>
                <w:szCs w:val="20"/>
              </w:rPr>
            </w:pPr>
            <w:r w:rsidDel="00000000" w:rsidR="00000000" w:rsidRPr="00000000">
              <w:rPr>
                <w:color w:val="1b1b1b"/>
                <w:sz w:val="20"/>
                <w:szCs w:val="20"/>
                <w:rtl w:val="0"/>
              </w:rPr>
              <w:t xml:space="preserve">Explorar os efeitos de anticonvulsivantes, medicamentos antiepilépticos e vitamina C nos sintomas da doença de Batten.</w:t>
            </w: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sz w:val="20"/>
                <w:szCs w:val="20"/>
              </w:rPr>
            </w:pPr>
            <w:r w:rsidDel="00000000" w:rsidR="00000000" w:rsidRPr="00000000">
              <w:rPr>
                <w:sz w:val="20"/>
                <w:szCs w:val="20"/>
                <w:rtl w:val="0"/>
              </w:rPr>
              <w:t xml:space="preserve">Esse estudo explorou </w:t>
            </w:r>
            <w:r w:rsidDel="00000000" w:rsidR="00000000" w:rsidRPr="00000000">
              <w:rPr>
                <w:color w:val="1b1b1b"/>
                <w:sz w:val="20"/>
                <w:szCs w:val="20"/>
                <w:rtl w:val="0"/>
              </w:rPr>
              <w:t xml:space="preserve">a aplicação e a eficácia de medicamentos antiepilépticos, anticonvulsivantes e vitamina C em vários cenários para tratar a doença de Batten.</w:t>
            </w:r>
            <w:r w:rsidDel="00000000" w:rsidR="00000000" w:rsidRPr="00000000">
              <w:rPr>
                <w:rtl w:val="0"/>
              </w:rPr>
            </w:r>
          </w:p>
        </w:tc>
      </w:tr>
      <w:tr>
        <w:trPr>
          <w:cantSplit w:val="0"/>
          <w:trHeight w:val="1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sz w:val="20"/>
                <w:szCs w:val="20"/>
              </w:rPr>
            </w:pPr>
            <w:r w:rsidDel="00000000" w:rsidR="00000000" w:rsidRPr="00000000">
              <w:rPr>
                <w:sz w:val="20"/>
                <w:szCs w:val="20"/>
                <w:rtl w:val="0"/>
              </w:rPr>
              <w:t xml:space="preserve">Dev N. </w:t>
            </w:r>
            <w:r w:rsidDel="00000000" w:rsidR="00000000" w:rsidRPr="00000000">
              <w:rPr>
                <w:i w:val="1"/>
                <w:sz w:val="20"/>
                <w:szCs w:val="20"/>
                <w:rtl w:val="0"/>
              </w:rPr>
              <w:t xml:space="preserve">et al.,</w:t>
            </w:r>
            <w:r w:rsidDel="00000000" w:rsidR="00000000" w:rsidRPr="00000000">
              <w:rPr>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4A">
            <w:pPr>
              <w:pStyle w:val="Heading1"/>
              <w:keepNext w:val="0"/>
              <w:keepLines w:val="0"/>
              <w:widowControl w:val="0"/>
              <w:shd w:fill="ffffff" w:val="clear"/>
              <w:spacing w:before="0" w:line="240" w:lineRule="auto"/>
              <w:jc w:val="center"/>
              <w:rPr>
                <w:color w:val="212121"/>
                <w:sz w:val="20"/>
                <w:szCs w:val="20"/>
              </w:rPr>
            </w:pPr>
            <w:bookmarkStart w:colFirst="0" w:colLast="0" w:name="_heading=h.48vz61jyhjyj" w:id="1"/>
            <w:bookmarkEnd w:id="1"/>
            <w:r w:rsidDel="00000000" w:rsidR="00000000" w:rsidRPr="00000000">
              <w:rPr>
                <w:color w:val="212121"/>
                <w:sz w:val="20"/>
                <w:szCs w:val="20"/>
                <w:rtl w:val="0"/>
              </w:rPr>
              <w:t xml:space="preserve">Doença de Batten: a batalha de um transtorno convulsivo pelo diagnóstico</w:t>
            </w:r>
          </w:p>
          <w:p w:rsidR="00000000" w:rsidDel="00000000" w:rsidP="00000000" w:rsidRDefault="00000000" w:rsidRPr="00000000" w14:paraId="0000004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sz w:val="20"/>
                <w:szCs w:val="20"/>
              </w:rPr>
            </w:pPr>
            <w:r w:rsidDel="00000000" w:rsidR="00000000" w:rsidRPr="00000000">
              <w:rPr>
                <w:sz w:val="20"/>
                <w:szCs w:val="20"/>
                <w:rtl w:val="0"/>
              </w:rPr>
              <w:t xml:space="preserve">Relatar o primeiro caso de JNCL com apenas convulsões como sintomatologia.</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sz w:val="20"/>
                <w:szCs w:val="20"/>
              </w:rPr>
            </w:pPr>
            <w:r w:rsidDel="00000000" w:rsidR="00000000" w:rsidRPr="00000000">
              <w:rPr>
                <w:sz w:val="20"/>
                <w:szCs w:val="20"/>
                <w:rtl w:val="0"/>
              </w:rPr>
              <w:t xml:space="preserve">O estudo relata o caso de uma menina na 8° série, onde a mesma apresentou convulsões e alterações em RM, que veio a falecer semanas depois por recusa da família em fazer estudos genéticos para investigar ainda mais as causas dessas convulsões.</w:t>
            </w:r>
          </w:p>
        </w:tc>
      </w:tr>
      <w:tr>
        <w:trPr>
          <w:cantSplit w:val="0"/>
          <w:trHeight w:val="2039.8242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sz w:val="20"/>
                <w:szCs w:val="20"/>
              </w:rPr>
            </w:pPr>
            <w:r w:rsidDel="00000000" w:rsidR="00000000" w:rsidRPr="00000000">
              <w:rPr>
                <w:sz w:val="20"/>
                <w:szCs w:val="20"/>
                <w:rtl w:val="0"/>
              </w:rPr>
              <w:t xml:space="preserve">Masten; Mink; Augustine., 2020</w:t>
            </w:r>
          </w:p>
        </w:tc>
        <w:tc>
          <w:tcPr>
            <w:shd w:fill="auto" w:val="clear"/>
            <w:tcMar>
              <w:top w:w="100.0" w:type="dxa"/>
              <w:left w:w="100.0" w:type="dxa"/>
              <w:bottom w:w="100.0" w:type="dxa"/>
              <w:right w:w="100.0" w:type="dxa"/>
            </w:tcMar>
          </w:tcPr>
          <w:p w:rsidR="00000000" w:rsidDel="00000000" w:rsidP="00000000" w:rsidRDefault="00000000" w:rsidRPr="00000000" w14:paraId="0000004F">
            <w:pPr>
              <w:pStyle w:val="Heading1"/>
              <w:keepNext w:val="0"/>
              <w:keepLines w:val="0"/>
              <w:widowControl w:val="0"/>
              <w:shd w:fill="ffffff" w:val="clear"/>
              <w:spacing w:before="0" w:line="240" w:lineRule="auto"/>
              <w:jc w:val="center"/>
              <w:rPr>
                <w:color w:val="212121"/>
                <w:sz w:val="20"/>
                <w:szCs w:val="20"/>
              </w:rPr>
            </w:pPr>
            <w:bookmarkStart w:colFirst="0" w:colLast="0" w:name="_heading=h.wi5wco4p4rs7" w:id="2"/>
            <w:bookmarkEnd w:id="2"/>
            <w:r w:rsidDel="00000000" w:rsidR="00000000" w:rsidRPr="00000000">
              <w:rPr>
                <w:color w:val="212121"/>
                <w:sz w:val="20"/>
                <w:szCs w:val="20"/>
                <w:rtl w:val="0"/>
              </w:rPr>
              <w:t xml:space="preserve">Doença de Batten: uma atualização de especialistas sobre agentes em ensaios pré-clínicos e clínicos</w:t>
            </w:r>
          </w:p>
          <w:p w:rsidR="00000000" w:rsidDel="00000000" w:rsidP="00000000" w:rsidRDefault="00000000" w:rsidRPr="00000000" w14:paraId="0000005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sz w:val="20"/>
                <w:szCs w:val="20"/>
              </w:rPr>
            </w:pPr>
            <w:r w:rsidDel="00000000" w:rsidR="00000000" w:rsidRPr="00000000">
              <w:rPr>
                <w:sz w:val="20"/>
                <w:szCs w:val="20"/>
                <w:rtl w:val="0"/>
              </w:rPr>
              <w:t xml:space="preserve">Evidenciar atualizações de especialistas em neurologia sobre agentes em ensaios pré-clínicos e clínicos da Doença de Batten.  </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sz w:val="20"/>
                <w:szCs w:val="20"/>
              </w:rPr>
            </w:pPr>
            <w:r w:rsidDel="00000000" w:rsidR="00000000" w:rsidRPr="00000000">
              <w:rPr>
                <w:sz w:val="20"/>
                <w:szCs w:val="20"/>
                <w:rtl w:val="0"/>
              </w:rPr>
              <w:t xml:space="preserve">O estudo mostra que </w:t>
            </w:r>
            <w:r w:rsidDel="00000000" w:rsidR="00000000" w:rsidRPr="00000000">
              <w:rPr>
                <w:color w:val="1b1b1b"/>
                <w:sz w:val="20"/>
                <w:szCs w:val="20"/>
                <w:rtl w:val="0"/>
              </w:rPr>
              <w:t xml:space="preserve">a maioria das NCLs não tem terapias modificadoras da doença aprovadas, mas que, atualmente, existem várias terapias em várias fases de desenvolvimento, incluindo moléculas pequenas, moléculas grandes e medicamentos genéticos.</w:t>
            </w:r>
            <w:r w:rsidDel="00000000" w:rsidR="00000000" w:rsidRPr="00000000">
              <w:rPr>
                <w:rtl w:val="0"/>
              </w:rPr>
            </w:r>
          </w:p>
        </w:tc>
      </w:tr>
    </w:tbl>
    <w:p w:rsidR="00000000" w:rsidDel="00000000" w:rsidP="00000000" w:rsidRDefault="00000000" w:rsidRPr="00000000" w14:paraId="00000053">
      <w:pPr>
        <w:spacing w:line="240" w:lineRule="auto"/>
        <w:ind w:hanging="2"/>
        <w:rPr>
          <w:sz w:val="24"/>
          <w:szCs w:val="24"/>
        </w:rPr>
      </w:pPr>
      <w:r w:rsidDel="00000000" w:rsidR="00000000" w:rsidRPr="00000000">
        <w:rPr>
          <w:sz w:val="20"/>
          <w:szCs w:val="20"/>
          <w:rtl w:val="0"/>
        </w:rPr>
        <w:t xml:space="preserve">Fonte: Autoria própria, 2025.</w:t>
      </w:r>
      <w:r w:rsidDel="00000000" w:rsidR="00000000" w:rsidRPr="00000000">
        <w:rPr>
          <w:rtl w:val="0"/>
        </w:rPr>
      </w:r>
    </w:p>
    <w:p w:rsidR="00000000" w:rsidDel="00000000" w:rsidP="00000000" w:rsidRDefault="00000000" w:rsidRPr="00000000" w14:paraId="00000054">
      <w:pPr>
        <w:spacing w:line="240" w:lineRule="auto"/>
        <w:ind w:hanging="2"/>
        <w:rPr>
          <w:rFonts w:ascii="Times New Roman" w:cs="Times New Roman" w:eastAsia="Times New Roman" w:hAnsi="Times New Roman"/>
          <w:sz w:val="24"/>
          <w:szCs w:val="24"/>
        </w:rPr>
      </w:pPr>
      <w:r w:rsidDel="00000000" w:rsidR="00000000" w:rsidRPr="00000000">
        <w:rPr>
          <w:b w:val="1"/>
          <w:sz w:val="24"/>
          <w:szCs w:val="24"/>
          <w:rtl w:val="0"/>
        </w:rPr>
        <w:tab/>
        <w:tab/>
      </w:r>
      <w:r w:rsidDel="00000000" w:rsidR="00000000" w:rsidRPr="00000000">
        <w:rPr>
          <w:rtl w:val="0"/>
        </w:rPr>
      </w:r>
    </w:p>
    <w:p w:rsidR="00000000" w:rsidDel="00000000" w:rsidP="00000000" w:rsidRDefault="00000000" w:rsidRPr="00000000" w14:paraId="00000055">
      <w:pPr>
        <w:spacing w:line="240" w:lineRule="auto"/>
        <w:ind w:left="0" w:firstLine="708.6614173228347"/>
        <w:jc w:val="both"/>
        <w:rPr>
          <w:sz w:val="24"/>
          <w:szCs w:val="24"/>
        </w:rPr>
      </w:pPr>
      <w:r w:rsidDel="00000000" w:rsidR="00000000" w:rsidRPr="00000000">
        <w:rPr>
          <w:color w:val="1b1b1b"/>
          <w:sz w:val="24"/>
          <w:szCs w:val="24"/>
          <w:rtl w:val="0"/>
        </w:rPr>
        <w:t xml:space="preserve">A doença de Batten não tem cura e por se tratar de uma doença de difícil tratamento pela dificuldade em acessar o sistema nervoso central, (Reddy; Brahmbhatt., 2022) evidenciaram em seu estudo o uso de anticonvulsivantes, antiepilépticos e vitamina C para o tratamento da LCN.</w:t>
      </w:r>
      <w:r w:rsidDel="00000000" w:rsidR="00000000" w:rsidRPr="00000000">
        <w:rPr>
          <w:rtl w:val="0"/>
        </w:rPr>
      </w:r>
    </w:p>
    <w:p w:rsidR="00000000" w:rsidDel="00000000" w:rsidP="00000000" w:rsidRDefault="00000000" w:rsidRPr="00000000" w14:paraId="00000056">
      <w:pPr>
        <w:spacing w:line="240" w:lineRule="auto"/>
        <w:ind w:left="0" w:firstLine="708.6614173228347"/>
        <w:jc w:val="both"/>
        <w:rPr>
          <w:sz w:val="24"/>
          <w:szCs w:val="24"/>
        </w:rPr>
      </w:pPr>
      <w:r w:rsidDel="00000000" w:rsidR="00000000" w:rsidRPr="00000000">
        <w:rPr>
          <w:color w:val="1b1b1b"/>
          <w:sz w:val="24"/>
          <w:szCs w:val="24"/>
          <w:rtl w:val="0"/>
        </w:rPr>
        <w:t xml:space="preserve">Os medicamentos anticonvulsivantes diminuem os sinais no cérebro que aumentam a probabilidade de convulsões e também ajudam a reduzir a frequência e a gravidade das convulsões, caso ocorram. Eles também evitam que as convulsões se espalhem pelo cérebro por meio do bloqueio dos canais de sódio. Os nervos podem ser danificados por uma ampla variedade de fatores, como lesões ou exposição a neurotoxinas. Os anticonvulsivantes interferem na transmissão hiperativa dos sinais de dor enviados pelos nervos danificados, aliviando a dor do paciente. O papel geral dos anticonvulsivantes é atuar como estabilizador do humor e tratar a dor neuropática do paciente (Reddy; Brahmbhatt., 2022).</w:t>
      </w:r>
      <w:r w:rsidDel="00000000" w:rsidR="00000000" w:rsidRPr="00000000">
        <w:rPr>
          <w:sz w:val="24"/>
          <w:szCs w:val="24"/>
          <w:rtl w:val="0"/>
        </w:rPr>
        <w:t xml:space="preserve"> </w:t>
      </w:r>
    </w:p>
    <w:p w:rsidR="00000000" w:rsidDel="00000000" w:rsidP="00000000" w:rsidRDefault="00000000" w:rsidRPr="00000000" w14:paraId="00000057">
      <w:pPr>
        <w:spacing w:line="240" w:lineRule="auto"/>
        <w:ind w:left="0" w:firstLine="708.6614173228347"/>
        <w:jc w:val="both"/>
        <w:rPr>
          <w:sz w:val="24"/>
          <w:szCs w:val="24"/>
        </w:rPr>
      </w:pPr>
      <w:r w:rsidDel="00000000" w:rsidR="00000000" w:rsidRPr="00000000">
        <w:rPr>
          <w:color w:val="1b1b1b"/>
          <w:sz w:val="24"/>
          <w:szCs w:val="24"/>
          <w:rtl w:val="0"/>
        </w:rPr>
        <w:t xml:space="preserve">Os medicamentos antiepilépticos são outro método de tratamento potencial para a doença de Batten. Os medicamentos antiepilépticos também funcionam para interromper convulsões e são frequentemente agrupados com anticonvulsivantes. Os medicamentos antiepilépticos afetam a atividade elétrica nos neurônios alterando as concentrações de íons na membrana celular. Eles também são conhecidos por alterar a transmissão química entre os neurônios, afetando os neurotransmissores na sinapse. Diz-se que esses medicamentos ajudam a controlar as convulsões em sete em cada 10 pessoas (Kornberg A., 2022).</w:t>
      </w:r>
      <w:r w:rsidDel="00000000" w:rsidR="00000000" w:rsidRPr="00000000">
        <w:rPr>
          <w:sz w:val="24"/>
          <w:szCs w:val="24"/>
          <w:rtl w:val="0"/>
        </w:rPr>
        <w:t xml:space="preserve"> </w:t>
      </w:r>
    </w:p>
    <w:p w:rsidR="00000000" w:rsidDel="00000000" w:rsidP="00000000" w:rsidRDefault="00000000" w:rsidRPr="00000000" w14:paraId="00000058">
      <w:pPr>
        <w:spacing w:line="240" w:lineRule="auto"/>
        <w:ind w:left="0" w:firstLine="708.6614173228347"/>
        <w:jc w:val="both"/>
        <w:rPr>
          <w:sz w:val="24"/>
          <w:szCs w:val="24"/>
        </w:rPr>
      </w:pPr>
      <w:r w:rsidDel="00000000" w:rsidR="00000000" w:rsidRPr="00000000">
        <w:rPr>
          <w:color w:val="1b1b1b"/>
          <w:sz w:val="24"/>
          <w:szCs w:val="24"/>
          <w:rtl w:val="0"/>
        </w:rPr>
        <w:t xml:space="preserve">A vitamina C também é uma candidata potencial para o tratamento da doença de Batten, pois a vitamina C está envolvida na fisiologia do sistema nervoso, incluindo o suporte e a estrutura dos neurônios (Figueroa-Mendéz; Rivas-Arancibia., 2015). Esta é uma molécula encontrada em muitos alimentos e é notada como um componente essencial da produção enzimática de alguns neurotransmissores. A vitamina C auxilia especificamente nos processos de diferenciação, maturação e sobrevivência neuronal. A vitamina C também é considerada um antioxidante crítico no cérebro (Lv Y. </w:t>
      </w:r>
      <w:r w:rsidDel="00000000" w:rsidR="00000000" w:rsidRPr="00000000">
        <w:rPr>
          <w:i w:val="1"/>
          <w:color w:val="1b1b1b"/>
          <w:sz w:val="24"/>
          <w:szCs w:val="24"/>
          <w:rtl w:val="0"/>
        </w:rPr>
        <w:t xml:space="preserve">et al</w:t>
      </w:r>
      <w:r w:rsidDel="00000000" w:rsidR="00000000" w:rsidRPr="00000000">
        <w:rPr>
          <w:color w:val="1b1b1b"/>
          <w:sz w:val="24"/>
          <w:szCs w:val="24"/>
          <w:rtl w:val="0"/>
        </w:rPr>
        <w:t xml:space="preserve">., 2018). Muitos distúrbios neurológicos, incluindo a doença de Batten, são conhecidos pela criação excessiva de radicais livres, e a maior concentração de vitamina C é normalmente encontrada no cérebro e nos tecidos neuroendócrinos.</w:t>
      </w:r>
      <w:r w:rsidDel="00000000" w:rsidR="00000000" w:rsidRPr="00000000">
        <w:rPr>
          <w:sz w:val="24"/>
          <w:szCs w:val="24"/>
          <w:rtl w:val="0"/>
        </w:rPr>
        <w:t xml:space="preserve"> </w:t>
      </w:r>
      <w:r w:rsidDel="00000000" w:rsidR="00000000" w:rsidRPr="00000000">
        <w:rPr>
          <w:color w:val="1b1b1b"/>
          <w:sz w:val="24"/>
          <w:szCs w:val="24"/>
          <w:rtl w:val="0"/>
        </w:rPr>
        <w:t xml:space="preserve">Não há medicamentos genéticos aprovados atualmente para o tratamento de qualquer NCL, mas o  </w:t>
      </w:r>
      <w:r w:rsidDel="00000000" w:rsidR="00000000" w:rsidRPr="00000000">
        <w:rPr>
          <w:sz w:val="24"/>
          <w:szCs w:val="24"/>
          <w:rtl w:val="0"/>
        </w:rPr>
        <w:t xml:space="preserve">único tratamento atualmente aprovado pela UFDA especificamente para tratar a doença de Batten é a cerliponase alfa, uma terapia de reposição enzimática projetada para retardar a perda da capacidade de andar em crianças com NCL infantil tardio, CLN2 (Markham A., 2017).</w:t>
      </w:r>
    </w:p>
    <w:p w:rsidR="00000000" w:rsidDel="00000000" w:rsidP="00000000" w:rsidRDefault="00000000" w:rsidRPr="00000000" w14:paraId="00000059">
      <w:pPr>
        <w:spacing w:line="240" w:lineRule="auto"/>
        <w:ind w:left="0" w:firstLine="708.6614173228347"/>
        <w:jc w:val="both"/>
        <w:rPr>
          <w:sz w:val="24"/>
          <w:szCs w:val="24"/>
        </w:rPr>
      </w:pPr>
      <w:r w:rsidDel="00000000" w:rsidR="00000000" w:rsidRPr="00000000">
        <w:rPr>
          <w:sz w:val="24"/>
          <w:szCs w:val="24"/>
          <w:rtl w:val="0"/>
        </w:rPr>
        <w:t xml:space="preserve">Assim sendo, o presente estudo mostra que ainda há o desenvolvimento, ensaios clínicos e outros métodos para a Doença de Batten. Não descartando avanços futuros quanto para com o  prognóstico da doença, pois o uso de medicamentos como citados no texto fazem-se como um avanço para a diminuição dos sinais e sintomas da doença, melhorar a qualidade de vida, mas não como cura. Outrossim, o estudo teve como limitações a disponibilização de referências atualizadas.</w:t>
      </w:r>
    </w:p>
    <w:p w:rsidR="00000000" w:rsidDel="00000000" w:rsidP="00000000" w:rsidRDefault="00000000" w:rsidRPr="00000000" w14:paraId="0000005A">
      <w:pPr>
        <w:spacing w:line="24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5B">
      <w:pPr>
        <w:spacing w:line="240" w:lineRule="auto"/>
        <w:ind w:hanging="2"/>
        <w:rPr>
          <w:sz w:val="24"/>
          <w:szCs w:val="24"/>
        </w:rPr>
      </w:pPr>
      <w:r w:rsidDel="00000000" w:rsidR="00000000" w:rsidRPr="00000000">
        <w:rPr>
          <w:b w:val="1"/>
          <w:sz w:val="24"/>
          <w:szCs w:val="24"/>
          <w:rtl w:val="0"/>
        </w:rPr>
        <w:t xml:space="preserve">4 CONCLUSÃO</w:t>
      </w:r>
      <w:r w:rsidDel="00000000" w:rsidR="00000000" w:rsidRPr="00000000">
        <w:rPr>
          <w:rtl w:val="0"/>
        </w:rPr>
      </w:r>
    </w:p>
    <w:p w:rsidR="00000000" w:rsidDel="00000000" w:rsidP="00000000" w:rsidRDefault="00000000" w:rsidRPr="00000000" w14:paraId="0000005C">
      <w:pPr>
        <w:spacing w:line="240" w:lineRule="auto"/>
        <w:ind w:hanging="2"/>
        <w:rPr>
          <w:sz w:val="24"/>
          <w:szCs w:val="24"/>
        </w:rPr>
      </w:pPr>
      <w:r w:rsidDel="00000000" w:rsidR="00000000" w:rsidRPr="00000000">
        <w:rPr>
          <w:rtl w:val="0"/>
        </w:rPr>
      </w:r>
    </w:p>
    <w:p w:rsidR="00000000" w:rsidDel="00000000" w:rsidP="00000000" w:rsidRDefault="00000000" w:rsidRPr="00000000" w14:paraId="0000005D">
      <w:pPr>
        <w:spacing w:line="240" w:lineRule="auto"/>
        <w:ind w:firstLine="708.6614173228347"/>
        <w:jc w:val="both"/>
        <w:rPr>
          <w:sz w:val="24"/>
          <w:szCs w:val="24"/>
        </w:rPr>
      </w:pPr>
      <w:r w:rsidDel="00000000" w:rsidR="00000000" w:rsidRPr="00000000">
        <w:rPr>
          <w:sz w:val="24"/>
          <w:szCs w:val="24"/>
          <w:rtl w:val="0"/>
        </w:rPr>
        <w:t xml:space="preserve">Com base no que foi exposto, a doença de Batten é desafiadora tanto para os pacientes que são acometidos quanto para seus cuidadores. Como exposto no início do estudo, é uma doença progressiva, onde a de persuasão do mesmo concentra-se primariamente no aconselhamento genético e na detecção precoce, pois atualmente não há medidas preventivas para impedir o início desse distúrbio hereditário. Educar pacientes e famílias é crucial para gerenciar expectativas, entender a natureza progressiva da doença e tomar decisões informadas sobre o tratamento. </w:t>
      </w:r>
    </w:p>
    <w:p w:rsidR="00000000" w:rsidDel="00000000" w:rsidP="00000000" w:rsidRDefault="00000000" w:rsidRPr="00000000" w14:paraId="0000005E">
      <w:pPr>
        <w:spacing w:line="240" w:lineRule="auto"/>
        <w:ind w:firstLine="708.6614173228347"/>
        <w:jc w:val="both"/>
        <w:rPr>
          <w:sz w:val="24"/>
          <w:szCs w:val="24"/>
        </w:rPr>
      </w:pPr>
      <w:r w:rsidDel="00000000" w:rsidR="00000000" w:rsidRPr="00000000">
        <w:rPr>
          <w:sz w:val="24"/>
          <w:szCs w:val="24"/>
          <w:rtl w:val="0"/>
        </w:rPr>
        <w:t xml:space="preserve">A educação abrangente do paciente deve cobrir a importância do monitoramento regular, possíveis opções de tratamento e a disponibilidade de recursos de suporte. Além disso, abordar os aspectos emocionais e psicológicos por meio da educação contínua pode capacitar as famílias a lidar com os desafios impostos pela doença e melhorar a qualidade de vida geral. Como a doença de Batten tem inúmeras origens genéticas, testes genéticos clínicos devem ser realizados para determinar a mutação subjacente e o subtipo específico. Isso ajudará a prever a trajetória da doença e pode ser útil na seleção do tratamento. Nessa abordagem cooperativa, o tratamento centrado no paciente e especialistas em neurologia, oftalmologia, fisioterapia, psicoterapia e terapia da fala são essenciais.</w:t>
      </w:r>
    </w:p>
    <w:p w:rsidR="00000000" w:rsidDel="00000000" w:rsidP="00000000" w:rsidRDefault="00000000" w:rsidRPr="00000000" w14:paraId="0000005F">
      <w:pP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60">
      <w:pPr>
        <w:spacing w:line="240" w:lineRule="auto"/>
        <w:ind w:left="-2" w:firstLine="0"/>
        <w:rPr>
          <w:sz w:val="24"/>
          <w:szCs w:val="24"/>
        </w:rPr>
      </w:pPr>
      <w:r w:rsidDel="00000000" w:rsidR="00000000" w:rsidRPr="00000000">
        <w:rPr>
          <w:b w:val="1"/>
          <w:sz w:val="24"/>
          <w:szCs w:val="24"/>
          <w:rtl w:val="0"/>
        </w:rPr>
        <w:t xml:space="preserve">REFERÊNCIAS</w:t>
      </w:r>
      <w:r w:rsidDel="00000000" w:rsidR="00000000" w:rsidRPr="00000000">
        <w:rPr>
          <w:rtl w:val="0"/>
        </w:rPr>
      </w:r>
    </w:p>
    <w:p w:rsidR="00000000" w:rsidDel="00000000" w:rsidP="00000000" w:rsidRDefault="00000000" w:rsidRPr="00000000" w14:paraId="00000061">
      <w:pPr>
        <w:spacing w:line="240" w:lineRule="auto"/>
        <w:ind w:hanging="1"/>
        <w:jc w:val="both"/>
        <w:rPr>
          <w:sz w:val="24"/>
          <w:szCs w:val="24"/>
        </w:rPr>
      </w:pPr>
      <w:r w:rsidDel="00000000" w:rsidR="00000000" w:rsidRPr="00000000">
        <w:rPr>
          <w:rtl w:val="0"/>
        </w:rPr>
      </w:r>
    </w:p>
    <w:p w:rsidR="00000000" w:rsidDel="00000000" w:rsidP="00000000" w:rsidRDefault="00000000" w:rsidRPr="00000000" w14:paraId="00000062">
      <w:pPr>
        <w:widowControl w:val="0"/>
        <w:spacing w:line="216" w:lineRule="auto"/>
        <w:jc w:val="both"/>
        <w:rPr>
          <w:color w:val="212121"/>
          <w:sz w:val="20"/>
          <w:szCs w:val="20"/>
          <w:highlight w:val="white"/>
        </w:rPr>
      </w:pPr>
      <w:r w:rsidDel="00000000" w:rsidR="00000000" w:rsidRPr="00000000">
        <w:rPr>
          <w:sz w:val="20"/>
          <w:szCs w:val="20"/>
          <w:highlight w:val="white"/>
          <w:rtl w:val="0"/>
        </w:rPr>
        <w:t xml:space="preserve">Augustine E, Mink J. Neuronal Ceroid Lipofuscinosis. 2020. 17 de abril de 2020 [citado em 24 de abril de 2020]; Disponível em:</w:t>
      </w:r>
      <w:r w:rsidDel="00000000" w:rsidR="00000000" w:rsidRPr="00000000">
        <w:rPr>
          <w:color w:val="212121"/>
          <w:sz w:val="20"/>
          <w:szCs w:val="20"/>
          <w:highlight w:val="white"/>
          <w:rtl w:val="0"/>
        </w:rPr>
        <w:t xml:space="preserve"> </w:t>
      </w:r>
      <w:hyperlink r:id="rId15">
        <w:r w:rsidDel="00000000" w:rsidR="00000000" w:rsidRPr="00000000">
          <w:rPr>
            <w:color w:val="1155cc"/>
            <w:sz w:val="20"/>
            <w:szCs w:val="20"/>
            <w:highlight w:val="white"/>
            <w:u w:val="single"/>
            <w:rtl w:val="0"/>
          </w:rPr>
          <w:t xml:space="preserve">https://pubmed.ncbi.nlm.nih.gov/33135495/</w:t>
        </w:r>
      </w:hyperlink>
      <w:r w:rsidDel="00000000" w:rsidR="00000000" w:rsidRPr="00000000">
        <w:rPr>
          <w:rtl w:val="0"/>
        </w:rPr>
      </w:r>
    </w:p>
    <w:p w:rsidR="00000000" w:rsidDel="00000000" w:rsidP="00000000" w:rsidRDefault="00000000" w:rsidRPr="00000000" w14:paraId="00000063">
      <w:pPr>
        <w:spacing w:line="216" w:lineRule="auto"/>
        <w:ind w:hanging="1"/>
        <w:jc w:val="both"/>
        <w:rPr>
          <w:sz w:val="24"/>
          <w:szCs w:val="24"/>
        </w:rPr>
      </w:pPr>
      <w:r w:rsidDel="00000000" w:rsidR="00000000" w:rsidRPr="00000000">
        <w:rPr>
          <w:sz w:val="20"/>
          <w:szCs w:val="20"/>
          <w:highlight w:val="white"/>
          <w:rtl w:val="0"/>
        </w:rPr>
        <w:t xml:space="preserve">Berkovic SF, Carpenter S, Andermann F, Andermann E &amp; Wolfe LS Doença de Kufs: uma reavaliação crítica. Brain 111, 27–62 (1988). </w:t>
      </w:r>
      <w:r w:rsidDel="00000000" w:rsidR="00000000" w:rsidRPr="00000000">
        <w:rPr>
          <w:color w:val="1b1b1b"/>
          <w:sz w:val="20"/>
          <w:szCs w:val="20"/>
          <w:highlight w:val="white"/>
          <w:rtl w:val="0"/>
        </w:rPr>
        <w:t xml:space="preserve"> </w:t>
      </w:r>
      <w:hyperlink r:id="rId16">
        <w:r w:rsidDel="00000000" w:rsidR="00000000" w:rsidRPr="00000000">
          <w:rPr>
            <w:color w:val="1155cc"/>
            <w:sz w:val="20"/>
            <w:szCs w:val="20"/>
            <w:highlight w:val="white"/>
            <w:u w:val="single"/>
            <w:rtl w:val="0"/>
          </w:rPr>
          <w:t xml:space="preserve">https://pmc.ncbi.nlm.nih.gov/articles/PMC6681450/#ref-list1</w:t>
        </w:r>
      </w:hyperlink>
      <w:r w:rsidDel="00000000" w:rsidR="00000000" w:rsidRPr="00000000">
        <w:rPr>
          <w:rtl w:val="0"/>
        </w:rPr>
      </w:r>
    </w:p>
    <w:p w:rsidR="00000000" w:rsidDel="00000000" w:rsidP="00000000" w:rsidRDefault="00000000" w:rsidRPr="00000000" w14:paraId="00000064">
      <w:pPr>
        <w:spacing w:line="216" w:lineRule="auto"/>
        <w:jc w:val="both"/>
        <w:rPr>
          <w:sz w:val="20"/>
          <w:szCs w:val="20"/>
          <w:highlight w:val="white"/>
        </w:rPr>
      </w:pPr>
      <w:r w:rsidDel="00000000" w:rsidR="00000000" w:rsidRPr="00000000">
        <w:rPr>
          <w:sz w:val="20"/>
          <w:szCs w:val="20"/>
          <w:highlight w:val="white"/>
          <w:rtl w:val="0"/>
        </w:rPr>
        <w:t xml:space="preserve">Bose A, Tripathy K. Batten Disease (Juvenile Neuronal Ceroid Lipofuscinosis). 2024 Aug 17. In: StatPearls [Internet]. Treasure Island (FL): StatPearls Publishing; 2025 Jan–. PMID: 39163421.</w:t>
      </w:r>
    </w:p>
    <w:p w:rsidR="00000000" w:rsidDel="00000000" w:rsidP="00000000" w:rsidRDefault="00000000" w:rsidRPr="00000000" w14:paraId="00000065">
      <w:pPr>
        <w:spacing w:line="216" w:lineRule="auto"/>
        <w:jc w:val="both"/>
        <w:rPr>
          <w:sz w:val="20"/>
          <w:szCs w:val="20"/>
          <w:highlight w:val="white"/>
        </w:rPr>
      </w:pPr>
      <w:r w:rsidDel="00000000" w:rsidR="00000000" w:rsidRPr="00000000">
        <w:rPr>
          <w:sz w:val="20"/>
          <w:szCs w:val="20"/>
          <w:highlight w:val="white"/>
          <w:rtl w:val="0"/>
        </w:rPr>
        <w:t xml:space="preserve">Chaves-Carballo E. Epônimo: Frederick E. Batten: pai da neurologia pediátrica. South Med J. 1978 Nov; 71 (11):1428-9. </w:t>
      </w:r>
      <w:hyperlink r:id="rId17">
        <w:r w:rsidDel="00000000" w:rsidR="00000000" w:rsidRPr="00000000">
          <w:rPr>
            <w:color w:val="1155cc"/>
            <w:sz w:val="20"/>
            <w:szCs w:val="20"/>
            <w:highlight w:val="white"/>
            <w:u w:val="single"/>
            <w:rtl w:val="0"/>
          </w:rPr>
          <w:t xml:space="preserve">https://www.ncbi.nlm.nih.gov/books/NBK606097/#article-160995.r4</w:t>
        </w:r>
      </w:hyperlink>
      <w:r w:rsidDel="00000000" w:rsidR="00000000" w:rsidRPr="00000000">
        <w:rPr>
          <w:rtl w:val="0"/>
        </w:rPr>
      </w:r>
    </w:p>
    <w:p w:rsidR="00000000" w:rsidDel="00000000" w:rsidP="00000000" w:rsidRDefault="00000000" w:rsidRPr="00000000" w14:paraId="00000066">
      <w:pPr>
        <w:spacing w:line="216" w:lineRule="auto"/>
        <w:ind w:hanging="1"/>
        <w:jc w:val="both"/>
        <w:rPr>
          <w:sz w:val="20"/>
          <w:szCs w:val="20"/>
          <w:highlight w:val="white"/>
        </w:rPr>
      </w:pPr>
      <w:r w:rsidDel="00000000" w:rsidR="00000000" w:rsidRPr="00000000">
        <w:rPr>
          <w:sz w:val="20"/>
          <w:szCs w:val="20"/>
          <w:highlight w:val="white"/>
          <w:rtl w:val="0"/>
        </w:rPr>
        <w:t xml:space="preserve">Dev N, Kumar R, Sharma S, Sharma MC. Batten's Disease: A Seizure Disorder's Battle for Diagnosis. Ann Indian Acad Neurol. 2021 Nov-Dec;24(6):953-955. doi: 10.4103/aian.AIAN_769_20. Epub 2021 Jan 25. PMID: 35359518; PMCID: PMC8965944.</w:t>
      </w:r>
    </w:p>
    <w:p w:rsidR="00000000" w:rsidDel="00000000" w:rsidP="00000000" w:rsidRDefault="00000000" w:rsidRPr="00000000" w14:paraId="00000067">
      <w:pPr>
        <w:spacing w:line="216" w:lineRule="auto"/>
        <w:ind w:hanging="1"/>
        <w:jc w:val="both"/>
        <w:rPr>
          <w:sz w:val="20"/>
          <w:szCs w:val="20"/>
          <w:highlight w:val="white"/>
        </w:rPr>
      </w:pPr>
      <w:r w:rsidDel="00000000" w:rsidR="00000000" w:rsidRPr="00000000">
        <w:rPr>
          <w:sz w:val="20"/>
          <w:szCs w:val="20"/>
          <w:highlight w:val="white"/>
          <w:rtl w:val="0"/>
        </w:rPr>
        <w:t xml:space="preserve">Ekazi J, Kominami E. Simpósio: As lipofuscinoses ceroides neuronais (NCL) — um grupo de doenças de armazenamento lisossomal atingem a maioridade. A localização intracelular e a função das proteínas das lipofuscinoses ceroides neuronais. Brain Pathol. 2004;14:77–85. </w:t>
      </w:r>
    </w:p>
    <w:p w:rsidR="00000000" w:rsidDel="00000000" w:rsidP="00000000" w:rsidRDefault="00000000" w:rsidRPr="00000000" w14:paraId="00000068">
      <w:pPr>
        <w:shd w:fill="ffffff" w:val="clear"/>
        <w:spacing w:line="216" w:lineRule="auto"/>
        <w:jc w:val="both"/>
        <w:rPr>
          <w:color w:val="222222"/>
          <w:sz w:val="20"/>
          <w:szCs w:val="20"/>
          <w:highlight w:val="white"/>
        </w:rPr>
      </w:pPr>
      <w:r w:rsidDel="00000000" w:rsidR="00000000" w:rsidRPr="00000000">
        <w:rPr>
          <w:sz w:val="20"/>
          <w:szCs w:val="20"/>
          <w:highlight w:val="white"/>
          <w:rtl w:val="0"/>
        </w:rPr>
        <w:t xml:space="preserve">Epilepsia occipital versus epilepsia mioclônica progressiva em um paciente com espículas occipitais contínuas e fotossensibilidade no eletroencefalograma: relato de caso. Lv Y, Zhang N, Liu C, Shi M, Sun L. Medicine (Baltimore) 2018;97:0. -</w:t>
      </w:r>
      <w:r w:rsidDel="00000000" w:rsidR="00000000" w:rsidRPr="00000000">
        <w:rPr>
          <w:color w:val="212121"/>
          <w:sz w:val="20"/>
          <w:szCs w:val="20"/>
          <w:highlight w:val="white"/>
          <w:rtl w:val="0"/>
        </w:rPr>
        <w:t xml:space="preserve"> </w:t>
      </w:r>
      <w:hyperlink r:id="rId18">
        <w:r w:rsidDel="00000000" w:rsidR="00000000" w:rsidRPr="00000000">
          <w:rPr>
            <w:color w:val="0071bc"/>
            <w:sz w:val="20"/>
            <w:szCs w:val="20"/>
            <w:highlight w:val="white"/>
            <w:rtl w:val="0"/>
          </w:rPr>
          <w:t xml:space="preserve">PMC </w:t>
        </w:r>
      </w:hyperlink>
      <w:r w:rsidDel="00000000" w:rsidR="00000000" w:rsidRPr="00000000">
        <w:rPr>
          <w:color w:val="212121"/>
          <w:sz w:val="20"/>
          <w:szCs w:val="20"/>
          <w:highlight w:val="white"/>
          <w:rtl w:val="0"/>
        </w:rPr>
        <w:t xml:space="preserve">- </w:t>
      </w:r>
      <w:hyperlink r:id="rId19">
        <w:r w:rsidDel="00000000" w:rsidR="00000000" w:rsidRPr="00000000">
          <w:rPr>
            <w:color w:val="0071bc"/>
            <w:sz w:val="20"/>
            <w:szCs w:val="20"/>
            <w:highlight w:val="white"/>
            <w:rtl w:val="0"/>
          </w:rPr>
          <w:t xml:space="preserve">PubMed</w:t>
        </w:r>
      </w:hyperlink>
      <w:r w:rsidDel="00000000" w:rsidR="00000000" w:rsidRPr="00000000">
        <w:rPr>
          <w:rtl w:val="0"/>
        </w:rPr>
      </w:r>
    </w:p>
    <w:p w:rsidR="00000000" w:rsidDel="00000000" w:rsidP="00000000" w:rsidRDefault="00000000" w:rsidRPr="00000000" w14:paraId="00000069">
      <w:pPr>
        <w:spacing w:line="216" w:lineRule="auto"/>
        <w:ind w:hanging="1"/>
        <w:jc w:val="both"/>
        <w:rPr>
          <w:sz w:val="20"/>
          <w:szCs w:val="20"/>
          <w:highlight w:val="white"/>
        </w:rPr>
      </w:pPr>
      <w:r w:rsidDel="00000000" w:rsidR="00000000" w:rsidRPr="00000000">
        <w:rPr>
          <w:sz w:val="20"/>
          <w:szCs w:val="20"/>
          <w:highlight w:val="white"/>
          <w:rtl w:val="0"/>
        </w:rPr>
        <w:t xml:space="preserve">Goebel H, Wisniewski K. Simpósio: As ceroides-lipofuscinoses neuronais (NCL) — um grupo de doenças de armazenamento lisossomal atingem a maioridade. Estado atual das características clínicas e morfológicas na NCL humana. Brain Pathol. 2004;14:61–9. doi: 10.1111/j.1750-3639.2004.tb00499.x. </w:t>
      </w:r>
    </w:p>
    <w:p w:rsidR="00000000" w:rsidDel="00000000" w:rsidP="00000000" w:rsidRDefault="00000000" w:rsidRPr="00000000" w14:paraId="0000006A">
      <w:pPr>
        <w:spacing w:line="216" w:lineRule="auto"/>
        <w:ind w:hanging="1"/>
        <w:jc w:val="both"/>
        <w:rPr>
          <w:sz w:val="20"/>
          <w:szCs w:val="20"/>
          <w:highlight w:val="white"/>
        </w:rPr>
      </w:pPr>
      <w:r w:rsidDel="00000000" w:rsidR="00000000" w:rsidRPr="00000000">
        <w:rPr>
          <w:sz w:val="20"/>
          <w:szCs w:val="20"/>
          <w:rtl w:val="0"/>
        </w:rPr>
        <w:t xml:space="preserve">Markham, A. (2017). Cerliponase alfa: primeira aprovação global. </w:t>
      </w:r>
      <w:r w:rsidDel="00000000" w:rsidR="00000000" w:rsidRPr="00000000">
        <w:rPr>
          <w:i w:val="1"/>
          <w:sz w:val="20"/>
          <w:szCs w:val="20"/>
          <w:rtl w:val="0"/>
        </w:rPr>
        <w:t xml:space="preserve">Drugs</w:t>
      </w:r>
      <w:r w:rsidDel="00000000" w:rsidR="00000000" w:rsidRPr="00000000">
        <w:rPr>
          <w:sz w:val="20"/>
          <w:szCs w:val="20"/>
          <w:rtl w:val="0"/>
        </w:rPr>
        <w:t xml:space="preserve"> 77, 1247–1249. doi: 10.1007/s40265-017</w:t>
      </w:r>
      <w:r w:rsidDel="00000000" w:rsidR="00000000" w:rsidRPr="00000000">
        <w:rPr>
          <w:rtl w:val="0"/>
        </w:rPr>
      </w:r>
    </w:p>
    <w:p w:rsidR="00000000" w:rsidDel="00000000" w:rsidP="00000000" w:rsidRDefault="00000000" w:rsidRPr="00000000" w14:paraId="0000006B">
      <w:pPr>
        <w:spacing w:line="216" w:lineRule="auto"/>
        <w:ind w:hanging="1"/>
        <w:jc w:val="both"/>
        <w:rPr>
          <w:color w:val="1b1b1b"/>
          <w:sz w:val="20"/>
          <w:szCs w:val="20"/>
          <w:highlight w:val="white"/>
        </w:rPr>
      </w:pPr>
      <w:r w:rsidDel="00000000" w:rsidR="00000000" w:rsidRPr="00000000">
        <w:rPr>
          <w:sz w:val="20"/>
          <w:szCs w:val="20"/>
          <w:highlight w:val="white"/>
          <w:rtl w:val="0"/>
        </w:rPr>
        <w:t xml:space="preserve">Masten MC, Mink JW, Augustine EF. Batten disease: an expert update on agents in preclinical and clinical trials. Expert Opin Investig Drugs. 2020 Dec;29(12):1317-1322. doi: 10.1080/13543784.2020.1837110. Epub 2020 Nov 1. PMID: 33135495; PMCID: PMC7736171.</w:t>
      </w:r>
      <w:r w:rsidDel="00000000" w:rsidR="00000000" w:rsidRPr="00000000">
        <w:rPr>
          <w:rtl w:val="0"/>
        </w:rPr>
      </w:r>
    </w:p>
    <w:p w:rsidR="00000000" w:rsidDel="00000000" w:rsidP="00000000" w:rsidRDefault="00000000" w:rsidRPr="00000000" w14:paraId="0000006C">
      <w:pPr>
        <w:spacing w:line="216" w:lineRule="auto"/>
        <w:jc w:val="both"/>
        <w:rPr>
          <w:sz w:val="20"/>
          <w:szCs w:val="20"/>
          <w:highlight w:val="white"/>
        </w:rPr>
      </w:pPr>
      <w:r w:rsidDel="00000000" w:rsidR="00000000" w:rsidRPr="00000000">
        <w:rPr>
          <w:sz w:val="20"/>
          <w:szCs w:val="20"/>
          <w:highlight w:val="white"/>
          <w:rtl w:val="0"/>
        </w:rPr>
        <w:t xml:space="preserve">Ostergaard JR. Juvenile neuronal ceroid lipofuscinosis (Batten disease): current insights. Degener Neurol Neuromuscul Dis. (2016) 6:73–83. doi: 10.2147/DNND.S111967</w:t>
      </w:r>
    </w:p>
    <w:p w:rsidR="00000000" w:rsidDel="00000000" w:rsidP="00000000" w:rsidRDefault="00000000" w:rsidRPr="00000000" w14:paraId="0000006D">
      <w:pPr>
        <w:spacing w:line="216" w:lineRule="auto"/>
        <w:jc w:val="both"/>
        <w:rPr>
          <w:color w:val="222222"/>
          <w:sz w:val="20"/>
          <w:szCs w:val="20"/>
          <w:highlight w:val="white"/>
        </w:rPr>
      </w:pPr>
      <w:hyperlink r:id="rId20">
        <w:r w:rsidDel="00000000" w:rsidR="00000000" w:rsidRPr="00000000">
          <w:rPr>
            <w:color w:val="1155cc"/>
            <w:sz w:val="20"/>
            <w:szCs w:val="20"/>
            <w:highlight w:val="white"/>
            <w:u w:val="single"/>
            <w:rtl w:val="0"/>
          </w:rPr>
          <w:t xml:space="preserve">https://www.ncbi.nlm.nih.gov/books/NBK606097/#article-160995.r4</w:t>
        </w:r>
      </w:hyperlink>
      <w:r w:rsidDel="00000000" w:rsidR="00000000" w:rsidRPr="00000000">
        <w:rPr>
          <w:rtl w:val="0"/>
        </w:rPr>
      </w:r>
    </w:p>
    <w:p w:rsidR="00000000" w:rsidDel="00000000" w:rsidP="00000000" w:rsidRDefault="00000000" w:rsidRPr="00000000" w14:paraId="0000006E">
      <w:pPr>
        <w:shd w:fill="ffffff" w:val="clear"/>
        <w:spacing w:line="216" w:lineRule="auto"/>
        <w:jc w:val="both"/>
        <w:rPr>
          <w:color w:val="222222"/>
          <w:sz w:val="20"/>
          <w:szCs w:val="20"/>
          <w:highlight w:val="white"/>
        </w:rPr>
      </w:pPr>
      <w:r w:rsidDel="00000000" w:rsidR="00000000" w:rsidRPr="00000000">
        <w:rPr>
          <w:sz w:val="20"/>
          <w:szCs w:val="20"/>
          <w:highlight w:val="white"/>
          <w:rtl w:val="0"/>
        </w:rPr>
        <w:t xml:space="preserve">Palmer DN, Barry LA, Tyynelä J, Cooper JD. Mecanismos da doença NCL. Biochim Biophys Acta. 2013 Nov; 1832 (11):1882-93. </w:t>
      </w:r>
      <w:hyperlink r:id="rId21">
        <w:r w:rsidDel="00000000" w:rsidR="00000000" w:rsidRPr="00000000">
          <w:rPr>
            <w:color w:val="1155cc"/>
            <w:sz w:val="20"/>
            <w:szCs w:val="20"/>
            <w:highlight w:val="white"/>
            <w:u w:val="single"/>
            <w:rtl w:val="0"/>
          </w:rPr>
          <w:t xml:space="preserve">https://www.ncbi.nlm.nih.gov/books/NBK606097/</w:t>
        </w:r>
      </w:hyperlink>
      <w:r w:rsidDel="00000000" w:rsidR="00000000" w:rsidRPr="00000000">
        <w:rPr>
          <w:rtl w:val="0"/>
        </w:rPr>
      </w:r>
    </w:p>
    <w:p w:rsidR="00000000" w:rsidDel="00000000" w:rsidP="00000000" w:rsidRDefault="00000000" w:rsidRPr="00000000" w14:paraId="0000006F">
      <w:pPr>
        <w:shd w:fill="ffffff" w:val="clear"/>
        <w:spacing w:line="216" w:lineRule="auto"/>
        <w:jc w:val="both"/>
        <w:rPr>
          <w:color w:val="303030"/>
          <w:sz w:val="20"/>
          <w:szCs w:val="20"/>
          <w:highlight w:val="white"/>
        </w:rPr>
      </w:pPr>
      <w:r w:rsidDel="00000000" w:rsidR="00000000" w:rsidRPr="00000000">
        <w:rPr>
          <w:sz w:val="20"/>
          <w:szCs w:val="20"/>
          <w:highlight w:val="white"/>
          <w:rtl w:val="0"/>
        </w:rPr>
        <w:t xml:space="preserve">Radke J, Stenzel W, Goebel HH. Human NCL Neuropatologia. Biochim Biophys Acta. 2015 Out; 1852 (10 Pt B):2262-6. </w:t>
      </w:r>
      <w:r w:rsidDel="00000000" w:rsidR="00000000" w:rsidRPr="00000000">
        <w:rPr>
          <w:color w:val="303030"/>
          <w:sz w:val="20"/>
          <w:szCs w:val="20"/>
          <w:highlight w:val="white"/>
          <w:rtl w:val="0"/>
        </w:rPr>
        <w:t xml:space="preserve"> </w:t>
      </w:r>
      <w:hyperlink r:id="rId22">
        <w:r w:rsidDel="00000000" w:rsidR="00000000" w:rsidRPr="00000000">
          <w:rPr>
            <w:color w:val="1155cc"/>
            <w:sz w:val="20"/>
            <w:szCs w:val="20"/>
            <w:highlight w:val="white"/>
            <w:u w:val="single"/>
            <w:rtl w:val="0"/>
          </w:rPr>
          <w:t xml:space="preserve">https://www.ncbi.nlm.nih.gov/books/NBK606097/</w:t>
        </w:r>
      </w:hyperlink>
      <w:r w:rsidDel="00000000" w:rsidR="00000000" w:rsidRPr="00000000">
        <w:rPr>
          <w:rtl w:val="0"/>
        </w:rPr>
      </w:r>
    </w:p>
    <w:p w:rsidR="00000000" w:rsidDel="00000000" w:rsidP="00000000" w:rsidRDefault="00000000" w:rsidRPr="00000000" w14:paraId="00000070">
      <w:pPr>
        <w:spacing w:line="216" w:lineRule="auto"/>
        <w:jc w:val="both"/>
        <w:rPr>
          <w:sz w:val="20"/>
          <w:szCs w:val="20"/>
          <w:highlight w:val="white"/>
        </w:rPr>
      </w:pPr>
      <w:r w:rsidDel="00000000" w:rsidR="00000000" w:rsidRPr="00000000">
        <w:rPr>
          <w:sz w:val="20"/>
          <w:szCs w:val="20"/>
          <w:highlight w:val="white"/>
          <w:rtl w:val="0"/>
        </w:rPr>
        <w:t xml:space="preserve">Rahim AA, Russell C, Mole SE. Edição especial: A doença NCLs/Batten. Biochim Biophys Acta Mol Base Dis. 2020 Conjunto 01; 1866 (9):165824. </w:t>
      </w:r>
      <w:hyperlink r:id="rId23">
        <w:r w:rsidDel="00000000" w:rsidR="00000000" w:rsidRPr="00000000">
          <w:rPr>
            <w:rFonts w:ascii="Roboto" w:cs="Roboto" w:eastAsia="Roboto" w:hAnsi="Roboto"/>
            <w:color w:val="1155cc"/>
            <w:sz w:val="20"/>
            <w:szCs w:val="20"/>
            <w:highlight w:val="white"/>
            <w:u w:val="single"/>
            <w:rtl w:val="0"/>
          </w:rPr>
          <w:t xml:space="preserve">https://shre.ink/MqP4</w:t>
        </w:r>
      </w:hyperlink>
      <w:r w:rsidDel="00000000" w:rsidR="00000000" w:rsidRPr="00000000">
        <w:rPr>
          <w:rtl w:val="0"/>
        </w:rPr>
      </w:r>
    </w:p>
    <w:p w:rsidR="00000000" w:rsidDel="00000000" w:rsidP="00000000" w:rsidRDefault="00000000" w:rsidRPr="00000000" w14:paraId="00000071">
      <w:pPr>
        <w:spacing w:line="216" w:lineRule="auto"/>
        <w:jc w:val="both"/>
        <w:rPr>
          <w:sz w:val="20"/>
          <w:szCs w:val="20"/>
          <w:highlight w:val="white"/>
        </w:rPr>
      </w:pPr>
      <w:r w:rsidDel="00000000" w:rsidR="00000000" w:rsidRPr="00000000">
        <w:rPr>
          <w:sz w:val="20"/>
          <w:szCs w:val="20"/>
          <w:highlight w:val="white"/>
          <w:rtl w:val="0"/>
        </w:rPr>
        <w:t xml:space="preserve">SIMONATI, Alessandro; WILLIAMS, Ruth E. Lipofuscinose ceroide neuronal: a abordagem multifacetada para as questões clínicas, uma visão geral. </w:t>
      </w:r>
      <w:r w:rsidDel="00000000" w:rsidR="00000000" w:rsidRPr="00000000">
        <w:rPr>
          <w:b w:val="1"/>
          <w:sz w:val="20"/>
          <w:szCs w:val="20"/>
          <w:highlight w:val="white"/>
          <w:rtl w:val="0"/>
        </w:rPr>
        <w:t xml:space="preserve">Frontiers in neurology</w:t>
      </w:r>
      <w:r w:rsidDel="00000000" w:rsidR="00000000" w:rsidRPr="00000000">
        <w:rPr>
          <w:sz w:val="20"/>
          <w:szCs w:val="20"/>
          <w:highlight w:val="white"/>
          <w:rtl w:val="0"/>
        </w:rPr>
        <w:t xml:space="preserve">, v. 13, 2022.</w:t>
      </w:r>
    </w:p>
    <w:p w:rsidR="00000000" w:rsidDel="00000000" w:rsidP="00000000" w:rsidRDefault="00000000" w:rsidRPr="00000000" w14:paraId="00000072">
      <w:pPr>
        <w:spacing w:line="216" w:lineRule="auto"/>
        <w:ind w:hanging="1"/>
        <w:jc w:val="both"/>
        <w:rPr>
          <w:sz w:val="20"/>
          <w:szCs w:val="20"/>
          <w:highlight w:val="white"/>
        </w:rPr>
      </w:pPr>
      <w:r w:rsidDel="00000000" w:rsidR="00000000" w:rsidRPr="00000000">
        <w:rPr>
          <w:sz w:val="20"/>
          <w:szCs w:val="20"/>
          <w:highlight w:val="white"/>
          <w:rtl w:val="0"/>
        </w:rPr>
        <w:t xml:space="preserve">Reddy S, Brahmbhatt H. Application of Anticonvulsants, Antiepileptic Drugs, and Vitamin C in the Treatment and Analysis of Batten Disease. Cureus. 2022 Jan 30;14(1):e21745. doi: 10.7759/cureus.21745. PMID: 35145828; PMCID: PMC8803372.</w:t>
      </w:r>
    </w:p>
    <w:p w:rsidR="00000000" w:rsidDel="00000000" w:rsidP="00000000" w:rsidRDefault="00000000" w:rsidRPr="00000000" w14:paraId="00000073">
      <w:pPr>
        <w:shd w:fill="ffffff" w:val="clear"/>
        <w:spacing w:line="216" w:lineRule="auto"/>
        <w:jc w:val="both"/>
        <w:rPr>
          <w:color w:val="0071bc"/>
          <w:sz w:val="20"/>
          <w:szCs w:val="20"/>
          <w:highlight w:val="white"/>
        </w:rPr>
      </w:pPr>
      <w:r w:rsidDel="00000000" w:rsidR="00000000" w:rsidRPr="00000000">
        <w:rPr>
          <w:sz w:val="20"/>
          <w:szCs w:val="20"/>
          <w:highlight w:val="white"/>
          <w:rtl w:val="0"/>
        </w:rPr>
        <w:t xml:space="preserve">The Royal Children's Hospital Melbourne: Medicamentos antiepilépticos. [Janeiro; 2022];Kornberg Kornberg, A. (2022). </w:t>
      </w:r>
      <w:hyperlink r:id="rId24">
        <w:r w:rsidDel="00000000" w:rsidR="00000000" w:rsidRPr="00000000">
          <w:rPr>
            <w:color w:val="0071bc"/>
            <w:sz w:val="20"/>
            <w:szCs w:val="20"/>
            <w:highlight w:val="white"/>
            <w:rtl w:val="0"/>
          </w:rPr>
          <w:t xml:space="preserve">https://www.rch.org.au/neurology/patient_information/antiepileptic_medic…</w:t>
        </w:r>
      </w:hyperlink>
      <w:r w:rsidDel="00000000" w:rsidR="00000000" w:rsidRPr="00000000">
        <w:rPr>
          <w:rtl w:val="0"/>
        </w:rPr>
      </w:r>
    </w:p>
    <w:p w:rsidR="00000000" w:rsidDel="00000000" w:rsidP="00000000" w:rsidRDefault="00000000" w:rsidRPr="00000000" w14:paraId="00000074">
      <w:pPr>
        <w:shd w:fill="ffffff" w:val="clear"/>
        <w:spacing w:line="216" w:lineRule="auto"/>
        <w:jc w:val="both"/>
        <w:rPr>
          <w:sz w:val="20"/>
          <w:szCs w:val="20"/>
          <w:highlight w:val="white"/>
        </w:rPr>
      </w:pPr>
      <w:r w:rsidDel="00000000" w:rsidR="00000000" w:rsidRPr="00000000">
        <w:rPr>
          <w:sz w:val="20"/>
          <w:szCs w:val="20"/>
          <w:highlight w:val="white"/>
          <w:rtl w:val="0"/>
        </w:rPr>
        <w:t xml:space="preserve">Vitamina C na saúde e na doença: seu papel no metabolismo das células e no estado redox no cérebro.[Jan;2022];Figueroa-Méndez R, Rivas-Arancibia S.</w:t>
      </w:r>
    </w:p>
    <w:p w:rsidR="00000000" w:rsidDel="00000000" w:rsidP="00000000" w:rsidRDefault="00000000" w:rsidRPr="00000000" w14:paraId="00000075">
      <w:pPr>
        <w:shd w:fill="ffffff" w:val="clear"/>
        <w:spacing w:line="216" w:lineRule="auto"/>
        <w:jc w:val="both"/>
        <w:rPr>
          <w:color w:val="0071bc"/>
          <w:sz w:val="20"/>
          <w:szCs w:val="20"/>
          <w:highlight w:val="white"/>
        </w:rPr>
      </w:pPr>
      <w:hyperlink r:id="rId25">
        <w:r w:rsidDel="00000000" w:rsidR="00000000" w:rsidRPr="00000000">
          <w:rPr>
            <w:color w:val="0071bc"/>
            <w:sz w:val="20"/>
            <w:szCs w:val="20"/>
            <w:highlight w:val="white"/>
            <w:rtl w:val="0"/>
          </w:rPr>
          <w:t xml:space="preserve">https://www.frontiersin.org/articles/10.3389/fphys.2015.00397/full</w:t>
        </w:r>
      </w:hyperlink>
      <w:r w:rsidDel="00000000" w:rsidR="00000000" w:rsidRPr="00000000">
        <w:rPr>
          <w:color w:val="212121"/>
          <w:sz w:val="20"/>
          <w:szCs w:val="20"/>
          <w:highlight w:val="white"/>
          <w:rtl w:val="0"/>
        </w:rPr>
        <w:t xml:space="preserve"> . - </w:t>
      </w:r>
      <w:hyperlink r:id="rId26">
        <w:r w:rsidDel="00000000" w:rsidR="00000000" w:rsidRPr="00000000">
          <w:rPr>
            <w:color w:val="0071bc"/>
            <w:sz w:val="20"/>
            <w:szCs w:val="20"/>
            <w:highlight w:val="white"/>
            <w:rtl w:val="0"/>
          </w:rPr>
          <w:t xml:space="preserve">PMC </w:t>
        </w:r>
      </w:hyperlink>
      <w:r w:rsidDel="00000000" w:rsidR="00000000" w:rsidRPr="00000000">
        <w:rPr>
          <w:color w:val="212121"/>
          <w:sz w:val="20"/>
          <w:szCs w:val="20"/>
          <w:highlight w:val="white"/>
          <w:rtl w:val="0"/>
        </w:rPr>
        <w:t xml:space="preserve">- </w:t>
      </w:r>
      <w:hyperlink r:id="rId27">
        <w:r w:rsidDel="00000000" w:rsidR="00000000" w:rsidRPr="00000000">
          <w:rPr>
            <w:color w:val="0071bc"/>
            <w:sz w:val="20"/>
            <w:szCs w:val="20"/>
            <w:highlight w:val="white"/>
            <w:rtl w:val="0"/>
          </w:rPr>
          <w:t xml:space="preserve">PubMed</w:t>
        </w:r>
      </w:hyperlink>
      <w:r w:rsidDel="00000000" w:rsidR="00000000" w:rsidRPr="00000000">
        <w:rPr>
          <w:rtl w:val="0"/>
        </w:rPr>
      </w:r>
    </w:p>
    <w:p w:rsidR="00000000" w:rsidDel="00000000" w:rsidP="00000000" w:rsidRDefault="00000000" w:rsidRPr="00000000" w14:paraId="00000076">
      <w:pPr>
        <w:shd w:fill="ffffff" w:val="clear"/>
        <w:spacing w:line="216" w:lineRule="auto"/>
        <w:jc w:val="both"/>
        <w:rPr>
          <w:color w:val="303030"/>
          <w:sz w:val="20"/>
          <w:szCs w:val="20"/>
          <w:highlight w:val="white"/>
        </w:rPr>
      </w:pPr>
      <w:r w:rsidDel="00000000" w:rsidR="00000000" w:rsidRPr="00000000">
        <w:rPr>
          <w:rtl w:val="0"/>
        </w:rPr>
      </w:r>
    </w:p>
    <w:p w:rsidR="00000000" w:rsidDel="00000000" w:rsidP="00000000" w:rsidRDefault="00000000" w:rsidRPr="00000000" w14:paraId="00000077">
      <w:pPr>
        <w:spacing w:line="216" w:lineRule="auto"/>
        <w:ind w:hanging="1"/>
        <w:jc w:val="both"/>
        <w:rPr>
          <w:color w:val="1b1b1b"/>
          <w:sz w:val="20"/>
          <w:szCs w:val="20"/>
          <w:highlight w:val="white"/>
        </w:rPr>
      </w:pPr>
      <w:r w:rsidDel="00000000" w:rsidR="00000000" w:rsidRPr="00000000">
        <w:rPr>
          <w:rtl w:val="0"/>
        </w:rPr>
      </w:r>
    </w:p>
    <w:p w:rsidR="00000000" w:rsidDel="00000000" w:rsidP="00000000" w:rsidRDefault="00000000" w:rsidRPr="00000000" w14:paraId="00000078">
      <w:pPr>
        <w:spacing w:line="216" w:lineRule="auto"/>
        <w:ind w:hanging="1"/>
        <w:jc w:val="both"/>
        <w:rPr/>
      </w:pPr>
      <w:r w:rsidDel="00000000" w:rsidR="00000000" w:rsidRPr="00000000">
        <w:rPr>
          <w:rtl w:val="0"/>
        </w:rPr>
      </w:r>
    </w:p>
    <w:sectPr>
      <w:type w:val="continuous"/>
      <w:pgSz w:h="16834" w:w="11909" w:orient="portrait"/>
      <w:pgMar w:bottom="1133.8582677165355" w:top="1700.7874015748032" w:left="1700.7874015748032" w:right="1133.8582677165355" w:header="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ind w:left="-1700" w:right="-1440" w:firstLine="0"/>
      <w:rPr/>
    </w:pPr>
    <w:r w:rsidDel="00000000" w:rsidR="00000000" w:rsidRPr="00000000">
      <w:rPr/>
      <w:drawing>
        <wp:inline distB="114300" distT="114300" distL="114300" distR="114300">
          <wp:extent cx="7795125" cy="67627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5125" cy="6762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ind w:left="-1695" w:right="-1440" w:firstLine="0"/>
      <w:rPr/>
    </w:pPr>
    <w:r w:rsidDel="00000000" w:rsidR="00000000" w:rsidRPr="00000000">
      <w:rPr/>
      <w:drawing>
        <wp:inline distB="114300" distT="114300" distL="114300" distR="114300">
          <wp:extent cx="7720013" cy="6381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20013" cy="638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bi.nlm.nih.gov/books/NBK606097/#article-160995.r4" TargetMode="External"/><Relationship Id="rId22" Type="http://schemas.openxmlformats.org/officeDocument/2006/relationships/hyperlink" Target="https://www.ncbi.nlm.nih.gov/books/NBK606097/" TargetMode="External"/><Relationship Id="rId21" Type="http://schemas.openxmlformats.org/officeDocument/2006/relationships/hyperlink" Target="https://www.ncbi.nlm.nih.gov/books/NBK606097/" TargetMode="External"/><Relationship Id="rId24" Type="http://schemas.openxmlformats.org/officeDocument/2006/relationships/hyperlink" Target="https://www.rch.org.au/neurology/patient_information/antiepileptic_medications/" TargetMode="External"/><Relationship Id="rId23" Type="http://schemas.openxmlformats.org/officeDocument/2006/relationships/hyperlink" Target="https://shre.ink/MqP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visousa@enf.fiponline.edu.br" TargetMode="External"/><Relationship Id="rId26" Type="http://schemas.openxmlformats.org/officeDocument/2006/relationships/hyperlink" Target="https://pmc.ncbi.nlm.nih.gov/articles/PMC4688356/" TargetMode="External"/><Relationship Id="rId25" Type="http://schemas.openxmlformats.org/officeDocument/2006/relationships/hyperlink" Target="https://www.frontiersin.org/articles/10.3389/fphys.2015.00397/full" TargetMode="External"/><Relationship Id="rId27" Type="http://schemas.openxmlformats.org/officeDocument/2006/relationships/hyperlink" Target="https://pubmed.ncbi.nlm.nih.gov/2677902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allitaalbuquerque16@gmai.com" TargetMode="External"/><Relationship Id="rId8" Type="http://schemas.openxmlformats.org/officeDocument/2006/relationships/hyperlink" Target="mailto:vanessasilva@enf.fiponline.edu.br" TargetMode="External"/><Relationship Id="rId11" Type="http://schemas.openxmlformats.org/officeDocument/2006/relationships/hyperlink" Target="mailto:alvesmarianna47@gmail.com" TargetMode="External"/><Relationship Id="rId10" Type="http://schemas.openxmlformats.org/officeDocument/2006/relationships/hyperlink" Target="mailto:aliciafarias@enf.fiponline.edu.br" TargetMode="External"/><Relationship Id="rId13" Type="http://schemas.openxmlformats.org/officeDocument/2006/relationships/header" Target="header1.xml"/><Relationship Id="rId12" Type="http://schemas.openxmlformats.org/officeDocument/2006/relationships/hyperlink" Target="mailto:julianecosta@fiponline.edu.br" TargetMode="External"/><Relationship Id="rId15" Type="http://schemas.openxmlformats.org/officeDocument/2006/relationships/hyperlink" Target="https://pubmed.ncbi.nlm.nih.gov/33135495/" TargetMode="External"/><Relationship Id="rId14" Type="http://schemas.openxmlformats.org/officeDocument/2006/relationships/footer" Target="footer1.xml"/><Relationship Id="rId17" Type="http://schemas.openxmlformats.org/officeDocument/2006/relationships/hyperlink" Target="https://www.ncbi.nlm.nih.gov/books/NBK606097/#article-160995.r4" TargetMode="External"/><Relationship Id="rId16" Type="http://schemas.openxmlformats.org/officeDocument/2006/relationships/hyperlink" Target="https://pmc.ncbi.nlm.nih.gov/articles/PMC6681450/#ref-list1" TargetMode="External"/><Relationship Id="rId19" Type="http://schemas.openxmlformats.org/officeDocument/2006/relationships/hyperlink" Target="https://pubmed.ncbi.nlm.nih.gov/29642155/" TargetMode="External"/><Relationship Id="rId18" Type="http://schemas.openxmlformats.org/officeDocument/2006/relationships/hyperlink" Target="https://pmc.ncbi.nlm.nih.gov/articles/PMC59085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Y+3H2X3za6eKOeM6QF5pjLsQ==">CgMxLjAyDmgueGIwZ3gyd216MGNvMg5oLjQ4dno2MWp5aGp5ajIOaC53aTV3Y280cDRyczc4AHIhMW40aUFZYXBEeUNkMklWcE1fQm1qNkJwTDlBQWJoWS1y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