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741D" w:rsidRDefault="0084741D">
      <w:pPr>
        <w:spacing w:after="0" w:line="240" w:lineRule="auto"/>
        <w:ind w:right="56" w:firstLine="10"/>
        <w:jc w:val="center"/>
        <w:rPr>
          <w:rFonts w:ascii="Times New Roman" w:eastAsia="Times New Roman" w:hAnsi="Times New Roman" w:cs="Times New Roman"/>
          <w:b/>
        </w:rPr>
      </w:pPr>
    </w:p>
    <w:p w:rsidR="0084741D" w:rsidRDefault="00000000">
      <w:pPr>
        <w:spacing w:after="0" w:line="240" w:lineRule="auto"/>
        <w:ind w:right="56" w:firstLine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MORTALIDADE MATERNA: FATORES DE RISCO E O PAPEL PREVENTIVO DA ENFERMAGEM NA ATENÇÃO PRIMÁRIA</w:t>
      </w:r>
    </w:p>
    <w:p w:rsidR="0084741D" w:rsidRDefault="0084741D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NOBRE, Eduarda Nascimento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LIRA, Eliane do Nascimento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OLIVEIRA, Poliana Santos de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LOPES, Kátia Souza (ORIENTADORA)</w:t>
      </w:r>
      <w:r>
        <w:rPr>
          <w:rFonts w:ascii="Times New Roman" w:eastAsia="Times New Roman" w:hAnsi="Times New Roman" w:cs="Times New Roman"/>
          <w:vertAlign w:val="superscript"/>
        </w:rPr>
        <w:t>4</w:t>
      </w:r>
    </w:p>
    <w:p w:rsidR="0084741D" w:rsidRDefault="00000000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  <w:r>
        <w:rPr>
          <w:rFonts w:ascii="Times New Roman" w:eastAsia="Times New Roman" w:hAnsi="Times New Roman" w:cs="Times New Roman"/>
        </w:rPr>
        <w:t xml:space="preserve">Mortalidade materna refere-se ao óbito durante a gestação ou até 42 dias após o parto, geralmente por causas evitáveis. Reflete desigualdades sociais e fragilidades no acesso aos serviços de saúde, comuns em contextos de pobreza, baixa escolaridade e infraestrutura </w:t>
      </w:r>
      <w:proofErr w:type="gramStart"/>
      <w:r>
        <w:rPr>
          <w:rFonts w:ascii="Times New Roman" w:eastAsia="Times New Roman" w:hAnsi="Times New Roman" w:cs="Times New Roman"/>
        </w:rPr>
        <w:t>precária</w:t>
      </w:r>
      <w:r w:rsidR="008263C5" w:rsidRPr="008263C5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8263C5" w:rsidRPr="008263C5"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</w:rPr>
        <w:t>. Nesse cenário, destaca-se o papel da atenção primária na prevenção de complicações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OBJETIVO: </w:t>
      </w:r>
      <w:r>
        <w:rPr>
          <w:rFonts w:ascii="Times New Roman" w:eastAsia="Times New Roman" w:hAnsi="Times New Roman" w:cs="Times New Roman"/>
        </w:rPr>
        <w:t>Analisar o papel preventivo da enfermagem na redução da mortalidade materna.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METODOLOGIA: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Revisão integrativa realizada na Biblioteca Virtual em Saúde (BVS), com os Descritores em Ciências da Saúde (</w:t>
      </w:r>
      <w:proofErr w:type="spellStart"/>
      <w:r>
        <w:rPr>
          <w:rFonts w:ascii="Times New Roman" w:eastAsia="Times New Roman" w:hAnsi="Times New Roman" w:cs="Times New Roman"/>
        </w:rPr>
        <w:t>DeCS</w:t>
      </w:r>
      <w:proofErr w:type="spellEnd"/>
      <w:r>
        <w:rPr>
          <w:rFonts w:ascii="Times New Roman" w:eastAsia="Times New Roman" w:hAnsi="Times New Roman" w:cs="Times New Roman"/>
        </w:rPr>
        <w:t>): “Mortalidade Materna”, “Cuidado Pré-Natal” e “Enfermagem”, combinados pelo operador booleano "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</w:rPr>
        <w:t xml:space="preserve">". Foram incluídos artigos completos, disponíveis na íntegra, em português, publicados nos últimos cinco anos e </w:t>
      </w:r>
      <w:r w:rsidR="00BD6EFD" w:rsidRPr="00BD6EFD">
        <w:rPr>
          <w:rFonts w:ascii="Times New Roman" w:eastAsia="Times New Roman" w:hAnsi="Times New Roman" w:cs="Times New Roman"/>
        </w:rPr>
        <w:t>que abordassem diretamente a temática</w:t>
      </w:r>
      <w:r>
        <w:rPr>
          <w:rFonts w:ascii="Times New Roman" w:eastAsia="Times New Roman" w:hAnsi="Times New Roman" w:cs="Times New Roman"/>
        </w:rPr>
        <w:t xml:space="preserve">. A amostra final foi composta por 5 estudos. </w:t>
      </w:r>
      <w:r>
        <w:rPr>
          <w:rFonts w:ascii="Times New Roman" w:eastAsia="Times New Roman" w:hAnsi="Times New Roman" w:cs="Times New Roman"/>
          <w:b/>
        </w:rPr>
        <w:t>RESULTADOS</w:t>
      </w:r>
      <w:r>
        <w:rPr>
          <w:rFonts w:ascii="Times New Roman" w:eastAsia="Times New Roman" w:hAnsi="Times New Roman" w:cs="Times New Roman"/>
        </w:rPr>
        <w:t xml:space="preserve">: O pré-natal é reconhecido como principal ferramenta na promoção da saúde materna, essencial para a identificação precoce de riscos à gestante e ao bebê, além de possibilitar o diagnóstico e tratamento de agravos em fase </w:t>
      </w:r>
      <w:proofErr w:type="gramStart"/>
      <w:r>
        <w:rPr>
          <w:rFonts w:ascii="Times New Roman" w:eastAsia="Times New Roman" w:hAnsi="Times New Roman" w:cs="Times New Roman"/>
        </w:rPr>
        <w:t>inicial</w:t>
      </w:r>
      <w:r w:rsidR="008263C5" w:rsidRPr="008263C5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8263C5">
        <w:rPr>
          <w:rFonts w:ascii="Times New Roman" w:eastAsia="Times New Roman" w:hAnsi="Times New Roman" w:cs="Times New Roman"/>
          <w:vertAlign w:val="superscript"/>
        </w:rPr>
        <w:t>2</w:t>
      </w:r>
      <w:r w:rsidR="008263C5" w:rsidRPr="008263C5"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. O acompanhamento deve ser holístico, humanizado e individualizado, porém a qualificação insuficiente dos profissionais dificulta a efetivação desse cuidado. Embora existam políticas públicas para fortalecer as ações às gestantes, persistem desafios como a baixa escolaridade — que compromete o entendimento de orientações sobre consultas, sinais de alerta e cuidados no período gestacional —, deficiência de infraestrutura e falta de insumos nos serviços de </w:t>
      </w:r>
      <w:proofErr w:type="gramStart"/>
      <w:r>
        <w:rPr>
          <w:rFonts w:ascii="Times New Roman" w:eastAsia="Times New Roman" w:hAnsi="Times New Roman" w:cs="Times New Roman"/>
        </w:rPr>
        <w:t>saúde</w:t>
      </w:r>
      <w:r w:rsidR="008263C5" w:rsidRPr="008263C5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8263C5">
        <w:rPr>
          <w:rFonts w:ascii="Times New Roman" w:eastAsia="Times New Roman" w:hAnsi="Times New Roman" w:cs="Times New Roman"/>
          <w:vertAlign w:val="superscript"/>
        </w:rPr>
        <w:t>3</w:t>
      </w:r>
      <w:r w:rsidR="008263C5" w:rsidRPr="008263C5"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CONCLUSÃO: </w:t>
      </w:r>
      <w:r>
        <w:rPr>
          <w:rFonts w:ascii="Times New Roman" w:eastAsia="Times New Roman" w:hAnsi="Times New Roman" w:cs="Times New Roman"/>
        </w:rPr>
        <w:t xml:space="preserve">A escassez de estudos sobre a mortalidade materna revela lacunas na literatura. Ampliar a atuação do enfermeiro, sobretudo em vigilância em saúde, é essencial para fortalecer a atenção primária e reduzir os óbitos maternos. </w:t>
      </w:r>
      <w:r>
        <w:rPr>
          <w:rFonts w:ascii="Times New Roman" w:eastAsia="Times New Roman" w:hAnsi="Times New Roman" w:cs="Times New Roman"/>
          <w:b/>
        </w:rPr>
        <w:t xml:space="preserve">CONTRIBUIÇÕES E IMPLICAÇÕES PARA A ENFERMAGEM: </w:t>
      </w:r>
      <w:r>
        <w:rPr>
          <w:rFonts w:ascii="Times New Roman" w:eastAsia="Times New Roman" w:hAnsi="Times New Roman" w:cs="Times New Roman"/>
        </w:rPr>
        <w:t>O enfermeiro tem papel central no pré-natal, com foco na prevenção de riscos, educação em saúde e cuidado humanizado. A capacitação contínua e a atuação na atenção primária são fundamentais para enfrentar a mortalidade materna.</w:t>
      </w:r>
    </w:p>
    <w:p w:rsidR="0084741D" w:rsidRDefault="0084741D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</w:rPr>
        <w:t>DeCS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ID): </w:t>
      </w:r>
      <w:r>
        <w:rPr>
          <w:rFonts w:ascii="Times New Roman" w:eastAsia="Times New Roman" w:hAnsi="Times New Roman" w:cs="Times New Roman"/>
        </w:rPr>
        <w:t xml:space="preserve">Mortalidade Materna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D008428; Cuidado Pré-Natal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ID D011295; Enfermagem </w:t>
      </w:r>
      <w:r w:rsidR="006B5273">
        <w:rPr>
          <w:rFonts w:ascii="Times New Roman" w:eastAsia="Times New Roman" w:hAnsi="Times New Roman" w:cs="Times New Roman"/>
          <w:b/>
        </w:rPr>
        <w:t>– ID</w:t>
      </w:r>
      <w:r>
        <w:rPr>
          <w:rFonts w:ascii="Times New Roman" w:eastAsia="Times New Roman" w:hAnsi="Times New Roman" w:cs="Times New Roman"/>
        </w:rPr>
        <w:t xml:space="preserve"> D009729.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Modalidade:</w:t>
      </w:r>
      <w:r>
        <w:rPr>
          <w:rFonts w:ascii="Times New Roman" w:eastAsia="Times New Roman" w:hAnsi="Times New Roman" w:cs="Times New Roman"/>
          <w:color w:val="000000"/>
        </w:rPr>
        <w:t xml:space="preserve"> estudo original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relato de experiência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revisão da literatura (X)</w:t>
      </w:r>
    </w:p>
    <w:p w:rsidR="0084741D" w:rsidRDefault="00000000">
      <w:pPr>
        <w:pStyle w:val="Ttulo2"/>
        <w:spacing w:before="0" w:after="0" w:line="240" w:lineRule="auto"/>
        <w:ind w:left="-5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PRÁTICAS EM ENFERMAGEM NOS MÚLTIPLOS CENÁRIOS DE ATUAÇÃO QUE PROMOVEM A SAÚDE DO PLANETA</w:t>
      </w:r>
    </w:p>
    <w:p w:rsidR="0084741D" w:rsidRDefault="00000000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4741D" w:rsidRDefault="00000000">
      <w:pPr>
        <w:spacing w:after="0" w:line="240" w:lineRule="auto"/>
        <w:ind w:left="-5" w:right="47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 </w:t>
      </w:r>
    </w:p>
    <w:p w:rsidR="0084741D" w:rsidRDefault="006B5273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Paes RLC, Rodrigues DP, Alves VH, Silva SED, Cunha CLF, Carneiro MS, et al. A consulta de enfermagem no pré-natal sob a ótica da teoria do cuidado de Kristen Swanson. </w:t>
      </w:r>
      <w:proofErr w:type="spellStart"/>
      <w:r>
        <w:rPr>
          <w:rFonts w:ascii="Times New Roman" w:eastAsia="Times New Roman" w:hAnsi="Times New Roman" w:cs="Times New Roman"/>
          <w:i/>
        </w:rPr>
        <w:t>Cogitare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Enferm</w:t>
      </w:r>
      <w:proofErr w:type="spellEnd"/>
      <w:r>
        <w:rPr>
          <w:rFonts w:ascii="Times New Roman" w:eastAsia="Times New Roman" w:hAnsi="Times New Roman" w:cs="Times New Roman"/>
        </w:rPr>
        <w:t>. 2022;27:e82601.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6B527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Pereira EES, Pereira LC, Rocha GST, Ferreira Júnior AR, Magalhães RLB, Jorge HMF. Atuação de enfermeiras: práticas, potencialidades e fragilidades no pré-natal de alto risco. </w:t>
      </w:r>
      <w:proofErr w:type="spellStart"/>
      <w:r w:rsidRPr="006B5273">
        <w:rPr>
          <w:rFonts w:ascii="Times New Roman" w:eastAsia="Times New Roman" w:hAnsi="Times New Roman" w:cs="Times New Roman"/>
          <w:i/>
          <w:iCs/>
        </w:rPr>
        <w:t>Rev</w:t>
      </w:r>
      <w:proofErr w:type="spellEnd"/>
      <w:r w:rsidRPr="006B527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B5273">
        <w:rPr>
          <w:rFonts w:ascii="Times New Roman" w:eastAsia="Times New Roman" w:hAnsi="Times New Roman" w:cs="Times New Roman"/>
          <w:i/>
          <w:iCs/>
        </w:rPr>
        <w:t>Enferm</w:t>
      </w:r>
      <w:proofErr w:type="spellEnd"/>
      <w:r>
        <w:rPr>
          <w:rFonts w:ascii="Times New Roman" w:eastAsia="Times New Roman" w:hAnsi="Times New Roman" w:cs="Times New Roman"/>
        </w:rPr>
        <w:t>. 2024;13:e4080.</w:t>
      </w:r>
    </w:p>
    <w:p w:rsidR="0084741D" w:rsidRDefault="00000000">
      <w:pPr>
        <w:spacing w:after="0" w:line="240" w:lineRule="auto"/>
        <w:ind w:left="-5" w:right="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6B527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Cá AB, Dabo C, Maciel NS, Monte AL, Sousa LB, Lopes Chaves AF, Costa CC. Lacunas da assistência pré-natal que influenciam na mortalidade materna: uma revisão integrativa. </w:t>
      </w:r>
      <w:proofErr w:type="spellStart"/>
      <w:r w:rsidRPr="006B5273">
        <w:rPr>
          <w:rFonts w:ascii="Times New Roman" w:eastAsia="Times New Roman" w:hAnsi="Times New Roman" w:cs="Times New Roman"/>
          <w:i/>
          <w:iCs/>
        </w:rPr>
        <w:t>Rev</w:t>
      </w:r>
      <w:proofErr w:type="spellEnd"/>
      <w:r w:rsidRPr="006B5273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6B5273">
        <w:rPr>
          <w:rFonts w:ascii="Times New Roman" w:eastAsia="Times New Roman" w:hAnsi="Times New Roman" w:cs="Times New Roman"/>
          <w:i/>
          <w:iCs/>
        </w:rPr>
        <w:t>Enferm</w:t>
      </w:r>
      <w:proofErr w:type="spellEnd"/>
      <w:r w:rsidRPr="006B5273">
        <w:rPr>
          <w:rFonts w:ascii="Times New Roman" w:eastAsia="Times New Roman" w:hAnsi="Times New Roman" w:cs="Times New Roman"/>
          <w:i/>
          <w:iCs/>
        </w:rPr>
        <w:t xml:space="preserve"> Atual In Derme</w:t>
      </w:r>
      <w:r>
        <w:rPr>
          <w:rFonts w:ascii="Times New Roman" w:eastAsia="Times New Roman" w:hAnsi="Times New Roman" w:cs="Times New Roman"/>
        </w:rPr>
        <w:t>. 2022;96(38):e021257.</w:t>
      </w:r>
    </w:p>
    <w:sectPr w:rsidR="0084741D">
      <w:headerReference w:type="even" r:id="rId7"/>
      <w:headerReference w:type="first" r:id="rId8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25DD" w:rsidRDefault="001025DD">
      <w:pPr>
        <w:spacing w:after="0" w:line="240" w:lineRule="auto"/>
      </w:pPr>
      <w:r>
        <w:separator/>
      </w:r>
    </w:p>
  </w:endnote>
  <w:endnote w:type="continuationSeparator" w:id="0">
    <w:p w:rsidR="001025DD" w:rsidRDefault="0010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25DD" w:rsidRDefault="001025DD">
      <w:pPr>
        <w:spacing w:after="0" w:line="240" w:lineRule="auto"/>
      </w:pPr>
      <w:r>
        <w:separator/>
      </w:r>
    </w:p>
  </w:footnote>
  <w:footnote w:type="continuationSeparator" w:id="0">
    <w:p w:rsidR="001025DD" w:rsidRDefault="001025DD">
      <w:pPr>
        <w:spacing w:after="0" w:line="240" w:lineRule="auto"/>
      </w:pPr>
      <w:r>
        <w:continuationSeparator/>
      </w:r>
    </w:p>
  </w:footnote>
  <w:footnote w:id="1"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Graduanda em Enfermagem. Faculdade Estácio Castanhal. </w:t>
      </w:r>
      <w:hyperlink r:id="rId1">
        <w:r w:rsidR="0084741D">
          <w:rPr>
            <w:rFonts w:ascii="Times New Roman" w:eastAsia="Times New Roman" w:hAnsi="Times New Roman" w:cs="Times New Roman"/>
            <w:color w:val="0563C1"/>
            <w:u w:val="single"/>
          </w:rPr>
          <w:t>enf.eduardannobre@gmail.com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</w:footnote>
  <w:footnote w:id="2"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</w:footnote>
  <w:footnote w:id="3"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3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>Graduanda em Enfermagem. Faculdade Estácio Castanhal.</w:t>
      </w:r>
    </w:p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3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>Enfermeira. Especialista em Vigilância Epidemiológica. Docente da Universidade Paulista.</w:t>
      </w:r>
    </w:p>
    <w:p w:rsidR="0084741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/>
        <w:jc w:val="left"/>
        <w:rPr>
          <w:color w:val="000000"/>
        </w:rPr>
      </w:pPr>
      <w:r>
        <w:rPr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1D" w:rsidRDefault="00000000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005874805" name="Agrupar 2005874805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1928897482" name="Retângulo 1928897482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59794962" name="Forma Livre: Forma 1859794962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10690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741D" w:rsidRDefault="00000000">
    <w:pPr>
      <w:ind w:firstLine="10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1565825" y="0"/>
                        <a:chExt cx="7560350" cy="7560000"/>
                      </a:xfrm>
                    </wpg:grpSpPr>
                    <wpg:grpSp>
                      <wpg:cNvPr id="2126776200" name="Agrupar 2126776200"/>
                      <wpg:cNvGrpSpPr/>
                      <wpg:grpSpPr>
                        <a:xfrm>
                          <a:off x="1565845" y="0"/>
                          <a:ext cx="7560310" cy="7560000"/>
                          <a:chOff x="0" y="0"/>
                          <a:chExt cx="7560310" cy="10690860"/>
                        </a:xfrm>
                      </wpg:grpSpPr>
                      <wps:wsp>
                        <wps:cNvPr id="791241980" name="Retângulo 791241980"/>
                        <wps:cNvSpPr/>
                        <wps:spPr>
                          <a:xfrm>
                            <a:off x="0" y="0"/>
                            <a:ext cx="7560300" cy="106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4741D" w:rsidRDefault="0084741D">
                              <w:pPr>
                                <w:spacing w:after="0" w:line="240" w:lineRule="auto"/>
                                <w:ind w:lef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79850181" name="Forma Livre: Forma 1179850181"/>
                        <wps:cNvSpPr/>
                        <wps:spPr>
                          <a:xfrm>
                            <a:off x="0" y="0"/>
                            <a:ext cx="756031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10" h="10690860" extrusionOk="0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10690860"/>
                                </a:lnTo>
                                <a:lnTo>
                                  <a:pt x="0" y="10690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310" cy="10690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1025DD"/>
    <w:rsid w:val="002D1F36"/>
    <w:rsid w:val="00391F47"/>
    <w:rsid w:val="00397CA3"/>
    <w:rsid w:val="00414D20"/>
    <w:rsid w:val="004F63BE"/>
    <w:rsid w:val="006B5273"/>
    <w:rsid w:val="008263C5"/>
    <w:rsid w:val="0084741D"/>
    <w:rsid w:val="00901885"/>
    <w:rsid w:val="009310AF"/>
    <w:rsid w:val="00964233"/>
    <w:rsid w:val="00B9685A"/>
    <w:rsid w:val="00BD6EFD"/>
    <w:rsid w:val="00C4591D"/>
    <w:rsid w:val="00C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00F5-A058-419F-B7AB-799F70CF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08" w:line="26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ind w:left="0"/>
      <w:jc w:val="left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60" w:after="80" w:line="259" w:lineRule="auto"/>
      <w:ind w:left="0"/>
      <w:jc w:val="left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ind w:left="0"/>
      <w:jc w:val="left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ind w:left="0"/>
      <w:jc w:val="left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ind w:left="0"/>
      <w:jc w:val="left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ind w:left="0"/>
      <w:jc w:val="left"/>
    </w:pPr>
    <w:rPr>
      <w:rFonts w:ascii="Calibri" w:eastAsia="Calibri" w:hAnsi="Calibri" w:cs="Calibri"/>
      <w:color w:val="00000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  <w:ind w:hanging="10"/>
      <w:jc w:val="left"/>
    </w:pPr>
    <w:rPr>
      <w:rFonts w:ascii="Calibri" w:eastAsia="Calibri" w:hAnsi="Calibri" w:cs="Calibri"/>
      <w:color w:val="595959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B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nf.eduardannob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QUVDWPjezSKaS3wl3Cta/TerA==">CgMxLjA4AHIhMVJpY0Y1VHhwZGh2Yk4tSGZ3dThzWGg3R3BkS2dlZUx4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2025-04-30T19:52:00Z</dcterms:created>
  <dcterms:modified xsi:type="dcterms:W3CDTF">2025-05-10T02:59:00Z</dcterms:modified>
</cp:coreProperties>
</file>