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3EBC" w14:textId="77777777" w:rsidR="00442A47" w:rsidRDefault="00442A47" w:rsidP="00442A47">
      <w:pPr>
        <w:rPr>
          <w:rFonts w:ascii="Arial" w:hAnsi="Arial" w:cs="Arial"/>
          <w:b/>
          <w:bCs/>
        </w:rPr>
      </w:pPr>
    </w:p>
    <w:p w14:paraId="4C2F72BE" w14:textId="42ACE5D4" w:rsidR="00D60C44" w:rsidRPr="00CB5808" w:rsidRDefault="004A25DD" w:rsidP="00D60C44">
      <w:pPr>
        <w:pStyle w:val="NormalWeb"/>
        <w:jc w:val="both"/>
        <w:rPr>
          <w:rFonts w:ascii="Candara" w:hAnsi="Candara" w:cstheme="majorHAnsi"/>
          <w:b/>
        </w:rPr>
      </w:pPr>
      <w:r>
        <w:rPr>
          <w:rFonts w:ascii="Arial" w:hAnsi="Arial" w:cs="Arial"/>
          <w:b/>
          <w:bCs/>
          <w:sz w:val="28"/>
          <w:szCs w:val="28"/>
        </w:rPr>
        <w:t>Ref</w:t>
      </w:r>
      <w:r w:rsidR="00800074">
        <w:rPr>
          <w:rFonts w:ascii="Arial" w:hAnsi="Arial" w:cs="Arial"/>
          <w:b/>
          <w:bCs/>
          <w:sz w:val="28"/>
          <w:szCs w:val="28"/>
        </w:rPr>
        <w:t>ormas da educação</w:t>
      </w:r>
      <w:r>
        <w:rPr>
          <w:rFonts w:ascii="Arial" w:hAnsi="Arial" w:cs="Arial"/>
          <w:b/>
          <w:bCs/>
          <w:sz w:val="28"/>
          <w:szCs w:val="28"/>
        </w:rPr>
        <w:t>,</w:t>
      </w:r>
      <w:r w:rsidR="00800074">
        <w:rPr>
          <w:rFonts w:ascii="Arial" w:hAnsi="Arial" w:cs="Arial"/>
          <w:b/>
          <w:bCs/>
          <w:sz w:val="28"/>
          <w:szCs w:val="28"/>
        </w:rPr>
        <w:t xml:space="preserve"> política para formação de professores</w:t>
      </w:r>
      <w:r>
        <w:rPr>
          <w:rFonts w:ascii="Arial" w:hAnsi="Arial" w:cs="Arial"/>
          <w:b/>
          <w:bCs/>
          <w:sz w:val="28"/>
          <w:szCs w:val="28"/>
        </w:rPr>
        <w:t xml:space="preserve"> e</w:t>
      </w:r>
      <w:r w:rsidR="00800074">
        <w:rPr>
          <w:rFonts w:ascii="Arial" w:hAnsi="Arial" w:cs="Arial"/>
          <w:b/>
          <w:bCs/>
          <w:sz w:val="28"/>
          <w:szCs w:val="28"/>
        </w:rPr>
        <w:t xml:space="preserve"> a via colonial de desenvolvimento</w:t>
      </w:r>
    </w:p>
    <w:p w14:paraId="4C31009A" w14:textId="171278CB" w:rsidR="00442A47" w:rsidRPr="008B3108" w:rsidRDefault="00FF132A" w:rsidP="00FF132A">
      <w:pPr>
        <w:pStyle w:val="Default"/>
        <w:rPr>
          <w:b/>
          <w:bCs/>
          <w:sz w:val="28"/>
          <w:szCs w:val="28"/>
        </w:rPr>
      </w:pPr>
      <w:r>
        <w:t xml:space="preserve"> </w:t>
      </w:r>
    </w:p>
    <w:p w14:paraId="0EF0FEB9" w14:textId="77777777" w:rsidR="00442A47" w:rsidRPr="00442A47" w:rsidRDefault="00442A47" w:rsidP="00AC463E">
      <w:pPr>
        <w:jc w:val="both"/>
        <w:rPr>
          <w:rFonts w:ascii="Arial" w:hAnsi="Arial" w:cs="Arial"/>
          <w:b/>
          <w:bCs/>
        </w:rPr>
      </w:pPr>
    </w:p>
    <w:p w14:paraId="776CFB4E" w14:textId="08BF79FA" w:rsidR="000D34B8" w:rsidRPr="00905EB5" w:rsidRDefault="00442A47" w:rsidP="00905EB5">
      <w:pPr>
        <w:spacing w:after="0" w:line="240" w:lineRule="auto"/>
        <w:jc w:val="right"/>
        <w:rPr>
          <w:rFonts w:ascii="Arial" w:hAnsi="Arial" w:cs="Arial"/>
          <w:b/>
          <w:bCs/>
        </w:rPr>
      </w:pPr>
      <w:r w:rsidRPr="00905EB5">
        <w:rPr>
          <w:rFonts w:ascii="Arial" w:hAnsi="Arial" w:cs="Arial"/>
          <w:b/>
          <w:bCs/>
        </w:rPr>
        <w:t>Autores</w:t>
      </w:r>
    </w:p>
    <w:p w14:paraId="09110AFD" w14:textId="1F525CEF" w:rsidR="00114785" w:rsidRPr="00AC463E" w:rsidRDefault="00114785" w:rsidP="00905EB5">
      <w:pPr>
        <w:spacing w:after="0" w:line="240" w:lineRule="auto"/>
        <w:jc w:val="right"/>
        <w:rPr>
          <w:rFonts w:ascii="Arial" w:hAnsi="Arial" w:cs="Arial"/>
        </w:rPr>
      </w:pPr>
      <w:r w:rsidRPr="00AC463E">
        <w:rPr>
          <w:rFonts w:ascii="Arial" w:hAnsi="Arial" w:cs="Arial"/>
        </w:rPr>
        <w:t>Instituição</w:t>
      </w:r>
    </w:p>
    <w:p w14:paraId="3C19C6CA" w14:textId="461E29CF" w:rsidR="00114785" w:rsidRPr="00AC463E" w:rsidRDefault="00114785" w:rsidP="00905EB5">
      <w:pPr>
        <w:spacing w:after="0" w:line="240" w:lineRule="auto"/>
        <w:jc w:val="right"/>
        <w:rPr>
          <w:rFonts w:ascii="Arial" w:hAnsi="Arial" w:cs="Arial"/>
        </w:rPr>
      </w:pPr>
      <w:r w:rsidRPr="00AC463E">
        <w:rPr>
          <w:rFonts w:ascii="Arial" w:hAnsi="Arial" w:cs="Arial"/>
        </w:rPr>
        <w:t>E-mail</w:t>
      </w:r>
    </w:p>
    <w:p w14:paraId="633A05C3" w14:textId="77777777" w:rsidR="00114785" w:rsidRPr="00905EB5" w:rsidRDefault="00114785" w:rsidP="00905EB5">
      <w:pPr>
        <w:spacing w:after="0" w:line="240" w:lineRule="auto"/>
        <w:jc w:val="right"/>
        <w:rPr>
          <w:rFonts w:ascii="Arial" w:hAnsi="Arial" w:cs="Arial"/>
          <w:b/>
          <w:bCs/>
        </w:rPr>
      </w:pPr>
    </w:p>
    <w:p w14:paraId="36D23CE7" w14:textId="7C102931" w:rsidR="00114785" w:rsidRPr="00905EB5" w:rsidRDefault="00114785" w:rsidP="00905EB5">
      <w:pPr>
        <w:spacing w:after="0" w:line="240" w:lineRule="auto"/>
        <w:jc w:val="right"/>
        <w:rPr>
          <w:rFonts w:ascii="Arial" w:hAnsi="Arial" w:cs="Arial"/>
          <w:b/>
          <w:bCs/>
        </w:rPr>
      </w:pPr>
      <w:r w:rsidRPr="00905EB5">
        <w:rPr>
          <w:rFonts w:ascii="Arial" w:hAnsi="Arial" w:cs="Arial"/>
          <w:b/>
          <w:bCs/>
        </w:rPr>
        <w:t>Coautores</w:t>
      </w:r>
    </w:p>
    <w:p w14:paraId="4C1558AD" w14:textId="49009021" w:rsidR="00FF7CFD" w:rsidRDefault="00905EB5" w:rsidP="00905EB5">
      <w:pPr>
        <w:spacing w:after="0" w:line="240" w:lineRule="auto"/>
        <w:jc w:val="right"/>
        <w:rPr>
          <w:rFonts w:ascii="Arial" w:hAnsi="Arial" w:cs="Arial"/>
        </w:rPr>
      </w:pPr>
      <w:r w:rsidRPr="00AC463E">
        <w:rPr>
          <w:rFonts w:ascii="Arial" w:hAnsi="Arial" w:cs="Arial"/>
        </w:rPr>
        <w:t>Instituição</w:t>
      </w:r>
    </w:p>
    <w:p w14:paraId="35A625CB" w14:textId="4204B47D" w:rsidR="0065514A" w:rsidRDefault="0065514A" w:rsidP="00905EB5">
      <w:pPr>
        <w:spacing w:after="0" w:line="240" w:lineRule="auto"/>
        <w:jc w:val="right"/>
        <w:rPr>
          <w:rFonts w:ascii="Arial" w:hAnsi="Arial" w:cs="Arial"/>
        </w:rPr>
      </w:pPr>
    </w:p>
    <w:p w14:paraId="4C312DE3" w14:textId="3855C3AA" w:rsidR="007C3E8F" w:rsidRDefault="005020C1" w:rsidP="00D008B6">
      <w:pPr>
        <w:pStyle w:val="Default"/>
        <w:spacing w:line="360" w:lineRule="auto"/>
        <w:ind w:firstLine="567"/>
        <w:jc w:val="both"/>
      </w:pPr>
      <w:r w:rsidRPr="007C3E8F">
        <w:t>Este trabalho tem como objetivo identificar a concepç</w:t>
      </w:r>
      <w:r w:rsidR="00026812" w:rsidRPr="007C3E8F">
        <w:t>ão</w:t>
      </w:r>
      <w:r w:rsidRPr="007C3E8F">
        <w:t xml:space="preserve"> </w:t>
      </w:r>
      <w:r w:rsidR="00896FF8">
        <w:t>para a formação</w:t>
      </w:r>
      <w:r w:rsidRPr="007C3E8F">
        <w:t xml:space="preserve"> de professores</w:t>
      </w:r>
      <w:r w:rsidR="00401C3F">
        <w:t xml:space="preserve"> expressa na</w:t>
      </w:r>
      <w:r w:rsidR="00026812" w:rsidRPr="007C3E8F">
        <w:t xml:space="preserve"> </w:t>
      </w:r>
      <w:r w:rsidRPr="007C3E8F">
        <w:t>resolução em vigor</w:t>
      </w:r>
      <w:r w:rsidR="00026812" w:rsidRPr="007C3E8F">
        <w:t>. N</w:t>
      </w:r>
      <w:r w:rsidR="00986E1F">
        <w:t xml:space="preserve">o decorrer da análise </w:t>
      </w:r>
      <w:r w:rsidR="00D008B6">
        <w:t xml:space="preserve">interessa-nos </w:t>
      </w:r>
      <w:r w:rsidR="00986E1F">
        <w:t xml:space="preserve">relacionar </w:t>
      </w:r>
      <w:r w:rsidR="00D008B6">
        <w:t xml:space="preserve">as incongruências </w:t>
      </w:r>
      <w:r w:rsidR="00986E1F">
        <w:t xml:space="preserve">da resolução </w:t>
      </w:r>
      <w:r w:rsidR="007C3E8F" w:rsidRPr="007C3E8F">
        <w:t xml:space="preserve">à </w:t>
      </w:r>
      <w:r w:rsidR="007C3E8F" w:rsidRPr="007C3E8F">
        <w:t>ausência de um projeto nacional de desenvolvimento</w:t>
      </w:r>
      <w:r w:rsidR="00D008B6">
        <w:t xml:space="preserve"> soberano e seus </w:t>
      </w:r>
      <w:r w:rsidR="00986E1F">
        <w:t>agudos</w:t>
      </w:r>
      <w:r w:rsidR="00D008B6">
        <w:t xml:space="preserve"> </w:t>
      </w:r>
      <w:r w:rsidR="00986E1F">
        <w:t xml:space="preserve">impactos </w:t>
      </w:r>
      <w:r w:rsidR="007C3E8F" w:rsidRPr="007C3E8F">
        <w:t>sobre a educação pública</w:t>
      </w:r>
      <w:r w:rsidRPr="007C3E8F">
        <w:t xml:space="preserve">. </w:t>
      </w:r>
      <w:r w:rsidR="007C3E8F" w:rsidRPr="007C3E8F">
        <w:t xml:space="preserve">Para tanto, </w:t>
      </w:r>
      <w:r w:rsidR="007C3E8F" w:rsidRPr="007C3E8F">
        <w:t>realizamos uma análise documental, com base no Materialismo Histórico-Dialético, debruçando-nos sobre a Resolução CNE/CP 0</w:t>
      </w:r>
      <w:r w:rsidR="007C3E8F">
        <w:t>4</w:t>
      </w:r>
      <w:r w:rsidR="007C3E8F" w:rsidRPr="007C3E8F">
        <w:t>/20</w:t>
      </w:r>
      <w:r w:rsidR="007C3E8F">
        <w:t>24</w:t>
      </w:r>
      <w:r w:rsidR="00FF5276">
        <w:t>,</w:t>
      </w:r>
      <w:r w:rsidR="007C3E8F" w:rsidRPr="007C3E8F">
        <w:t xml:space="preserve"> buscando </w:t>
      </w:r>
      <w:r w:rsidR="0055088D">
        <w:t xml:space="preserve">identificar </w:t>
      </w:r>
      <w:r w:rsidR="007C3E8F" w:rsidRPr="007C3E8F">
        <w:t xml:space="preserve">nas </w:t>
      </w:r>
      <w:r w:rsidR="0055088D">
        <w:t xml:space="preserve">suas </w:t>
      </w:r>
      <w:r w:rsidR="007C3E8F" w:rsidRPr="007C3E8F">
        <w:t xml:space="preserve">diretrizes os elementos que </w:t>
      </w:r>
      <w:r w:rsidR="00FF5276">
        <w:t xml:space="preserve">indicam </w:t>
      </w:r>
      <w:r w:rsidR="00D008B6">
        <w:t>os retrocessos na formação de professores</w:t>
      </w:r>
      <w:r w:rsidR="007C3E8F" w:rsidRPr="007C3E8F">
        <w:t>.</w:t>
      </w:r>
    </w:p>
    <w:p w14:paraId="117ADBDB" w14:textId="08672F8F" w:rsidR="00C35B6F" w:rsidRDefault="004A25DD" w:rsidP="008364A1">
      <w:pPr>
        <w:spacing w:after="0" w:line="360" w:lineRule="auto"/>
        <w:ind w:firstLine="567"/>
        <w:jc w:val="both"/>
        <w:rPr>
          <w:rFonts w:ascii="Arial" w:hAnsi="Arial" w:cs="Arial"/>
        </w:rPr>
      </w:pPr>
      <w:r>
        <w:rPr>
          <w:rFonts w:ascii="Arial" w:hAnsi="Arial" w:cs="Arial"/>
        </w:rPr>
        <w:t>E</w:t>
      </w:r>
      <w:r w:rsidR="0065514A" w:rsidRPr="0090401F">
        <w:rPr>
          <w:rFonts w:ascii="Arial" w:hAnsi="Arial" w:cs="Arial"/>
        </w:rPr>
        <w:t xml:space="preserve">m abril de 2024 a Associação </w:t>
      </w:r>
      <w:r w:rsidR="0065514A" w:rsidRPr="0090401F">
        <w:rPr>
          <w:rFonts w:ascii="Arial" w:hAnsi="Arial" w:cs="Arial"/>
          <w:kern w:val="0"/>
        </w:rPr>
        <w:t>Nacional pela Formação dos Profissionais da Educação</w:t>
      </w:r>
      <w:r w:rsidR="0065514A" w:rsidRPr="0090401F">
        <w:rPr>
          <w:rFonts w:ascii="Arial" w:hAnsi="Arial" w:cs="Arial"/>
        </w:rPr>
        <w:t xml:space="preserve"> emitiu </w:t>
      </w:r>
      <w:r w:rsidR="008364A1">
        <w:rPr>
          <w:rFonts w:ascii="Arial" w:hAnsi="Arial" w:cs="Arial"/>
        </w:rPr>
        <w:t>comunicado</w:t>
      </w:r>
      <w:r w:rsidR="0065514A" w:rsidRPr="0090401F">
        <w:rPr>
          <w:rFonts w:ascii="Arial" w:hAnsi="Arial" w:cs="Arial"/>
        </w:rPr>
        <w:t xml:space="preserve"> intitulado </w:t>
      </w:r>
      <w:r w:rsidR="0065514A" w:rsidRPr="00613246">
        <w:rPr>
          <w:rFonts w:ascii="Arial" w:hAnsi="Arial" w:cs="Arial"/>
        </w:rPr>
        <w:t xml:space="preserve">“Nota da Anfope sobre o parecer CNE/CP </w:t>
      </w:r>
      <w:r w:rsidR="0065514A" w:rsidRPr="00613246">
        <w:rPr>
          <w:rFonts w:ascii="Arial" w:hAnsi="Arial" w:cs="Arial"/>
          <w:kern w:val="0"/>
        </w:rPr>
        <w:t>Nº 04/2024”</w:t>
      </w:r>
      <w:r w:rsidR="0065514A" w:rsidRPr="0090401F">
        <w:rPr>
          <w:rFonts w:ascii="Arial" w:hAnsi="Arial" w:cs="Arial"/>
          <w:kern w:val="0"/>
        </w:rPr>
        <w:t xml:space="preserve">. </w:t>
      </w:r>
      <w:r w:rsidR="00AD5C2B">
        <w:rPr>
          <w:rFonts w:ascii="Arial" w:hAnsi="Arial" w:cs="Arial"/>
          <w:kern w:val="0"/>
        </w:rPr>
        <w:t xml:space="preserve">Na sequência, </w:t>
      </w:r>
      <w:r w:rsidR="0090401F">
        <w:rPr>
          <w:rFonts w:ascii="Arial" w:hAnsi="Arial" w:cs="Arial"/>
          <w:kern w:val="0"/>
        </w:rPr>
        <w:t>em</w:t>
      </w:r>
      <w:r w:rsidR="0065514A" w:rsidRPr="0090401F">
        <w:rPr>
          <w:rFonts w:ascii="Arial" w:hAnsi="Arial" w:cs="Arial"/>
        </w:rPr>
        <w:t xml:space="preserve"> </w:t>
      </w:r>
      <w:r w:rsidR="0090401F" w:rsidRPr="0090401F">
        <w:rPr>
          <w:rFonts w:ascii="Arial" w:hAnsi="Arial" w:cs="Arial"/>
        </w:rPr>
        <w:t xml:space="preserve">29 de maio de 2024, o Conselho Nacional de Educação deliberou pela aprovação da </w:t>
      </w:r>
      <w:r w:rsidR="00F14086">
        <w:rPr>
          <w:rFonts w:ascii="Arial" w:hAnsi="Arial" w:cs="Arial"/>
        </w:rPr>
        <w:t>R</w:t>
      </w:r>
      <w:r w:rsidR="0090401F" w:rsidRPr="0090401F">
        <w:rPr>
          <w:rFonts w:ascii="Arial" w:hAnsi="Arial" w:cs="Arial"/>
        </w:rPr>
        <w:t>esolução</w:t>
      </w:r>
      <w:r w:rsidR="00650907">
        <w:rPr>
          <w:rFonts w:ascii="Arial" w:hAnsi="Arial" w:cs="Arial"/>
        </w:rPr>
        <w:t xml:space="preserve">. </w:t>
      </w:r>
      <w:r w:rsidR="00AD5C2B" w:rsidRPr="00AD5C2B">
        <w:rPr>
          <w:rFonts w:ascii="Arial" w:hAnsi="Arial" w:cs="Arial"/>
        </w:rPr>
        <w:t xml:space="preserve">A </w:t>
      </w:r>
      <w:r w:rsidR="002918D7" w:rsidRPr="00AD5C2B">
        <w:rPr>
          <w:rFonts w:ascii="Arial" w:hAnsi="Arial" w:cs="Arial"/>
        </w:rPr>
        <w:t>Anfope</w:t>
      </w:r>
      <w:r w:rsidR="008F270A" w:rsidRPr="00AD5C2B">
        <w:rPr>
          <w:rFonts w:ascii="Arial" w:hAnsi="Arial" w:cs="Arial"/>
        </w:rPr>
        <w:t xml:space="preserve"> posicion</w:t>
      </w:r>
      <w:r w:rsidR="00AD5C2B" w:rsidRPr="00AD5C2B">
        <w:rPr>
          <w:rFonts w:ascii="Arial" w:hAnsi="Arial" w:cs="Arial"/>
        </w:rPr>
        <w:t>ou</w:t>
      </w:r>
      <w:r w:rsidR="008F270A" w:rsidRPr="00AD5C2B">
        <w:rPr>
          <w:rFonts w:ascii="Arial" w:hAnsi="Arial" w:cs="Arial"/>
        </w:rPr>
        <w:t>-se contrári</w:t>
      </w:r>
      <w:r w:rsidR="00AD5C2B" w:rsidRPr="00AD5C2B">
        <w:rPr>
          <w:rFonts w:ascii="Arial" w:hAnsi="Arial" w:cs="Arial"/>
        </w:rPr>
        <w:t>a</w:t>
      </w:r>
      <w:r w:rsidR="008F270A" w:rsidRPr="00AD5C2B">
        <w:rPr>
          <w:rFonts w:ascii="Arial" w:hAnsi="Arial" w:cs="Arial"/>
        </w:rPr>
        <w:t xml:space="preserve"> </w:t>
      </w:r>
      <w:r w:rsidR="00613246" w:rsidRPr="00AD5C2B">
        <w:rPr>
          <w:rFonts w:ascii="Arial" w:hAnsi="Arial" w:cs="Arial"/>
        </w:rPr>
        <w:t>a forma açodada que marcou o processo de discussão</w:t>
      </w:r>
      <w:r w:rsidR="0083695B">
        <w:rPr>
          <w:rFonts w:ascii="Arial" w:hAnsi="Arial" w:cs="Arial"/>
        </w:rPr>
        <w:t>;</w:t>
      </w:r>
      <w:r w:rsidR="00F14086">
        <w:rPr>
          <w:rFonts w:ascii="Arial" w:hAnsi="Arial" w:cs="Arial"/>
        </w:rPr>
        <w:t xml:space="preserve"> </w:t>
      </w:r>
      <w:r w:rsidR="00613246" w:rsidRPr="00712F7F">
        <w:rPr>
          <w:rFonts w:ascii="Arial" w:hAnsi="Arial" w:cs="Arial"/>
          <w:kern w:val="0"/>
        </w:rPr>
        <w:t>“</w:t>
      </w:r>
      <w:r w:rsidR="00F14086" w:rsidRPr="00712F7F">
        <w:rPr>
          <w:rFonts w:ascii="Arial" w:hAnsi="Arial" w:cs="Arial"/>
          <w:kern w:val="0"/>
        </w:rPr>
        <w:t xml:space="preserve">[...] </w:t>
      </w:r>
      <w:r w:rsidR="00613246" w:rsidRPr="00712F7F">
        <w:rPr>
          <w:rFonts w:ascii="Arial" w:hAnsi="Arial" w:cs="Arial"/>
          <w:kern w:val="0"/>
        </w:rPr>
        <w:t>cabe esclarecer os equívocos desse processo, marcado pela ausência de diálogo” (Anfope</w:t>
      </w:r>
      <w:r w:rsidR="00613246" w:rsidRPr="00712F7F">
        <w:rPr>
          <w:rFonts w:ascii="Arial" w:hAnsi="Arial" w:cs="Arial"/>
        </w:rPr>
        <w:t>,</w:t>
      </w:r>
      <w:r w:rsidR="008F270A" w:rsidRPr="00712F7F">
        <w:rPr>
          <w:rFonts w:ascii="Arial" w:hAnsi="Arial" w:cs="Arial"/>
        </w:rPr>
        <w:t xml:space="preserve"> </w:t>
      </w:r>
      <w:r w:rsidR="00613246" w:rsidRPr="00712F7F">
        <w:rPr>
          <w:rFonts w:ascii="Arial" w:hAnsi="Arial" w:cs="Arial"/>
        </w:rPr>
        <w:t>2024.p.01).</w:t>
      </w:r>
      <w:r w:rsidR="002918D7" w:rsidRPr="00AD5C2B">
        <w:rPr>
          <w:rFonts w:ascii="Arial" w:hAnsi="Arial" w:cs="Arial"/>
        </w:rPr>
        <w:t xml:space="preserve"> </w:t>
      </w:r>
      <w:r w:rsidR="008364A1">
        <w:rPr>
          <w:rFonts w:ascii="Arial" w:hAnsi="Arial" w:cs="Arial"/>
        </w:rPr>
        <w:t>O parecer e o projeto de resolução</w:t>
      </w:r>
      <w:r w:rsidR="008364A1">
        <w:rPr>
          <w:rFonts w:ascii="Arial" w:hAnsi="Arial" w:cs="Arial"/>
          <w:kern w:val="0"/>
        </w:rPr>
        <w:t xml:space="preserve"> </w:t>
      </w:r>
      <w:r w:rsidR="007B7D9E">
        <w:rPr>
          <w:rFonts w:ascii="Arial" w:hAnsi="Arial" w:cs="Arial"/>
          <w:kern w:val="0"/>
        </w:rPr>
        <w:t xml:space="preserve">resultaram </w:t>
      </w:r>
      <w:r w:rsidR="0083695B">
        <w:rPr>
          <w:rFonts w:ascii="Arial" w:hAnsi="Arial" w:cs="Arial"/>
          <w:kern w:val="0"/>
        </w:rPr>
        <w:t>n</w:t>
      </w:r>
      <w:r w:rsidR="00BD17E1">
        <w:rPr>
          <w:rFonts w:ascii="Arial" w:hAnsi="Arial" w:cs="Arial"/>
          <w:kern w:val="0"/>
        </w:rPr>
        <w:t>uma miscelânia de ideias assentadas na epistemologia da prática, a considerar</w:t>
      </w:r>
      <w:r w:rsidR="008364A1">
        <w:rPr>
          <w:rFonts w:ascii="Arial" w:hAnsi="Arial" w:cs="Arial"/>
        </w:rPr>
        <w:t xml:space="preserve"> que</w:t>
      </w:r>
      <w:r w:rsidR="000F3AC3">
        <w:rPr>
          <w:rFonts w:ascii="Arial" w:hAnsi="Arial" w:cs="Arial"/>
        </w:rPr>
        <w:t xml:space="preserve">: </w:t>
      </w:r>
      <w:r w:rsidR="00C35B6F">
        <w:rPr>
          <w:rFonts w:ascii="Arial" w:hAnsi="Arial" w:cs="Arial"/>
        </w:rPr>
        <w:t xml:space="preserve"> </w:t>
      </w:r>
    </w:p>
    <w:p w14:paraId="4528380B" w14:textId="49330794" w:rsidR="000F3AC3" w:rsidRPr="000F3AC3" w:rsidRDefault="000F3AC3" w:rsidP="000F3AC3">
      <w:pPr>
        <w:pStyle w:val="Default"/>
        <w:ind w:left="2268"/>
        <w:jc w:val="both"/>
        <w:rPr>
          <w:sz w:val="20"/>
          <w:szCs w:val="20"/>
        </w:rPr>
      </w:pPr>
      <w:r w:rsidRPr="000F3AC3">
        <w:rPr>
          <w:rFonts w:ascii="TimesNewRomanPSMT" w:hAnsi="TimesNewRomanPSMT" w:cs="TimesNewRomanPSMT"/>
          <w:sz w:val="20"/>
          <w:szCs w:val="20"/>
        </w:rPr>
        <w:t xml:space="preserve">No </w:t>
      </w:r>
      <w:r w:rsidR="003500FC">
        <w:rPr>
          <w:rFonts w:ascii="TimesNewRomanPSMT" w:hAnsi="TimesNewRomanPSMT" w:cs="TimesNewRomanPSMT"/>
          <w:sz w:val="20"/>
          <w:szCs w:val="20"/>
        </w:rPr>
        <w:t>p</w:t>
      </w:r>
      <w:r w:rsidRPr="000F3AC3">
        <w:rPr>
          <w:rFonts w:ascii="TimesNewRomanPSMT" w:hAnsi="TimesNewRomanPSMT" w:cs="TimesNewRomanPSMT"/>
          <w:sz w:val="20"/>
          <w:szCs w:val="20"/>
        </w:rPr>
        <w:t xml:space="preserve">arecer e no </w:t>
      </w:r>
      <w:r w:rsidR="003500FC">
        <w:rPr>
          <w:rFonts w:ascii="TimesNewRomanPSMT" w:hAnsi="TimesNewRomanPSMT" w:cs="TimesNewRomanPSMT"/>
          <w:sz w:val="20"/>
          <w:szCs w:val="20"/>
        </w:rPr>
        <w:t>p</w:t>
      </w:r>
      <w:r w:rsidRPr="000F3AC3">
        <w:rPr>
          <w:rFonts w:ascii="TimesNewRomanPSMT" w:hAnsi="TimesNewRomanPSMT" w:cs="TimesNewRomanPSMT"/>
          <w:sz w:val="20"/>
          <w:szCs w:val="20"/>
        </w:rPr>
        <w:t xml:space="preserve">rojeto de </w:t>
      </w:r>
      <w:r w:rsidR="003500FC">
        <w:rPr>
          <w:rFonts w:ascii="TimesNewRomanPSMT" w:hAnsi="TimesNewRomanPSMT" w:cs="TimesNewRomanPSMT"/>
          <w:sz w:val="20"/>
          <w:szCs w:val="20"/>
        </w:rPr>
        <w:t>r</w:t>
      </w:r>
      <w:r w:rsidRPr="000F3AC3">
        <w:rPr>
          <w:rFonts w:ascii="TimesNewRomanPSMT" w:hAnsi="TimesNewRomanPSMT" w:cs="TimesNewRomanPSMT"/>
          <w:sz w:val="20"/>
          <w:szCs w:val="20"/>
        </w:rPr>
        <w:t>esolução, os conceitos e orientações para a formação inicial parecem ser uma junção de propostas e intervenções que sinalizam para uma formação sem a articulação de fundamentos e princípios formativos na proposta de uma educação que seja humanizadora e emancipatória (</w:t>
      </w:r>
      <w:r w:rsidRPr="000F3AC3">
        <w:rPr>
          <w:rFonts w:ascii="Times New Roman" w:hAnsi="Times New Roman" w:cs="Times New Roman"/>
          <w:sz w:val="20"/>
          <w:szCs w:val="20"/>
        </w:rPr>
        <w:t>A</w:t>
      </w:r>
      <w:r w:rsidR="00106558">
        <w:rPr>
          <w:rFonts w:ascii="Times New Roman" w:hAnsi="Times New Roman" w:cs="Times New Roman"/>
          <w:sz w:val="20"/>
          <w:szCs w:val="20"/>
        </w:rPr>
        <w:t>nfope</w:t>
      </w:r>
      <w:r w:rsidRPr="000F3AC3">
        <w:rPr>
          <w:rFonts w:ascii="Times New Roman" w:hAnsi="Times New Roman" w:cs="Times New Roman"/>
          <w:sz w:val="20"/>
          <w:szCs w:val="20"/>
        </w:rPr>
        <w:t>, 20</w:t>
      </w:r>
      <w:r>
        <w:rPr>
          <w:rFonts w:ascii="Times New Roman" w:hAnsi="Times New Roman" w:cs="Times New Roman"/>
          <w:sz w:val="20"/>
          <w:szCs w:val="20"/>
        </w:rPr>
        <w:t>24</w:t>
      </w:r>
      <w:r w:rsidRPr="000F3AC3">
        <w:rPr>
          <w:rFonts w:ascii="Times New Roman" w:hAnsi="Times New Roman" w:cs="Times New Roman"/>
          <w:sz w:val="20"/>
          <w:szCs w:val="20"/>
        </w:rPr>
        <w:t>, p.</w:t>
      </w:r>
      <w:r>
        <w:rPr>
          <w:rFonts w:ascii="Times New Roman" w:hAnsi="Times New Roman" w:cs="Times New Roman"/>
          <w:sz w:val="20"/>
          <w:szCs w:val="20"/>
        </w:rPr>
        <w:t>03</w:t>
      </w:r>
      <w:r w:rsidRPr="000F3AC3">
        <w:rPr>
          <w:rFonts w:ascii="Times New Roman" w:hAnsi="Times New Roman" w:cs="Times New Roman"/>
          <w:sz w:val="20"/>
          <w:szCs w:val="20"/>
        </w:rPr>
        <w:t>)</w:t>
      </w:r>
      <w:r w:rsidRPr="000F3AC3">
        <w:rPr>
          <w:rFonts w:ascii="TimesNewRomanPSMT" w:hAnsi="TimesNewRomanPSMT" w:cs="TimesNewRomanPSMT"/>
          <w:sz w:val="20"/>
          <w:szCs w:val="20"/>
        </w:rPr>
        <w:t>.</w:t>
      </w:r>
    </w:p>
    <w:p w14:paraId="5C787123" w14:textId="6D81AF08" w:rsidR="0083569C" w:rsidRPr="004302F4" w:rsidRDefault="00296593" w:rsidP="004302F4">
      <w:pPr>
        <w:autoSpaceDE w:val="0"/>
        <w:autoSpaceDN w:val="0"/>
        <w:adjustRightInd w:val="0"/>
        <w:spacing w:after="0" w:line="360" w:lineRule="auto"/>
        <w:ind w:left="2268"/>
        <w:jc w:val="both"/>
        <w:rPr>
          <w:rFonts w:ascii="Arial" w:hAnsi="Arial" w:cs="Arial"/>
          <w:sz w:val="20"/>
          <w:szCs w:val="20"/>
        </w:rPr>
      </w:pPr>
      <w:r w:rsidRPr="000F3AC3">
        <w:rPr>
          <w:rFonts w:ascii="Arial" w:hAnsi="Arial" w:cs="Arial"/>
          <w:sz w:val="20"/>
          <w:szCs w:val="20"/>
        </w:rPr>
        <w:t xml:space="preserve"> </w:t>
      </w:r>
      <w:r w:rsidR="002918D7" w:rsidRPr="000F3AC3">
        <w:rPr>
          <w:rFonts w:ascii="Arial" w:hAnsi="Arial" w:cs="Arial"/>
          <w:sz w:val="20"/>
          <w:szCs w:val="20"/>
        </w:rPr>
        <w:t xml:space="preserve"> </w:t>
      </w:r>
    </w:p>
    <w:p w14:paraId="00FA2CCA" w14:textId="194A25E7" w:rsidR="004302F4" w:rsidRDefault="006F3038" w:rsidP="006C5A3B">
      <w:pPr>
        <w:pStyle w:val="Default"/>
        <w:spacing w:line="360" w:lineRule="auto"/>
        <w:ind w:firstLine="567"/>
        <w:jc w:val="both"/>
      </w:pPr>
      <w:r>
        <w:lastRenderedPageBreak/>
        <w:t>Logo,</w:t>
      </w:r>
      <w:r w:rsidR="0022445C">
        <w:t xml:space="preserve"> </w:t>
      </w:r>
      <w:r w:rsidR="00E43D15">
        <w:t xml:space="preserve">temos que </w:t>
      </w:r>
      <w:r w:rsidR="0022445C">
        <w:t>a</w:t>
      </w:r>
      <w:r w:rsidR="004302F4">
        <w:t xml:space="preserve"> resolução </w:t>
      </w:r>
      <w:r w:rsidR="003E41B3" w:rsidRPr="00613246">
        <w:t>CNE/CP Nº 04/2024</w:t>
      </w:r>
      <w:r w:rsidR="00650907">
        <w:t xml:space="preserve"> </w:t>
      </w:r>
      <w:r w:rsidR="004302F4">
        <w:t>apresenta sérios problemas relacionados</w:t>
      </w:r>
      <w:r w:rsidR="006C5A3B">
        <w:t xml:space="preserve"> à ex</w:t>
      </w:r>
      <w:r w:rsidR="004302F4" w:rsidRPr="006C5A3B">
        <w:t xml:space="preserve">tinção de 400 horas de prática pedagógica como componente curricular, </w:t>
      </w:r>
      <w:r w:rsidR="006C5A3B">
        <w:t>a</w:t>
      </w:r>
      <w:r w:rsidR="004302F4" w:rsidRPr="006C5A3B">
        <w:t>usência da valorização profissional</w:t>
      </w:r>
      <w:r w:rsidR="00B255E1">
        <w:t xml:space="preserve"> </w:t>
      </w:r>
      <w:r w:rsidR="00A95E39">
        <w:t xml:space="preserve">ao longo da carreira </w:t>
      </w:r>
      <w:r w:rsidR="00B255E1">
        <w:t>docente</w:t>
      </w:r>
      <w:r w:rsidR="004302F4" w:rsidRPr="006C5A3B">
        <w:t xml:space="preserve">, </w:t>
      </w:r>
      <w:r w:rsidR="006C5A3B">
        <w:t>i</w:t>
      </w:r>
      <w:r w:rsidR="004302F4" w:rsidRPr="006C5A3B">
        <w:t xml:space="preserve">nexistência </w:t>
      </w:r>
      <w:r w:rsidR="006C5A3B">
        <w:t xml:space="preserve">de uma política para </w:t>
      </w:r>
      <w:r w:rsidR="004302F4" w:rsidRPr="006C5A3B">
        <w:t xml:space="preserve">a formação continuada, </w:t>
      </w:r>
      <w:r w:rsidR="006C5A3B">
        <w:t>a</w:t>
      </w:r>
      <w:r w:rsidR="004302F4" w:rsidRPr="006C5A3B">
        <w:t xml:space="preserve">bsenteísmo </w:t>
      </w:r>
      <w:r w:rsidR="006C5A3B">
        <w:t xml:space="preserve">em relação </w:t>
      </w:r>
      <w:r w:rsidR="00AC59DB">
        <w:t>a disseminação indiscriminada d</w:t>
      </w:r>
      <w:r w:rsidR="004302F4" w:rsidRPr="006C5A3B">
        <w:t xml:space="preserve">os </w:t>
      </w:r>
      <w:r w:rsidR="00B255E1">
        <w:t>c</w:t>
      </w:r>
      <w:r w:rsidR="004302F4" w:rsidRPr="006C5A3B">
        <w:t xml:space="preserve">ursos </w:t>
      </w:r>
      <w:r w:rsidR="00B255E1">
        <w:t xml:space="preserve">na modalidade </w:t>
      </w:r>
      <w:r w:rsidR="004302F4" w:rsidRPr="006C5A3B">
        <w:t xml:space="preserve">EaD, </w:t>
      </w:r>
      <w:r w:rsidR="00B255E1">
        <w:t>r</w:t>
      </w:r>
      <w:r w:rsidR="004302F4" w:rsidRPr="006C5A3B">
        <w:t xml:space="preserve">etrocesso na concepção </w:t>
      </w:r>
      <w:r w:rsidR="00AC59DB">
        <w:t>política relativas à</w:t>
      </w:r>
      <w:r w:rsidR="00B255E1">
        <w:t xml:space="preserve">s ações </w:t>
      </w:r>
      <w:r w:rsidR="004302F4" w:rsidRPr="006C5A3B">
        <w:t>extens</w:t>
      </w:r>
      <w:r w:rsidR="00B255E1">
        <w:t>ionistas</w:t>
      </w:r>
      <w:r w:rsidR="006C5A3B">
        <w:t xml:space="preserve">, entre outros </w:t>
      </w:r>
      <w:r w:rsidR="00AC59DB">
        <w:t xml:space="preserve">problemas </w:t>
      </w:r>
      <w:r w:rsidR="006C5A3B">
        <w:t>(ANFOPE, 2024).</w:t>
      </w:r>
    </w:p>
    <w:p w14:paraId="309B8C3E" w14:textId="0986BCB3" w:rsidR="008E381C" w:rsidRDefault="00EC430C" w:rsidP="00225BE5">
      <w:pPr>
        <w:pStyle w:val="Default"/>
        <w:spacing w:line="360" w:lineRule="auto"/>
        <w:ind w:firstLine="567"/>
        <w:jc w:val="both"/>
        <w:rPr>
          <w:shd w:val="clear" w:color="auto" w:fill="FFFFFF"/>
        </w:rPr>
      </w:pPr>
      <w:r>
        <w:t xml:space="preserve">Contudo, </w:t>
      </w:r>
      <w:r w:rsidR="00626CC5">
        <w:t xml:space="preserve">o açodamento </w:t>
      </w:r>
      <w:r w:rsidR="004151CC">
        <w:t>na</w:t>
      </w:r>
      <w:r w:rsidR="00626CC5">
        <w:t xml:space="preserve"> elaboração d</w:t>
      </w:r>
      <w:r w:rsidR="00947CD9">
        <w:t xml:space="preserve">as diretrizes curriculares para a formação </w:t>
      </w:r>
      <w:r w:rsidR="00274AF2">
        <w:t xml:space="preserve">inicial </w:t>
      </w:r>
      <w:r w:rsidR="00947CD9">
        <w:t>de professores</w:t>
      </w:r>
      <w:r w:rsidR="00CF6A58">
        <w:t xml:space="preserve"> e</w:t>
      </w:r>
      <w:r w:rsidR="00626CC5">
        <w:t xml:space="preserve"> </w:t>
      </w:r>
      <w:r w:rsidR="004151CC">
        <w:t>seus equivocados</w:t>
      </w:r>
      <w:r w:rsidR="00274AF2">
        <w:t xml:space="preserve"> funda</w:t>
      </w:r>
      <w:r w:rsidR="00626CC5">
        <w:t>mento</w:t>
      </w:r>
      <w:r w:rsidR="00842FA7">
        <w:t>s</w:t>
      </w:r>
      <w:r w:rsidR="00626CC5">
        <w:t xml:space="preserve"> </w:t>
      </w:r>
      <w:r w:rsidR="000E1044">
        <w:t>“</w:t>
      </w:r>
      <w:r w:rsidR="00842FA7">
        <w:t xml:space="preserve">teóricos </w:t>
      </w:r>
      <w:r w:rsidR="00274AF2">
        <w:t>prátic</w:t>
      </w:r>
      <w:r w:rsidR="00842FA7">
        <w:t>os”</w:t>
      </w:r>
      <w:r w:rsidR="00274AF2">
        <w:t xml:space="preserve">, </w:t>
      </w:r>
      <w:r w:rsidR="00CF6A58">
        <w:t>devem ser compreendidos</w:t>
      </w:r>
      <w:r w:rsidR="00626CC5">
        <w:t xml:space="preserve"> pela </w:t>
      </w:r>
      <w:r w:rsidR="00274AF2">
        <w:t xml:space="preserve">necessidade permanente em se promover </w:t>
      </w:r>
      <w:r w:rsidR="00947CD9">
        <w:t xml:space="preserve">reformas educacionais </w:t>
      </w:r>
      <w:r w:rsidR="00274AF2">
        <w:t xml:space="preserve">de modo a adequar o ensino </w:t>
      </w:r>
      <w:r w:rsidR="00626CC5">
        <w:t xml:space="preserve">público </w:t>
      </w:r>
      <w:r w:rsidR="00274AF2">
        <w:t xml:space="preserve">ao perfil da força de trabalho </w:t>
      </w:r>
      <w:r w:rsidR="00842FA7">
        <w:t>requerida</w:t>
      </w:r>
      <w:r w:rsidR="00274AF2">
        <w:t xml:space="preserve"> pelo mercado de emprego.</w:t>
      </w:r>
      <w:r w:rsidR="00E006FC">
        <w:t xml:space="preserve"> São </w:t>
      </w:r>
      <w:r w:rsidR="00DB423F">
        <w:t xml:space="preserve">mudanças </w:t>
      </w:r>
      <w:r w:rsidR="00274AF2">
        <w:t xml:space="preserve">educacionais orientadas por organismos </w:t>
      </w:r>
      <w:r w:rsidR="00F24D30">
        <w:t xml:space="preserve">como a </w:t>
      </w:r>
      <w:r w:rsidR="00D548E1" w:rsidRPr="00D548E1">
        <w:rPr>
          <w:shd w:val="clear" w:color="auto" w:fill="FFFFFF"/>
        </w:rPr>
        <w:t>Organização das Nações Unidas para a Educação, a Ciência e a Cultura </w:t>
      </w:r>
      <w:r w:rsidR="00C24A52">
        <w:rPr>
          <w:shd w:val="clear" w:color="auto" w:fill="FFFFFF"/>
        </w:rPr>
        <w:t>-</w:t>
      </w:r>
      <w:r w:rsidR="00D548E1" w:rsidRPr="00D548E1">
        <w:rPr>
          <w:shd w:val="clear" w:color="auto" w:fill="FFFFFF"/>
        </w:rPr>
        <w:t>UNESCO</w:t>
      </w:r>
      <w:r w:rsidR="00F24D30">
        <w:rPr>
          <w:shd w:val="clear" w:color="auto" w:fill="FFFFFF"/>
        </w:rPr>
        <w:t>.</w:t>
      </w:r>
    </w:p>
    <w:p w14:paraId="26A02365" w14:textId="3744AC28" w:rsidR="000C5937" w:rsidRDefault="00E006FC" w:rsidP="00225BE5">
      <w:pPr>
        <w:pStyle w:val="Default"/>
        <w:spacing w:line="360" w:lineRule="auto"/>
        <w:ind w:firstLine="567"/>
        <w:jc w:val="both"/>
        <w:rPr>
          <w:rStyle w:val="nfase"/>
          <w:i w:val="0"/>
          <w:iCs w:val="0"/>
          <w:shd w:val="clear" w:color="auto" w:fill="FFFFFF"/>
        </w:rPr>
      </w:pPr>
      <w:r>
        <w:rPr>
          <w:shd w:val="clear" w:color="auto" w:fill="FFFFFF"/>
        </w:rPr>
        <w:t xml:space="preserve">Nossos estudos indicam que </w:t>
      </w:r>
      <w:r w:rsidR="00F24D30">
        <w:rPr>
          <w:shd w:val="clear" w:color="auto" w:fill="FFFFFF"/>
        </w:rPr>
        <w:t>o aparente improviso a motivar reformas permanentes na educação</w:t>
      </w:r>
      <w:r w:rsidR="00E62E5B">
        <w:rPr>
          <w:shd w:val="clear" w:color="auto" w:fill="FFFFFF"/>
        </w:rPr>
        <w:t>,</w:t>
      </w:r>
      <w:r w:rsidR="00F24D30">
        <w:rPr>
          <w:shd w:val="clear" w:color="auto" w:fill="FFFFFF"/>
        </w:rPr>
        <w:t xml:space="preserve"> ao fim, denota a </w:t>
      </w:r>
      <w:r w:rsidR="00EB4080">
        <w:rPr>
          <w:shd w:val="clear" w:color="auto" w:fill="FFFFFF"/>
        </w:rPr>
        <w:t xml:space="preserve">condição </w:t>
      </w:r>
      <w:r w:rsidR="008E52FF">
        <w:rPr>
          <w:shd w:val="clear" w:color="auto" w:fill="FFFFFF"/>
        </w:rPr>
        <w:t xml:space="preserve">da inserção </w:t>
      </w:r>
      <w:r w:rsidR="00EB4080">
        <w:rPr>
          <w:shd w:val="clear" w:color="auto" w:fill="FFFFFF"/>
        </w:rPr>
        <w:t>brasileira na divisão internacional do trabalho</w:t>
      </w:r>
      <w:r w:rsidR="008E52FF">
        <w:rPr>
          <w:shd w:val="clear" w:color="auto" w:fill="FFFFFF"/>
        </w:rPr>
        <w:t xml:space="preserve"> e a correlata </w:t>
      </w:r>
      <w:r w:rsidR="00EB4080">
        <w:rPr>
          <w:shd w:val="clear" w:color="auto" w:fill="FFFFFF"/>
        </w:rPr>
        <w:t xml:space="preserve">ausência de um projeto </w:t>
      </w:r>
      <w:r w:rsidR="008E52FF">
        <w:rPr>
          <w:shd w:val="clear" w:color="auto" w:fill="FFFFFF"/>
        </w:rPr>
        <w:t xml:space="preserve">de desenvolvimento </w:t>
      </w:r>
      <w:r w:rsidR="00F24D30">
        <w:rPr>
          <w:shd w:val="clear" w:color="auto" w:fill="FFFFFF"/>
        </w:rPr>
        <w:t>nacional soberano</w:t>
      </w:r>
      <w:r w:rsidR="008F2B3D">
        <w:rPr>
          <w:shd w:val="clear" w:color="auto" w:fill="FFFFFF"/>
        </w:rPr>
        <w:t>. Trata-se</w:t>
      </w:r>
      <w:r w:rsidR="00F24D30">
        <w:rPr>
          <w:shd w:val="clear" w:color="auto" w:fill="FFFFFF"/>
        </w:rPr>
        <w:t xml:space="preserve"> </w:t>
      </w:r>
      <w:r w:rsidR="008F2B3D">
        <w:rPr>
          <w:shd w:val="clear" w:color="auto" w:fill="FFFFFF"/>
        </w:rPr>
        <w:t>d</w:t>
      </w:r>
      <w:r w:rsidR="00EB4080">
        <w:rPr>
          <w:shd w:val="clear" w:color="auto" w:fill="FFFFFF"/>
        </w:rPr>
        <w:t>a</w:t>
      </w:r>
      <w:r w:rsidR="008F2B3D">
        <w:rPr>
          <w:shd w:val="clear" w:color="auto" w:fill="FFFFFF"/>
        </w:rPr>
        <w:t xml:space="preserve"> nossa</w:t>
      </w:r>
      <w:r w:rsidR="00EB4080">
        <w:rPr>
          <w:shd w:val="clear" w:color="auto" w:fill="FFFFFF"/>
        </w:rPr>
        <w:t xml:space="preserve"> </w:t>
      </w:r>
      <w:r w:rsidR="008F2B3D">
        <w:rPr>
          <w:shd w:val="clear" w:color="auto" w:fill="FFFFFF"/>
        </w:rPr>
        <w:t xml:space="preserve">histórica </w:t>
      </w:r>
      <w:r w:rsidR="00274AF2">
        <w:t>subordina</w:t>
      </w:r>
      <w:r w:rsidR="00EB4080">
        <w:t>ção</w:t>
      </w:r>
      <w:r w:rsidR="008F2B3D">
        <w:t xml:space="preserve"> </w:t>
      </w:r>
      <w:r w:rsidR="00984508">
        <w:t>por meio d</w:t>
      </w:r>
      <w:r w:rsidR="0074539D">
        <w:t xml:space="preserve">a nossa </w:t>
      </w:r>
      <w:r w:rsidR="008F2B3D">
        <w:rPr>
          <w:rStyle w:val="nfase"/>
          <w:i w:val="0"/>
          <w:iCs w:val="0"/>
          <w:shd w:val="clear" w:color="auto" w:fill="FFFFFF"/>
        </w:rPr>
        <w:t>v</w:t>
      </w:r>
      <w:r w:rsidR="0074539D" w:rsidRPr="0074539D">
        <w:rPr>
          <w:rStyle w:val="nfase"/>
          <w:i w:val="0"/>
          <w:iCs w:val="0"/>
          <w:shd w:val="clear" w:color="auto" w:fill="FFFFFF"/>
        </w:rPr>
        <w:t xml:space="preserve">ia </w:t>
      </w:r>
      <w:r w:rsidR="008F2B3D">
        <w:rPr>
          <w:rStyle w:val="nfase"/>
          <w:i w:val="0"/>
          <w:iCs w:val="0"/>
          <w:shd w:val="clear" w:color="auto" w:fill="FFFFFF"/>
        </w:rPr>
        <w:t>c</w:t>
      </w:r>
      <w:r w:rsidR="0074539D" w:rsidRPr="0074539D">
        <w:rPr>
          <w:rStyle w:val="nfase"/>
          <w:i w:val="0"/>
          <w:iCs w:val="0"/>
          <w:shd w:val="clear" w:color="auto" w:fill="FFFFFF"/>
        </w:rPr>
        <w:t xml:space="preserve">olonial </w:t>
      </w:r>
      <w:r w:rsidR="008F2B3D">
        <w:rPr>
          <w:rStyle w:val="nfase"/>
          <w:i w:val="0"/>
          <w:iCs w:val="0"/>
          <w:shd w:val="clear" w:color="auto" w:fill="FFFFFF"/>
        </w:rPr>
        <w:t>de desenvolvimento</w:t>
      </w:r>
      <w:r w:rsidR="00617B5F">
        <w:rPr>
          <w:rStyle w:val="nfase"/>
          <w:i w:val="0"/>
          <w:iCs w:val="0"/>
          <w:shd w:val="clear" w:color="auto" w:fill="FFFFFF"/>
        </w:rPr>
        <w:t xml:space="preserve">, </w:t>
      </w:r>
      <w:r w:rsidR="00984508">
        <w:rPr>
          <w:rStyle w:val="nfase"/>
          <w:i w:val="0"/>
          <w:iCs w:val="0"/>
          <w:shd w:val="clear" w:color="auto" w:fill="FFFFFF"/>
        </w:rPr>
        <w:t>cujo processo de</w:t>
      </w:r>
      <w:r w:rsidR="00617B5F">
        <w:rPr>
          <w:rStyle w:val="nfase"/>
          <w:i w:val="0"/>
          <w:iCs w:val="0"/>
          <w:shd w:val="clear" w:color="auto" w:fill="FFFFFF"/>
        </w:rPr>
        <w:t xml:space="preserve"> objetivação</w:t>
      </w:r>
      <w:r w:rsidR="008F2B3D">
        <w:rPr>
          <w:rStyle w:val="nfase"/>
          <w:i w:val="0"/>
          <w:iCs w:val="0"/>
          <w:shd w:val="clear" w:color="auto" w:fill="FFFFFF"/>
        </w:rPr>
        <w:t xml:space="preserve"> </w:t>
      </w:r>
      <w:r w:rsidR="00984508">
        <w:rPr>
          <w:rStyle w:val="nfase"/>
          <w:i w:val="0"/>
          <w:iCs w:val="0"/>
          <w:shd w:val="clear" w:color="auto" w:fill="FFFFFF"/>
        </w:rPr>
        <w:t>possui as seguinte</w:t>
      </w:r>
      <w:r w:rsidR="00C527B0">
        <w:rPr>
          <w:rStyle w:val="nfase"/>
          <w:i w:val="0"/>
          <w:iCs w:val="0"/>
          <w:shd w:val="clear" w:color="auto" w:fill="FFFFFF"/>
        </w:rPr>
        <w:t>s</w:t>
      </w:r>
      <w:r w:rsidR="00984508">
        <w:rPr>
          <w:rStyle w:val="nfase"/>
          <w:i w:val="0"/>
          <w:iCs w:val="0"/>
          <w:shd w:val="clear" w:color="auto" w:fill="FFFFFF"/>
        </w:rPr>
        <w:t xml:space="preserve"> características</w:t>
      </w:r>
      <w:r w:rsidR="00617B5F">
        <w:rPr>
          <w:rStyle w:val="nfase"/>
          <w:i w:val="0"/>
          <w:iCs w:val="0"/>
          <w:shd w:val="clear" w:color="auto" w:fill="FFFFFF"/>
        </w:rPr>
        <w:t>:</w:t>
      </w:r>
    </w:p>
    <w:p w14:paraId="18156638" w14:textId="1DAAFC5D" w:rsidR="00225BE5" w:rsidRDefault="00617B5F" w:rsidP="00617B5F">
      <w:pPr>
        <w:shd w:val="clear" w:color="auto" w:fill="FFFFFF"/>
        <w:spacing w:after="0" w:line="240" w:lineRule="auto"/>
        <w:ind w:left="2268"/>
        <w:jc w:val="both"/>
        <w:rPr>
          <w:rStyle w:val="nfase"/>
          <w:rFonts w:ascii="Arial" w:hAnsi="Arial" w:cs="Arial"/>
          <w:i w:val="0"/>
          <w:iCs w:val="0"/>
          <w:shd w:val="clear" w:color="auto" w:fill="FFFFFF"/>
        </w:rPr>
      </w:pPr>
      <w:r>
        <w:rPr>
          <w:rFonts w:ascii="Arial" w:eastAsia="Times New Roman" w:hAnsi="Arial" w:cs="Arial"/>
          <w:kern w:val="0"/>
          <w:sz w:val="20"/>
          <w:szCs w:val="20"/>
          <w:lang w:eastAsia="pt-BR"/>
          <w14:ligatures w14:val="none"/>
        </w:rPr>
        <w:t xml:space="preserve">[...] </w:t>
      </w:r>
      <w:r w:rsidR="000C5937" w:rsidRPr="000C5937">
        <w:rPr>
          <w:rFonts w:ascii="Arial" w:eastAsia="Times New Roman" w:hAnsi="Arial" w:cs="Arial"/>
          <w:kern w:val="0"/>
          <w:sz w:val="20"/>
          <w:szCs w:val="20"/>
          <w:lang w:eastAsia="pt-BR"/>
          <w14:ligatures w14:val="none"/>
        </w:rPr>
        <w:t xml:space="preserve">nesse caminho particular, não se processaria por um corte com o modo de produção pré-capitalista, os “resquícios feudais”, mas conservaria as determinações dessa estrutura agrária, organização produtiva com base no latifúndio, com seu sentido da colonização, voltado para fora. Daí o desenvolvimento restringido do mercado interno e o lento caminhar do processo industrial, </w:t>
      </w:r>
      <w:r w:rsidR="000C5937" w:rsidRPr="008E2A97">
        <w:rPr>
          <w:rFonts w:ascii="Arial" w:eastAsia="Times New Roman" w:hAnsi="Arial" w:cs="Arial"/>
          <w:b/>
          <w:bCs/>
          <w:kern w:val="0"/>
          <w:sz w:val="20"/>
          <w:szCs w:val="20"/>
          <w:lang w:eastAsia="pt-BR"/>
          <w14:ligatures w14:val="none"/>
        </w:rPr>
        <w:t>o caráter retardatário do desenvolvimento das forças produtivas materiais</w:t>
      </w:r>
      <w:r w:rsidR="000C5937" w:rsidRPr="000C5937">
        <w:rPr>
          <w:rFonts w:ascii="Arial" w:eastAsia="Times New Roman" w:hAnsi="Arial" w:cs="Arial"/>
          <w:kern w:val="0"/>
          <w:sz w:val="20"/>
          <w:szCs w:val="20"/>
          <w:lang w:eastAsia="pt-BR"/>
          <w14:ligatures w14:val="none"/>
        </w:rPr>
        <w:t>, com a exclusão de grande contingente da população brasileira da vida nacional</w:t>
      </w:r>
      <w:r>
        <w:rPr>
          <w:rFonts w:ascii="Arial" w:eastAsia="Times New Roman" w:hAnsi="Arial" w:cs="Arial"/>
          <w:kern w:val="0"/>
          <w:sz w:val="20"/>
          <w:szCs w:val="20"/>
          <w:lang w:eastAsia="pt-BR"/>
          <w14:ligatures w14:val="none"/>
        </w:rPr>
        <w:t xml:space="preserve"> </w:t>
      </w:r>
      <w:r w:rsidR="0074539D" w:rsidRPr="00617B5F">
        <w:rPr>
          <w:rStyle w:val="nfase"/>
          <w:rFonts w:ascii="Arial" w:hAnsi="Arial" w:cs="Arial"/>
          <w:i w:val="0"/>
          <w:iCs w:val="0"/>
          <w:sz w:val="20"/>
          <w:szCs w:val="20"/>
          <w:shd w:val="clear" w:color="auto" w:fill="FFFFFF"/>
        </w:rPr>
        <w:t>(F</w:t>
      </w:r>
      <w:r w:rsidR="004C2B61">
        <w:rPr>
          <w:rStyle w:val="nfase"/>
          <w:rFonts w:ascii="Arial" w:hAnsi="Arial" w:cs="Arial"/>
          <w:i w:val="0"/>
          <w:iCs w:val="0"/>
          <w:sz w:val="20"/>
          <w:szCs w:val="20"/>
          <w:shd w:val="clear" w:color="auto" w:fill="FFFFFF"/>
        </w:rPr>
        <w:t>ilho</w:t>
      </w:r>
      <w:r w:rsidR="0074539D" w:rsidRPr="00617B5F">
        <w:rPr>
          <w:rStyle w:val="nfase"/>
          <w:rFonts w:ascii="Arial" w:hAnsi="Arial" w:cs="Arial"/>
          <w:i w:val="0"/>
          <w:iCs w:val="0"/>
          <w:sz w:val="20"/>
          <w:szCs w:val="20"/>
          <w:shd w:val="clear" w:color="auto" w:fill="FFFFFF"/>
        </w:rPr>
        <w:t>, 2010</w:t>
      </w:r>
      <w:r w:rsidRPr="00617B5F">
        <w:rPr>
          <w:rStyle w:val="nfase"/>
          <w:rFonts w:ascii="Arial" w:hAnsi="Arial" w:cs="Arial"/>
          <w:i w:val="0"/>
          <w:iCs w:val="0"/>
          <w:sz w:val="20"/>
          <w:szCs w:val="20"/>
          <w:shd w:val="clear" w:color="auto" w:fill="FFFFFF"/>
        </w:rPr>
        <w:t>, p.</w:t>
      </w:r>
      <w:r w:rsidR="007E2243">
        <w:rPr>
          <w:rStyle w:val="nfase"/>
          <w:rFonts w:ascii="Arial" w:hAnsi="Arial" w:cs="Arial"/>
          <w:i w:val="0"/>
          <w:iCs w:val="0"/>
          <w:sz w:val="20"/>
          <w:szCs w:val="20"/>
          <w:shd w:val="clear" w:color="auto" w:fill="FFFFFF"/>
        </w:rPr>
        <w:t xml:space="preserve"> </w:t>
      </w:r>
      <w:r w:rsidRPr="00617B5F">
        <w:rPr>
          <w:rStyle w:val="nfase"/>
          <w:rFonts w:ascii="Arial" w:hAnsi="Arial" w:cs="Arial"/>
          <w:i w:val="0"/>
          <w:iCs w:val="0"/>
          <w:sz w:val="20"/>
          <w:szCs w:val="20"/>
          <w:shd w:val="clear" w:color="auto" w:fill="FFFFFF"/>
        </w:rPr>
        <w:t>06</w:t>
      </w:r>
      <w:r w:rsidR="0074539D" w:rsidRPr="00617B5F">
        <w:rPr>
          <w:rStyle w:val="nfase"/>
          <w:rFonts w:ascii="Arial" w:hAnsi="Arial" w:cs="Arial"/>
          <w:i w:val="0"/>
          <w:iCs w:val="0"/>
          <w:sz w:val="20"/>
          <w:szCs w:val="20"/>
          <w:shd w:val="clear" w:color="auto" w:fill="FFFFFF"/>
        </w:rPr>
        <w:t>).</w:t>
      </w:r>
      <w:r w:rsidR="0074539D" w:rsidRPr="0074539D">
        <w:rPr>
          <w:rStyle w:val="nfase"/>
          <w:rFonts w:ascii="Arial" w:hAnsi="Arial" w:cs="Arial"/>
          <w:i w:val="0"/>
          <w:iCs w:val="0"/>
          <w:shd w:val="clear" w:color="auto" w:fill="FFFFFF"/>
        </w:rPr>
        <w:t xml:space="preserve"> </w:t>
      </w:r>
    </w:p>
    <w:p w14:paraId="05637E6E" w14:textId="77777777" w:rsidR="00617B5F" w:rsidRDefault="00617B5F" w:rsidP="00617B5F">
      <w:pPr>
        <w:shd w:val="clear" w:color="auto" w:fill="FFFFFF"/>
        <w:spacing w:after="0" w:line="240" w:lineRule="auto"/>
        <w:ind w:left="2268"/>
        <w:jc w:val="both"/>
        <w:rPr>
          <w:rStyle w:val="nfase"/>
          <w:i w:val="0"/>
          <w:iCs w:val="0"/>
          <w:shd w:val="clear" w:color="auto" w:fill="FFFFFF"/>
        </w:rPr>
      </w:pPr>
    </w:p>
    <w:p w14:paraId="13A185A3" w14:textId="33359BD5" w:rsidR="00225BE5" w:rsidRPr="00225BE5" w:rsidRDefault="00225BE5" w:rsidP="00225BE5">
      <w:pPr>
        <w:pStyle w:val="Default"/>
        <w:spacing w:line="360" w:lineRule="auto"/>
        <w:ind w:firstLine="567"/>
        <w:jc w:val="both"/>
        <w:rPr>
          <w:shd w:val="clear" w:color="auto" w:fill="FFFFFF"/>
        </w:rPr>
      </w:pPr>
      <w:r>
        <w:t xml:space="preserve">Em traços gerais, </w:t>
      </w:r>
      <w:r w:rsidRPr="00225BE5">
        <w:t xml:space="preserve">a </w:t>
      </w:r>
      <w:r>
        <w:t>v</w:t>
      </w:r>
      <w:r w:rsidRPr="00225BE5">
        <w:t xml:space="preserve">ia </w:t>
      </w:r>
      <w:r>
        <w:t>c</w:t>
      </w:r>
      <w:r w:rsidRPr="00225BE5">
        <w:t xml:space="preserve">olonial de desenvolvimento, </w:t>
      </w:r>
      <w:r w:rsidR="00C527B0">
        <w:t>combinado a nossa</w:t>
      </w:r>
      <w:r w:rsidRPr="00225BE5">
        <w:t xml:space="preserve"> industrialização tardio/dependente</w:t>
      </w:r>
      <w:r w:rsidR="00F55A9F">
        <w:t xml:space="preserve">, </w:t>
      </w:r>
      <w:r>
        <w:t>f</w:t>
      </w:r>
      <w:r w:rsidR="00F55A9F">
        <w:t>a</w:t>
      </w:r>
      <w:r>
        <w:t xml:space="preserve">z </w:t>
      </w:r>
      <w:r w:rsidRPr="00225BE5">
        <w:t>recrudescer contradições insolúveis</w:t>
      </w:r>
      <w:r w:rsidR="00617B5F">
        <w:t xml:space="preserve"> assim analisadas:</w:t>
      </w:r>
      <w:r>
        <w:t xml:space="preserve"> </w:t>
      </w:r>
    </w:p>
    <w:p w14:paraId="1E31B368" w14:textId="3AB8C95A" w:rsidR="00225BE5" w:rsidRPr="00225BE5" w:rsidRDefault="00E62E5B" w:rsidP="00225BE5">
      <w:pPr>
        <w:spacing w:before="240" w:after="240"/>
        <w:ind w:left="2410"/>
        <w:jc w:val="both"/>
        <w:rPr>
          <w:rFonts w:ascii="Arial" w:hAnsi="Arial" w:cs="Arial"/>
          <w:sz w:val="20"/>
          <w:szCs w:val="20"/>
        </w:rPr>
      </w:pPr>
      <w:r>
        <w:rPr>
          <w:rFonts w:ascii="Arial" w:hAnsi="Arial" w:cs="Arial"/>
          <w:sz w:val="20"/>
          <w:szCs w:val="20"/>
        </w:rPr>
        <w:t xml:space="preserve">[...] </w:t>
      </w:r>
      <w:r w:rsidR="00225BE5" w:rsidRPr="00225BE5">
        <w:rPr>
          <w:rFonts w:ascii="Arial" w:hAnsi="Arial" w:cs="Arial"/>
          <w:sz w:val="20"/>
          <w:szCs w:val="20"/>
        </w:rPr>
        <w:t xml:space="preserve">a tendência do capitalismo brasileiro que o torna incapaz de criar mercados na proporção de seu desenvolvimento e, mais ainda, o leva a restringir esses mercados, em termos relativos. Trata-se de uma </w:t>
      </w:r>
      <w:r w:rsidR="00225BE5" w:rsidRPr="00225BE5">
        <w:rPr>
          <w:rFonts w:ascii="Arial" w:hAnsi="Arial" w:cs="Arial"/>
          <w:sz w:val="20"/>
          <w:szCs w:val="20"/>
        </w:rPr>
        <w:lastRenderedPageBreak/>
        <w:t>agudização da lei geral de acumulação capitalista, isto é, da absolutização da tendência ao pauperismo, que leva ao estrangulamento da própria capacidade produtiva do sistema, já evidenciada pelos altos índices de capacidade ociosa verificado na indústria brasileira mesmo em sua fase de maior expansão. O desenvolvimento dessa contradição essencial do capitalismo brasileiro leva à mais total irracionalidade, isto é, expandir a produção, restringindo cada vez mais a possibilidade de consumo e aumentando constantemente o exército industrial de reserva. (M</w:t>
      </w:r>
      <w:r w:rsidR="00E34DA5">
        <w:rPr>
          <w:rFonts w:ascii="Arial" w:hAnsi="Arial" w:cs="Arial"/>
          <w:sz w:val="20"/>
          <w:szCs w:val="20"/>
        </w:rPr>
        <w:t>arini</w:t>
      </w:r>
      <w:r w:rsidR="00225BE5" w:rsidRPr="00225BE5">
        <w:rPr>
          <w:rFonts w:ascii="Arial" w:hAnsi="Arial" w:cs="Arial"/>
          <w:sz w:val="20"/>
          <w:szCs w:val="20"/>
        </w:rPr>
        <w:t>, 2000, p. 97).</w:t>
      </w:r>
    </w:p>
    <w:p w14:paraId="71F693BD" w14:textId="51B26C72" w:rsidR="00670146" w:rsidRDefault="005A03CC" w:rsidP="002639B3">
      <w:pPr>
        <w:spacing w:line="360" w:lineRule="auto"/>
        <w:ind w:firstLine="709"/>
        <w:jc w:val="both"/>
        <w:rPr>
          <w:rFonts w:ascii="Times New Roman" w:hAnsi="Times New Roman" w:cs="Times New Roman"/>
          <w:shd w:val="clear" w:color="auto" w:fill="FFFFFF"/>
        </w:rPr>
      </w:pPr>
      <w:r>
        <w:rPr>
          <w:rFonts w:ascii="Arial" w:hAnsi="Arial" w:cs="Arial"/>
        </w:rPr>
        <w:t>Com</w:t>
      </w:r>
      <w:r w:rsidR="00BB4EA4">
        <w:rPr>
          <w:rFonts w:ascii="Arial" w:hAnsi="Arial" w:cs="Arial"/>
        </w:rPr>
        <w:t>o parte</w:t>
      </w:r>
      <w:r>
        <w:rPr>
          <w:rFonts w:ascii="Arial" w:hAnsi="Arial" w:cs="Arial"/>
        </w:rPr>
        <w:t xml:space="preserve"> </w:t>
      </w:r>
      <w:r w:rsidR="00BB4EA4">
        <w:rPr>
          <w:rFonts w:ascii="Arial" w:hAnsi="Arial" w:cs="Arial"/>
        </w:rPr>
        <w:t>d</w:t>
      </w:r>
      <w:r>
        <w:rPr>
          <w:rFonts w:ascii="Arial" w:hAnsi="Arial" w:cs="Arial"/>
        </w:rPr>
        <w:t>a</w:t>
      </w:r>
      <w:r w:rsidR="00E0279D">
        <w:rPr>
          <w:rFonts w:ascii="Arial" w:hAnsi="Arial" w:cs="Arial"/>
        </w:rPr>
        <w:t xml:space="preserve"> </w:t>
      </w:r>
      <w:r w:rsidR="00BB4EA4">
        <w:rPr>
          <w:rFonts w:ascii="Arial" w:hAnsi="Arial" w:cs="Arial"/>
        </w:rPr>
        <w:t>cons</w:t>
      </w:r>
      <w:r w:rsidR="00A52CA1">
        <w:rPr>
          <w:rFonts w:ascii="Arial" w:hAnsi="Arial" w:cs="Arial"/>
        </w:rPr>
        <w:t>o</w:t>
      </w:r>
      <w:r w:rsidR="00BB4EA4">
        <w:rPr>
          <w:rFonts w:ascii="Arial" w:hAnsi="Arial" w:cs="Arial"/>
        </w:rPr>
        <w:t>lida</w:t>
      </w:r>
      <w:r w:rsidR="00A52CA1">
        <w:rPr>
          <w:rFonts w:ascii="Arial" w:hAnsi="Arial" w:cs="Arial"/>
        </w:rPr>
        <w:t xml:space="preserve">ção </w:t>
      </w:r>
      <w:r w:rsidR="00E0279D">
        <w:rPr>
          <w:rFonts w:ascii="Arial" w:hAnsi="Arial" w:cs="Arial"/>
        </w:rPr>
        <w:t xml:space="preserve">do </w:t>
      </w:r>
      <w:r w:rsidR="00A52CA1">
        <w:rPr>
          <w:rFonts w:ascii="Arial" w:hAnsi="Arial" w:cs="Arial"/>
        </w:rPr>
        <w:t xml:space="preserve">novo </w:t>
      </w:r>
      <w:r w:rsidR="00E0279D">
        <w:rPr>
          <w:rFonts w:ascii="Arial" w:hAnsi="Arial" w:cs="Arial"/>
        </w:rPr>
        <w:t>parque industrial iniciado no governo de Juscelino</w:t>
      </w:r>
      <w:r w:rsidR="00E0279D" w:rsidRPr="00053D75">
        <w:rPr>
          <w:rFonts w:ascii="Arial" w:hAnsi="Arial" w:cs="Arial"/>
        </w:rPr>
        <w:t xml:space="preserve"> </w:t>
      </w:r>
      <w:r w:rsidR="00E0279D" w:rsidRPr="00053D75">
        <w:rPr>
          <w:rFonts w:ascii="Arial" w:hAnsi="Arial" w:cs="Arial"/>
          <w:shd w:val="clear" w:color="auto" w:fill="FFFFFF"/>
        </w:rPr>
        <w:t>Kubitschek</w:t>
      </w:r>
      <w:r w:rsidR="00A52CA1">
        <w:rPr>
          <w:rFonts w:ascii="Arial" w:hAnsi="Arial" w:cs="Arial"/>
          <w:shd w:val="clear" w:color="auto" w:fill="FFFFFF"/>
        </w:rPr>
        <w:t xml:space="preserve"> (1956-1961)</w:t>
      </w:r>
      <w:r w:rsidR="00E0279D">
        <w:rPr>
          <w:rFonts w:ascii="Arial" w:hAnsi="Arial" w:cs="Arial"/>
          <w:shd w:val="clear" w:color="auto" w:fill="FFFFFF"/>
        </w:rPr>
        <w:t>,</w:t>
      </w:r>
      <w:r w:rsidR="00E0279D">
        <w:rPr>
          <w:rFonts w:ascii="Arial" w:hAnsi="Arial" w:cs="Arial"/>
        </w:rPr>
        <w:t xml:space="preserve"> </w:t>
      </w:r>
      <w:r w:rsidR="00A52CA1">
        <w:rPr>
          <w:rFonts w:ascii="Arial" w:hAnsi="Arial" w:cs="Arial"/>
        </w:rPr>
        <w:t>n</w:t>
      </w:r>
      <w:r w:rsidR="00225BE5" w:rsidRPr="00225BE5">
        <w:rPr>
          <w:rFonts w:ascii="Arial" w:hAnsi="Arial" w:cs="Arial"/>
        </w:rPr>
        <w:t xml:space="preserve">o período do </w:t>
      </w:r>
      <w:r w:rsidR="008E3569">
        <w:rPr>
          <w:rFonts w:ascii="Arial" w:hAnsi="Arial" w:cs="Arial"/>
        </w:rPr>
        <w:t>r</w:t>
      </w:r>
      <w:r w:rsidR="00225BE5" w:rsidRPr="00225BE5">
        <w:rPr>
          <w:rFonts w:ascii="Arial" w:hAnsi="Arial" w:cs="Arial"/>
        </w:rPr>
        <w:t xml:space="preserve">egime </w:t>
      </w:r>
      <w:r w:rsidR="008E3569">
        <w:rPr>
          <w:rFonts w:ascii="Arial" w:hAnsi="Arial" w:cs="Arial"/>
        </w:rPr>
        <w:t>m</w:t>
      </w:r>
      <w:r w:rsidR="00225BE5" w:rsidRPr="00225BE5">
        <w:rPr>
          <w:rFonts w:ascii="Arial" w:hAnsi="Arial" w:cs="Arial"/>
        </w:rPr>
        <w:t>ilitar</w:t>
      </w:r>
      <w:r w:rsidR="00F56D25">
        <w:rPr>
          <w:rFonts w:ascii="Arial" w:hAnsi="Arial" w:cs="Arial"/>
        </w:rPr>
        <w:t xml:space="preserve"> (1964-1985)</w:t>
      </w:r>
      <w:r w:rsidR="00E0279D">
        <w:rPr>
          <w:rFonts w:ascii="Arial" w:hAnsi="Arial" w:cs="Arial"/>
        </w:rPr>
        <w:t>,</w:t>
      </w:r>
      <w:r w:rsidR="00225BE5" w:rsidRPr="00225BE5">
        <w:rPr>
          <w:rFonts w:ascii="Arial" w:hAnsi="Arial" w:cs="Arial"/>
        </w:rPr>
        <w:t xml:space="preserve"> </w:t>
      </w:r>
      <w:r w:rsidR="00BB4EA4">
        <w:rPr>
          <w:rFonts w:ascii="Arial" w:hAnsi="Arial" w:cs="Arial"/>
        </w:rPr>
        <w:t xml:space="preserve">concebeu-se </w:t>
      </w:r>
      <w:r w:rsidR="00E0279D">
        <w:rPr>
          <w:rFonts w:ascii="Arial" w:hAnsi="Arial" w:cs="Arial"/>
          <w:shd w:val="clear" w:color="auto" w:fill="FFFFFF"/>
        </w:rPr>
        <w:t xml:space="preserve">um </w:t>
      </w:r>
      <w:r w:rsidR="00053D75">
        <w:rPr>
          <w:rFonts w:ascii="Arial" w:hAnsi="Arial" w:cs="Arial"/>
          <w:shd w:val="clear" w:color="auto" w:fill="FFFFFF"/>
        </w:rPr>
        <w:t xml:space="preserve">ensino </w:t>
      </w:r>
      <w:r w:rsidR="00F56D25">
        <w:rPr>
          <w:rFonts w:ascii="Arial" w:hAnsi="Arial" w:cs="Arial"/>
          <w:shd w:val="clear" w:color="auto" w:fill="FFFFFF"/>
        </w:rPr>
        <w:t xml:space="preserve">público </w:t>
      </w:r>
      <w:r w:rsidR="009E6797">
        <w:rPr>
          <w:rFonts w:ascii="Arial" w:hAnsi="Arial" w:cs="Arial"/>
          <w:shd w:val="clear" w:color="auto" w:fill="FFFFFF"/>
        </w:rPr>
        <w:t>ancorado na teoria do capital humano</w:t>
      </w:r>
      <w:r w:rsidR="00E0279D">
        <w:rPr>
          <w:rFonts w:ascii="Arial" w:hAnsi="Arial" w:cs="Arial"/>
          <w:shd w:val="clear" w:color="auto" w:fill="FFFFFF"/>
        </w:rPr>
        <w:t xml:space="preserve"> com vistas a</w:t>
      </w:r>
      <w:r w:rsidR="009E6797">
        <w:rPr>
          <w:rFonts w:ascii="Arial" w:hAnsi="Arial" w:cs="Arial"/>
          <w:shd w:val="clear" w:color="auto" w:fill="FFFFFF"/>
        </w:rPr>
        <w:t xml:space="preserve"> </w:t>
      </w:r>
      <w:r w:rsidR="00053D75">
        <w:rPr>
          <w:rFonts w:ascii="Arial" w:hAnsi="Arial" w:cs="Arial"/>
          <w:shd w:val="clear" w:color="auto" w:fill="FFFFFF"/>
        </w:rPr>
        <w:t>forma</w:t>
      </w:r>
      <w:r w:rsidR="00E0279D">
        <w:rPr>
          <w:rFonts w:ascii="Arial" w:hAnsi="Arial" w:cs="Arial"/>
          <w:shd w:val="clear" w:color="auto" w:fill="FFFFFF"/>
        </w:rPr>
        <w:t>r</w:t>
      </w:r>
      <w:r w:rsidR="00053D75">
        <w:rPr>
          <w:rFonts w:ascii="Arial" w:hAnsi="Arial" w:cs="Arial"/>
          <w:shd w:val="clear" w:color="auto" w:fill="FFFFFF"/>
        </w:rPr>
        <w:t xml:space="preserve"> uma força de trabalho demanda</w:t>
      </w:r>
      <w:r w:rsidR="00F56D25">
        <w:rPr>
          <w:rFonts w:ascii="Arial" w:hAnsi="Arial" w:cs="Arial"/>
          <w:shd w:val="clear" w:color="auto" w:fill="FFFFFF"/>
        </w:rPr>
        <w:t>da</w:t>
      </w:r>
      <w:r w:rsidR="00053D75">
        <w:rPr>
          <w:rFonts w:ascii="Arial" w:hAnsi="Arial" w:cs="Arial"/>
          <w:shd w:val="clear" w:color="auto" w:fill="FFFFFF"/>
        </w:rPr>
        <w:t xml:space="preserve"> pelas companhias monopolistas. </w:t>
      </w:r>
      <w:r w:rsidR="009E6797">
        <w:rPr>
          <w:rFonts w:ascii="Arial" w:hAnsi="Arial" w:cs="Arial"/>
          <w:shd w:val="clear" w:color="auto" w:fill="FFFFFF"/>
        </w:rPr>
        <w:t xml:space="preserve">A </w:t>
      </w:r>
      <w:r w:rsidR="00225BE5" w:rsidRPr="00225BE5">
        <w:rPr>
          <w:rFonts w:ascii="Arial" w:hAnsi="Arial" w:cs="Arial"/>
        </w:rPr>
        <w:t>inter</w:t>
      </w:r>
      <w:r w:rsidR="005D66FE">
        <w:rPr>
          <w:rFonts w:ascii="Arial" w:hAnsi="Arial" w:cs="Arial"/>
        </w:rPr>
        <w:t>de</w:t>
      </w:r>
      <w:r w:rsidR="00225BE5" w:rsidRPr="00225BE5">
        <w:rPr>
          <w:rFonts w:ascii="Arial" w:hAnsi="Arial" w:cs="Arial"/>
        </w:rPr>
        <w:t>pendência continental</w:t>
      </w:r>
      <w:r w:rsidR="005444CF">
        <w:rPr>
          <w:rFonts w:ascii="Arial" w:hAnsi="Arial" w:cs="Arial"/>
        </w:rPr>
        <w:t xml:space="preserve"> </w:t>
      </w:r>
      <w:r w:rsidR="005444CF" w:rsidRPr="00225BE5">
        <w:rPr>
          <w:rFonts w:ascii="Arial" w:hAnsi="Arial" w:cs="Arial"/>
        </w:rPr>
        <w:t>aos E</w:t>
      </w:r>
      <w:r w:rsidR="00431034">
        <w:rPr>
          <w:rFonts w:ascii="Arial" w:hAnsi="Arial" w:cs="Arial"/>
        </w:rPr>
        <w:t>UA</w:t>
      </w:r>
      <w:r w:rsidR="009E6797">
        <w:rPr>
          <w:rFonts w:ascii="Arial" w:hAnsi="Arial" w:cs="Arial"/>
        </w:rPr>
        <w:t xml:space="preserve"> </w:t>
      </w:r>
      <w:r w:rsidR="00225BE5" w:rsidRPr="00225BE5">
        <w:rPr>
          <w:rFonts w:ascii="Arial" w:hAnsi="Arial" w:cs="Arial"/>
        </w:rPr>
        <w:t xml:space="preserve">por </w:t>
      </w:r>
      <w:r w:rsidR="009E6797">
        <w:rPr>
          <w:rFonts w:ascii="Arial" w:hAnsi="Arial" w:cs="Arial"/>
        </w:rPr>
        <w:t xml:space="preserve">meio </w:t>
      </w:r>
      <w:r w:rsidR="00225BE5" w:rsidRPr="00225BE5">
        <w:rPr>
          <w:rFonts w:ascii="Arial" w:hAnsi="Arial" w:cs="Arial"/>
        </w:rPr>
        <w:t>d</w:t>
      </w:r>
      <w:r w:rsidR="00225BE5" w:rsidRPr="00225BE5">
        <w:rPr>
          <w:rFonts w:ascii="Arial" w:hAnsi="Arial" w:cs="Arial"/>
          <w:shd w:val="clear" w:color="auto" w:fill="FFFFFF"/>
        </w:rPr>
        <w:t>a Lei N</w:t>
      </w:r>
      <w:r w:rsidR="00225BE5" w:rsidRPr="00225BE5">
        <w:rPr>
          <w:rFonts w:ascii="Arial" w:hAnsi="Arial" w:cs="Arial"/>
          <w:shd w:val="clear" w:color="auto" w:fill="FFFFFF"/>
          <w:vertAlign w:val="superscript"/>
        </w:rPr>
        <w:t>o</w:t>
      </w:r>
      <w:r w:rsidR="00225BE5" w:rsidRPr="00225BE5">
        <w:rPr>
          <w:rFonts w:ascii="Arial" w:hAnsi="Arial" w:cs="Arial"/>
          <w:shd w:val="clear" w:color="auto" w:fill="FFFFFF"/>
        </w:rPr>
        <w:t xml:space="preserve"> 5.540/68</w:t>
      </w:r>
      <w:r w:rsidR="00804838">
        <w:rPr>
          <w:rFonts w:ascii="Arial" w:hAnsi="Arial" w:cs="Arial"/>
          <w:shd w:val="clear" w:color="auto" w:fill="FFFFFF"/>
        </w:rPr>
        <w:t>,</w:t>
      </w:r>
      <w:r w:rsidR="00670146">
        <w:rPr>
          <w:rFonts w:ascii="Arial" w:hAnsi="Arial" w:cs="Arial"/>
          <w:shd w:val="clear" w:color="auto" w:fill="FFFFFF"/>
        </w:rPr>
        <w:t xml:space="preserve"> </w:t>
      </w:r>
      <w:r w:rsidR="009F5B07">
        <w:rPr>
          <w:rFonts w:ascii="Arial" w:hAnsi="Arial" w:cs="Arial"/>
          <w:shd w:val="clear" w:color="auto" w:fill="FFFFFF"/>
        </w:rPr>
        <w:t xml:space="preserve">fez </w:t>
      </w:r>
      <w:r w:rsidR="00225BE5" w:rsidRPr="00225BE5">
        <w:rPr>
          <w:rFonts w:ascii="Arial" w:hAnsi="Arial" w:cs="Arial"/>
          <w:shd w:val="clear" w:color="auto" w:fill="FFFFFF"/>
        </w:rPr>
        <w:t>sel</w:t>
      </w:r>
      <w:r w:rsidR="009F5B07">
        <w:rPr>
          <w:rFonts w:ascii="Arial" w:hAnsi="Arial" w:cs="Arial"/>
          <w:shd w:val="clear" w:color="auto" w:fill="FFFFFF"/>
        </w:rPr>
        <w:t>ar</w:t>
      </w:r>
      <w:r w:rsidR="00670146">
        <w:rPr>
          <w:rFonts w:ascii="Arial" w:hAnsi="Arial" w:cs="Arial"/>
          <w:shd w:val="clear" w:color="auto" w:fill="FFFFFF"/>
        </w:rPr>
        <w:t xml:space="preserve"> </w:t>
      </w:r>
      <w:r w:rsidR="00225BE5" w:rsidRPr="00225BE5">
        <w:rPr>
          <w:rFonts w:ascii="Arial" w:hAnsi="Arial" w:cs="Arial"/>
          <w:shd w:val="clear" w:color="auto" w:fill="FFFFFF"/>
        </w:rPr>
        <w:t xml:space="preserve">o acordo entre o </w:t>
      </w:r>
      <w:r w:rsidR="00225BE5" w:rsidRPr="00225BE5">
        <w:rPr>
          <w:rFonts w:ascii="Arial" w:hAnsi="Arial" w:cs="Arial"/>
          <w:bCs/>
          <w:shd w:val="clear" w:color="auto" w:fill="FFFFFF"/>
        </w:rPr>
        <w:t>Ministério da Educação</w:t>
      </w:r>
      <w:r w:rsidR="00225BE5" w:rsidRPr="00225BE5">
        <w:rPr>
          <w:rFonts w:ascii="Arial" w:hAnsi="Arial" w:cs="Arial"/>
          <w:shd w:val="clear" w:color="auto" w:fill="FFFFFF"/>
        </w:rPr>
        <w:t> e</w:t>
      </w:r>
      <w:r w:rsidR="00EC76FC">
        <w:rPr>
          <w:rFonts w:ascii="Arial" w:hAnsi="Arial" w:cs="Arial"/>
          <w:shd w:val="clear" w:color="auto" w:fill="FFFFFF"/>
        </w:rPr>
        <w:t xml:space="preserve"> </w:t>
      </w:r>
      <w:r w:rsidR="00225BE5" w:rsidRPr="00225BE5">
        <w:rPr>
          <w:rFonts w:ascii="Arial" w:hAnsi="Arial" w:cs="Arial"/>
          <w:shd w:val="clear" w:color="auto" w:fill="FFFFFF"/>
        </w:rPr>
        <w:t>a </w:t>
      </w:r>
      <w:hyperlink r:id="rId7" w:tooltip="Agência dos Estados Unidos para o Desenvolvimento Internacional" w:history="1">
        <w:r w:rsidR="00225BE5" w:rsidRPr="00FF0BFC">
          <w:rPr>
            <w:rStyle w:val="Hyperlink"/>
            <w:rFonts w:ascii="Arial" w:hAnsi="Arial" w:cs="Arial"/>
            <w:bCs/>
            <w:color w:val="auto"/>
            <w:u w:val="none"/>
            <w:shd w:val="clear" w:color="auto" w:fill="FFFFFF"/>
          </w:rPr>
          <w:t>Agência dos Estados Unidos para o Desenvolvimento Internacional</w:t>
        </w:r>
      </w:hyperlink>
      <w:r w:rsidR="00225BE5" w:rsidRPr="00FF0BFC">
        <w:rPr>
          <w:rFonts w:ascii="Arial" w:hAnsi="Arial" w:cs="Arial"/>
          <w:shd w:val="clear" w:color="auto" w:fill="FFFFFF"/>
        </w:rPr>
        <w:t> (</w:t>
      </w:r>
      <w:hyperlink r:id="rId8" w:tooltip="USAID" w:history="1">
        <w:r w:rsidR="00225BE5" w:rsidRPr="00FF0BFC">
          <w:rPr>
            <w:rStyle w:val="Hyperlink"/>
            <w:rFonts w:ascii="Arial" w:hAnsi="Arial" w:cs="Arial"/>
            <w:color w:val="auto"/>
            <w:u w:val="none"/>
            <w:shd w:val="clear" w:color="auto" w:fill="FFFFFF"/>
          </w:rPr>
          <w:t>USAID</w:t>
        </w:r>
      </w:hyperlink>
      <w:r w:rsidR="00225BE5" w:rsidRPr="00FF0BFC">
        <w:rPr>
          <w:rStyle w:val="Hyperlink"/>
          <w:rFonts w:ascii="Arial" w:hAnsi="Arial" w:cs="Arial"/>
          <w:color w:val="auto"/>
          <w:u w:val="none"/>
          <w:shd w:val="clear" w:color="auto" w:fill="FFFFFF"/>
        </w:rPr>
        <w:t>)</w:t>
      </w:r>
      <w:r w:rsidR="005444CF">
        <w:rPr>
          <w:rStyle w:val="Hyperlink"/>
          <w:rFonts w:ascii="Arial" w:hAnsi="Arial" w:cs="Arial"/>
          <w:color w:val="auto"/>
          <w:u w:val="none"/>
          <w:shd w:val="clear" w:color="auto" w:fill="FFFFFF"/>
        </w:rPr>
        <w:t>.</w:t>
      </w:r>
    </w:p>
    <w:p w14:paraId="0BC0D9F0" w14:textId="52C41BE5" w:rsidR="00395F85" w:rsidRDefault="002639B3" w:rsidP="001F2735">
      <w:pPr>
        <w:spacing w:line="360" w:lineRule="auto"/>
        <w:ind w:firstLine="709"/>
        <w:jc w:val="both"/>
        <w:rPr>
          <w:rFonts w:ascii="Arial" w:hAnsi="Arial" w:cs="Arial"/>
        </w:rPr>
      </w:pPr>
      <w:r w:rsidRPr="002639B3">
        <w:rPr>
          <w:rFonts w:ascii="Arial" w:hAnsi="Arial" w:cs="Arial"/>
        </w:rPr>
        <w:t>Se</w:t>
      </w:r>
      <w:r w:rsidR="00E82F7F">
        <w:rPr>
          <w:rFonts w:ascii="Arial" w:hAnsi="Arial" w:cs="Arial"/>
        </w:rPr>
        <w:t>,</w:t>
      </w:r>
      <w:r w:rsidRPr="002639B3">
        <w:rPr>
          <w:rFonts w:ascii="Arial" w:hAnsi="Arial" w:cs="Arial"/>
        </w:rPr>
        <w:t xml:space="preserve"> </w:t>
      </w:r>
      <w:r w:rsidR="00E82F7F">
        <w:rPr>
          <w:rFonts w:ascii="Arial" w:hAnsi="Arial" w:cs="Arial"/>
        </w:rPr>
        <w:t>a</w:t>
      </w:r>
      <w:r w:rsidRPr="002639B3">
        <w:rPr>
          <w:rFonts w:ascii="Arial" w:hAnsi="Arial" w:cs="Arial"/>
        </w:rPr>
        <w:t>o</w:t>
      </w:r>
      <w:r w:rsidR="00E82F7F">
        <w:rPr>
          <w:rFonts w:ascii="Arial" w:hAnsi="Arial" w:cs="Arial"/>
        </w:rPr>
        <w:t xml:space="preserve"> longo da</w:t>
      </w:r>
      <w:r w:rsidR="00395ABC">
        <w:rPr>
          <w:rFonts w:ascii="Arial" w:hAnsi="Arial" w:cs="Arial"/>
        </w:rPr>
        <w:t>s</w:t>
      </w:r>
      <w:r w:rsidR="00E82F7F">
        <w:rPr>
          <w:rFonts w:ascii="Arial" w:hAnsi="Arial" w:cs="Arial"/>
        </w:rPr>
        <w:t xml:space="preserve"> década</w:t>
      </w:r>
      <w:r w:rsidR="00395ABC">
        <w:rPr>
          <w:rFonts w:ascii="Arial" w:hAnsi="Arial" w:cs="Arial"/>
        </w:rPr>
        <w:t>s</w:t>
      </w:r>
      <w:r w:rsidR="00E82F7F">
        <w:rPr>
          <w:rFonts w:ascii="Arial" w:hAnsi="Arial" w:cs="Arial"/>
        </w:rPr>
        <w:t xml:space="preserve"> de 1960 à 1980</w:t>
      </w:r>
      <w:r w:rsidRPr="002639B3">
        <w:rPr>
          <w:rFonts w:ascii="Arial" w:hAnsi="Arial" w:cs="Arial"/>
        </w:rPr>
        <w:t xml:space="preserve"> </w:t>
      </w:r>
      <w:r w:rsidR="00317F74">
        <w:rPr>
          <w:rFonts w:ascii="Arial" w:hAnsi="Arial" w:cs="Arial"/>
        </w:rPr>
        <w:t xml:space="preserve">o </w:t>
      </w:r>
      <w:r w:rsidRPr="002639B3">
        <w:rPr>
          <w:rFonts w:ascii="Arial" w:hAnsi="Arial" w:cs="Arial"/>
        </w:rPr>
        <w:t>modelo taylorista/fordista</w:t>
      </w:r>
      <w:r w:rsidR="00317F74">
        <w:rPr>
          <w:rFonts w:ascii="Arial" w:hAnsi="Arial" w:cs="Arial"/>
        </w:rPr>
        <w:t xml:space="preserve"> </w:t>
      </w:r>
      <w:r w:rsidRPr="002639B3">
        <w:rPr>
          <w:rFonts w:ascii="Arial" w:hAnsi="Arial" w:cs="Arial"/>
        </w:rPr>
        <w:t xml:space="preserve">influenciou </w:t>
      </w:r>
      <w:r w:rsidR="00317F74">
        <w:rPr>
          <w:rFonts w:ascii="Arial" w:hAnsi="Arial" w:cs="Arial"/>
        </w:rPr>
        <w:t>n</w:t>
      </w:r>
      <w:r w:rsidRPr="002639B3">
        <w:rPr>
          <w:rFonts w:ascii="Arial" w:hAnsi="Arial" w:cs="Arial"/>
        </w:rPr>
        <w:t xml:space="preserve">as tendências pedagógicas </w:t>
      </w:r>
      <w:r w:rsidR="00E82F7F">
        <w:rPr>
          <w:rFonts w:ascii="Arial" w:hAnsi="Arial" w:cs="Arial"/>
        </w:rPr>
        <w:t xml:space="preserve">tecnicistas </w:t>
      </w:r>
      <w:r w:rsidRPr="002639B3">
        <w:rPr>
          <w:rFonts w:ascii="Arial" w:hAnsi="Arial" w:cs="Arial"/>
        </w:rPr>
        <w:t>e a definição do perfil de professor ao longo do século XX. Atualmente, no contexto do trabalho flexível toyotista, o ensino deve novamente ajustar-se as transformações em curso e adotar práticas que valorizem a flexibilidade, a cooperação em equipe e a integração de novas tecnologias</w:t>
      </w:r>
      <w:r>
        <w:rPr>
          <w:rFonts w:ascii="Arial" w:hAnsi="Arial" w:cs="Arial"/>
        </w:rPr>
        <w:t>.</w:t>
      </w:r>
      <w:r w:rsidR="001F2735">
        <w:rPr>
          <w:rFonts w:ascii="Arial" w:hAnsi="Arial" w:cs="Arial"/>
        </w:rPr>
        <w:t xml:space="preserve"> </w:t>
      </w:r>
    </w:p>
    <w:p w14:paraId="63E7B6BB" w14:textId="39F11B43" w:rsidR="002772BF" w:rsidRDefault="001B7490" w:rsidP="001F2735">
      <w:pPr>
        <w:spacing w:line="360" w:lineRule="auto"/>
        <w:ind w:firstLine="709"/>
        <w:jc w:val="both"/>
        <w:rPr>
          <w:rFonts w:ascii="Arial" w:hAnsi="Arial" w:cs="Arial"/>
        </w:rPr>
      </w:pPr>
      <w:r>
        <w:rPr>
          <w:rFonts w:ascii="Arial" w:hAnsi="Arial" w:cs="Arial"/>
        </w:rPr>
        <w:t xml:space="preserve">Pesquisadores/as da educação têm demonstrado </w:t>
      </w:r>
      <w:r w:rsidR="006D07DD">
        <w:rPr>
          <w:rFonts w:ascii="Arial" w:hAnsi="Arial" w:cs="Arial"/>
        </w:rPr>
        <w:t>o processo de</w:t>
      </w:r>
      <w:r w:rsidR="00CC56DC">
        <w:rPr>
          <w:rFonts w:ascii="Arial" w:hAnsi="Arial" w:cs="Arial"/>
        </w:rPr>
        <w:t xml:space="preserve"> </w:t>
      </w:r>
      <w:r w:rsidR="006D07DD">
        <w:rPr>
          <w:rFonts w:ascii="Arial" w:hAnsi="Arial" w:cs="Arial"/>
        </w:rPr>
        <w:t>re</w:t>
      </w:r>
      <w:r w:rsidR="00F85368">
        <w:rPr>
          <w:rFonts w:ascii="Arial" w:hAnsi="Arial" w:cs="Arial"/>
        </w:rPr>
        <w:t>incorpora</w:t>
      </w:r>
      <w:r w:rsidR="00CC56DC">
        <w:rPr>
          <w:rFonts w:ascii="Arial" w:hAnsi="Arial" w:cs="Arial"/>
        </w:rPr>
        <w:t>ção</w:t>
      </w:r>
      <w:r w:rsidR="00F85368">
        <w:rPr>
          <w:rFonts w:ascii="Arial" w:hAnsi="Arial" w:cs="Arial"/>
        </w:rPr>
        <w:t xml:space="preserve"> </w:t>
      </w:r>
      <w:r w:rsidR="00CC56DC">
        <w:rPr>
          <w:rFonts w:ascii="Arial" w:hAnsi="Arial" w:cs="Arial"/>
        </w:rPr>
        <w:t>d</w:t>
      </w:r>
      <w:r w:rsidR="00F85368">
        <w:rPr>
          <w:rFonts w:ascii="Arial" w:hAnsi="Arial" w:cs="Arial"/>
        </w:rPr>
        <w:t>o</w:t>
      </w:r>
      <w:r w:rsidR="000E4520">
        <w:rPr>
          <w:rFonts w:ascii="Arial" w:hAnsi="Arial" w:cs="Arial"/>
        </w:rPr>
        <w:t>s</w:t>
      </w:r>
      <w:r w:rsidR="00F85368">
        <w:rPr>
          <w:rFonts w:ascii="Arial" w:hAnsi="Arial" w:cs="Arial"/>
        </w:rPr>
        <w:t xml:space="preserve"> princípios d</w:t>
      </w:r>
      <w:r w:rsidR="00E82F7F" w:rsidRPr="00E82F7F">
        <w:rPr>
          <w:rFonts w:ascii="Arial" w:hAnsi="Arial" w:cs="Arial"/>
        </w:rPr>
        <w:t>a teoria do capital humano revisitada</w:t>
      </w:r>
      <w:r w:rsidR="00F85368">
        <w:rPr>
          <w:rFonts w:ascii="Arial" w:hAnsi="Arial" w:cs="Arial"/>
        </w:rPr>
        <w:t xml:space="preserve"> </w:t>
      </w:r>
      <w:r w:rsidR="00CC56DC">
        <w:rPr>
          <w:rFonts w:ascii="Arial" w:hAnsi="Arial" w:cs="Arial"/>
        </w:rPr>
        <w:t xml:space="preserve">no ensino, </w:t>
      </w:r>
      <w:r w:rsidR="006D07DD">
        <w:rPr>
          <w:rFonts w:ascii="Arial" w:hAnsi="Arial" w:cs="Arial"/>
        </w:rPr>
        <w:t xml:space="preserve">distanciando-se </w:t>
      </w:r>
      <w:r w:rsidR="00EE4F50">
        <w:rPr>
          <w:rFonts w:ascii="Arial" w:hAnsi="Arial" w:cs="Arial"/>
        </w:rPr>
        <w:t xml:space="preserve">da ideia </w:t>
      </w:r>
      <w:r w:rsidR="00E82F7F" w:rsidRPr="00E82F7F">
        <w:rPr>
          <w:rFonts w:ascii="Arial" w:hAnsi="Arial" w:cs="Arial"/>
        </w:rPr>
        <w:t>de emancipação e de desenvolvimento da consciência crítica dos indivíduos</w:t>
      </w:r>
      <w:r w:rsidR="00D85A42">
        <w:rPr>
          <w:rFonts w:ascii="Arial" w:hAnsi="Arial" w:cs="Arial"/>
        </w:rPr>
        <w:t xml:space="preserve">. </w:t>
      </w:r>
      <w:r w:rsidR="00CC56DC">
        <w:rPr>
          <w:rFonts w:ascii="Arial" w:hAnsi="Arial" w:cs="Arial"/>
        </w:rPr>
        <w:t>Ou seja</w:t>
      </w:r>
      <w:r w:rsidR="00A35496">
        <w:rPr>
          <w:rFonts w:ascii="Arial" w:hAnsi="Arial" w:cs="Arial"/>
        </w:rPr>
        <w:t xml:space="preserve">, as ações voltadas para formação de professores </w:t>
      </w:r>
      <w:r w:rsidR="000E4520">
        <w:rPr>
          <w:rFonts w:ascii="Arial" w:hAnsi="Arial" w:cs="Arial"/>
        </w:rPr>
        <w:t xml:space="preserve">devem </w:t>
      </w:r>
      <w:r w:rsidR="00A35496">
        <w:rPr>
          <w:rFonts w:ascii="Arial" w:hAnsi="Arial" w:cs="Arial"/>
        </w:rPr>
        <w:t>segu</w:t>
      </w:r>
      <w:r w:rsidR="000E4520">
        <w:rPr>
          <w:rFonts w:ascii="Arial" w:hAnsi="Arial" w:cs="Arial"/>
        </w:rPr>
        <w:t>ir</w:t>
      </w:r>
      <w:r w:rsidR="00A35496">
        <w:rPr>
          <w:rFonts w:ascii="Arial" w:hAnsi="Arial" w:cs="Arial"/>
        </w:rPr>
        <w:t xml:space="preserve"> a orientação na qual:</w:t>
      </w:r>
    </w:p>
    <w:p w14:paraId="6ED5D1F5" w14:textId="527929BC" w:rsidR="002772BF" w:rsidRPr="00501B71" w:rsidRDefault="00A35496" w:rsidP="002772BF">
      <w:pPr>
        <w:pStyle w:val="NormalWeb"/>
        <w:ind w:left="2268"/>
        <w:jc w:val="both"/>
        <w:rPr>
          <w:rFonts w:ascii="Arial" w:hAnsi="Arial" w:cs="Arial"/>
          <w:sz w:val="20"/>
          <w:szCs w:val="20"/>
        </w:rPr>
      </w:pPr>
      <w:r>
        <w:rPr>
          <w:rFonts w:ascii="Arial" w:hAnsi="Arial" w:cs="Arial"/>
          <w:sz w:val="20"/>
          <w:szCs w:val="20"/>
        </w:rPr>
        <w:t>[...]</w:t>
      </w:r>
      <w:r w:rsidR="002772BF" w:rsidRPr="002772BF">
        <w:rPr>
          <w:rFonts w:ascii="Arial" w:hAnsi="Arial" w:cs="Arial"/>
          <w:sz w:val="20"/>
          <w:szCs w:val="20"/>
        </w:rPr>
        <w:t xml:space="preserve"> a reflexão sobre a prática como um exercício de autoavaliação, de autocrítica e de autoconhecimento, o que, segundo os documentos, possibilita ao professor um maior aprofundamento sobre a sua prática, insurgindo em novas ações pedagógicas que atendem às demandas atuais de formação do tipo humano adequado para o mundo do trabalho: proativo, flexível, criativo, ágil e colaborativo </w:t>
      </w:r>
      <w:r w:rsidR="002772BF" w:rsidRPr="00501B71">
        <w:rPr>
          <w:rFonts w:ascii="Arial" w:hAnsi="Arial" w:cs="Arial"/>
          <w:sz w:val="20"/>
          <w:szCs w:val="20"/>
        </w:rPr>
        <w:t>(</w:t>
      </w:r>
      <w:r w:rsidR="00D01616" w:rsidRPr="00501B71">
        <w:rPr>
          <w:rFonts w:ascii="Arial" w:hAnsi="Arial" w:cs="Arial"/>
          <w:sz w:val="20"/>
          <w:szCs w:val="20"/>
        </w:rPr>
        <w:t xml:space="preserve">Zanella; Masson, 2024, </w:t>
      </w:r>
      <w:r w:rsidR="002772BF" w:rsidRPr="00501B71">
        <w:rPr>
          <w:rFonts w:ascii="Arial" w:hAnsi="Arial" w:cs="Arial"/>
          <w:sz w:val="20"/>
          <w:szCs w:val="20"/>
        </w:rPr>
        <w:t>p. 07).</w:t>
      </w:r>
    </w:p>
    <w:p w14:paraId="3AD06FC8" w14:textId="32DD0D64" w:rsidR="00D01616" w:rsidRPr="00E87390" w:rsidRDefault="00040E51" w:rsidP="00D01616">
      <w:pPr>
        <w:pStyle w:val="NormalWeb"/>
        <w:spacing w:line="360" w:lineRule="auto"/>
        <w:ind w:firstLine="708"/>
        <w:jc w:val="both"/>
        <w:rPr>
          <w:rFonts w:ascii="Arial" w:hAnsi="Arial" w:cs="Arial"/>
        </w:rPr>
      </w:pPr>
      <w:r>
        <w:rPr>
          <w:rFonts w:ascii="Arial" w:hAnsi="Arial" w:cs="Arial"/>
        </w:rPr>
        <w:lastRenderedPageBreak/>
        <w:t>Ao encontro das premissas</w:t>
      </w:r>
      <w:r w:rsidR="00AC591A">
        <w:rPr>
          <w:rFonts w:ascii="Arial" w:hAnsi="Arial" w:cs="Arial"/>
        </w:rPr>
        <w:t xml:space="preserve"> acima</w:t>
      </w:r>
      <w:r>
        <w:rPr>
          <w:rFonts w:ascii="Arial" w:hAnsi="Arial" w:cs="Arial"/>
        </w:rPr>
        <w:t xml:space="preserve">, </w:t>
      </w:r>
      <w:r w:rsidR="00164D2A">
        <w:rPr>
          <w:rFonts w:ascii="Arial" w:hAnsi="Arial" w:cs="Arial"/>
        </w:rPr>
        <w:t>um</w:t>
      </w:r>
      <w:r>
        <w:rPr>
          <w:rFonts w:ascii="Arial" w:hAnsi="Arial" w:cs="Arial"/>
        </w:rPr>
        <w:t xml:space="preserve">a análise </w:t>
      </w:r>
      <w:r w:rsidR="00D01616" w:rsidRPr="00501B71">
        <w:rPr>
          <w:rFonts w:ascii="Arial" w:hAnsi="Arial" w:cs="Arial"/>
        </w:rPr>
        <w:t xml:space="preserve">mais detida da Resolução CNE/CP nº 4 de 2024 (Brasil, 2024) </w:t>
      </w:r>
      <w:r w:rsidR="00E31CE3">
        <w:rPr>
          <w:rFonts w:ascii="Arial" w:hAnsi="Arial" w:cs="Arial"/>
        </w:rPr>
        <w:t xml:space="preserve">é capaz de captar </w:t>
      </w:r>
      <w:r w:rsidR="00D01616" w:rsidRPr="00501B71">
        <w:rPr>
          <w:rFonts w:ascii="Arial" w:hAnsi="Arial" w:cs="Arial"/>
        </w:rPr>
        <w:t>o processo de esvaziamento em relação a formação docente na medida em que a “formação” de professores</w:t>
      </w:r>
      <w:r>
        <w:rPr>
          <w:rFonts w:ascii="Arial" w:hAnsi="Arial" w:cs="Arial"/>
        </w:rPr>
        <w:t xml:space="preserve"> limita-se à capacidade de desenvolvimento de </w:t>
      </w:r>
      <w:r w:rsidR="00D01616" w:rsidRPr="00501B71">
        <w:rPr>
          <w:rFonts w:ascii="Arial" w:hAnsi="Arial" w:cs="Arial"/>
        </w:rPr>
        <w:t>habilidades práticas</w:t>
      </w:r>
      <w:r w:rsidR="00AD7BAA">
        <w:rPr>
          <w:rFonts w:ascii="Arial" w:hAnsi="Arial" w:cs="Arial"/>
        </w:rPr>
        <w:t xml:space="preserve"> </w:t>
      </w:r>
      <w:r w:rsidR="007B0966">
        <w:rPr>
          <w:rFonts w:ascii="Arial" w:hAnsi="Arial" w:cs="Arial"/>
        </w:rPr>
        <w:t xml:space="preserve">restritas ao exercício </w:t>
      </w:r>
      <w:r w:rsidR="00AD7BAA">
        <w:rPr>
          <w:rFonts w:ascii="Arial" w:hAnsi="Arial" w:cs="Arial"/>
        </w:rPr>
        <w:t>da “</w:t>
      </w:r>
      <w:r w:rsidR="007B0966">
        <w:rPr>
          <w:rFonts w:ascii="Arial" w:hAnsi="Arial" w:cs="Arial"/>
        </w:rPr>
        <w:t>atividade-</w:t>
      </w:r>
      <w:r w:rsidR="00AD7BAA">
        <w:rPr>
          <w:rFonts w:ascii="Arial" w:hAnsi="Arial" w:cs="Arial"/>
        </w:rPr>
        <w:t>profissão”</w:t>
      </w:r>
      <w:r>
        <w:rPr>
          <w:rFonts w:ascii="Arial" w:hAnsi="Arial" w:cs="Arial"/>
        </w:rPr>
        <w:t>. Ao n</w:t>
      </w:r>
      <w:r w:rsidR="00D01616" w:rsidRPr="00501B71">
        <w:rPr>
          <w:rFonts w:ascii="Arial" w:hAnsi="Arial" w:cs="Arial"/>
        </w:rPr>
        <w:t>egligencia</w:t>
      </w:r>
      <w:r>
        <w:rPr>
          <w:rFonts w:ascii="Arial" w:hAnsi="Arial" w:cs="Arial"/>
        </w:rPr>
        <w:t>r</w:t>
      </w:r>
      <w:r w:rsidR="00D01616" w:rsidRPr="00501B71">
        <w:rPr>
          <w:rFonts w:ascii="Arial" w:hAnsi="Arial" w:cs="Arial"/>
        </w:rPr>
        <w:t xml:space="preserve"> </w:t>
      </w:r>
      <w:r>
        <w:rPr>
          <w:rFonts w:ascii="Arial" w:hAnsi="Arial" w:cs="Arial"/>
        </w:rPr>
        <w:t>o</w:t>
      </w:r>
      <w:r w:rsidR="00D01616" w:rsidRPr="00501B71">
        <w:rPr>
          <w:rFonts w:ascii="Arial" w:hAnsi="Arial" w:cs="Arial"/>
        </w:rPr>
        <w:t xml:space="preserve"> aprofundamento teórico</w:t>
      </w:r>
      <w:r>
        <w:rPr>
          <w:rFonts w:ascii="Arial" w:hAnsi="Arial" w:cs="Arial"/>
        </w:rPr>
        <w:t>, a robustez intelectual/cultural</w:t>
      </w:r>
      <w:r w:rsidR="00D01616" w:rsidRPr="00501B71">
        <w:rPr>
          <w:rFonts w:ascii="Arial" w:hAnsi="Arial" w:cs="Arial"/>
        </w:rPr>
        <w:t xml:space="preserve">, </w:t>
      </w:r>
      <w:r>
        <w:rPr>
          <w:rFonts w:ascii="Arial" w:hAnsi="Arial" w:cs="Arial"/>
        </w:rPr>
        <w:t xml:space="preserve">abandona-se a busca </w:t>
      </w:r>
      <w:r w:rsidR="00D01616" w:rsidRPr="00501B71">
        <w:rPr>
          <w:rFonts w:ascii="Arial" w:hAnsi="Arial" w:cs="Arial"/>
        </w:rPr>
        <w:t xml:space="preserve">para a formação de professores no sentido da constituição de </w:t>
      </w:r>
      <w:r w:rsidR="00A35496">
        <w:rPr>
          <w:rFonts w:ascii="Arial" w:hAnsi="Arial" w:cs="Arial"/>
        </w:rPr>
        <w:t xml:space="preserve">docentes </w:t>
      </w:r>
      <w:r w:rsidR="00D01616" w:rsidRPr="00501B71">
        <w:rPr>
          <w:rFonts w:ascii="Arial" w:hAnsi="Arial" w:cs="Arial"/>
        </w:rPr>
        <w:t>críticos. Esse enfoque é exemplificado no Art. 4º, Inciso II</w:t>
      </w:r>
      <w:r w:rsidR="009F7345">
        <w:rPr>
          <w:rFonts w:ascii="Arial" w:hAnsi="Arial" w:cs="Arial"/>
        </w:rPr>
        <w:t xml:space="preserve"> da resolução</w:t>
      </w:r>
      <w:r w:rsidR="00D01616" w:rsidRPr="00501B71">
        <w:rPr>
          <w:rFonts w:ascii="Arial" w:hAnsi="Arial" w:cs="Arial"/>
        </w:rPr>
        <w:t xml:space="preserve">, que privilegia o domínio de competências técnicas e </w:t>
      </w:r>
      <w:r w:rsidR="00D01616" w:rsidRPr="00E87390">
        <w:rPr>
          <w:rFonts w:ascii="Arial" w:hAnsi="Arial" w:cs="Arial"/>
        </w:rPr>
        <w:t>epistemológicas voltadas para a prática</w:t>
      </w:r>
      <w:r w:rsidR="007E2243">
        <w:rPr>
          <w:rFonts w:ascii="Arial" w:hAnsi="Arial" w:cs="Arial"/>
        </w:rPr>
        <w:t>:</w:t>
      </w:r>
    </w:p>
    <w:p w14:paraId="26F6EF65" w14:textId="73F3E84A" w:rsidR="002772BF" w:rsidRPr="00E87390" w:rsidRDefault="00D01616" w:rsidP="00E87390">
      <w:pPr>
        <w:pStyle w:val="NormalWeb"/>
        <w:ind w:left="2268"/>
        <w:jc w:val="both"/>
        <w:rPr>
          <w:rFonts w:ascii="Arial" w:hAnsi="Arial" w:cs="Arial"/>
          <w:sz w:val="20"/>
          <w:szCs w:val="20"/>
        </w:rPr>
      </w:pPr>
      <w:r w:rsidRPr="00E87390">
        <w:rPr>
          <w:rFonts w:ascii="Arial" w:hAnsi="Arial" w:cs="Arial"/>
          <w:sz w:val="20"/>
          <w:szCs w:val="20"/>
        </w:rPr>
        <w:t>[...] a presença de sólida formação que propicie o conhecimento dos fundamentos epistemológicos, técnicos e ético-políticos das ciências da educação e da aprendizagem e que permita ao futuro profissional do magistério o desenvolvimento das capacidades de análise e reflexão sobre as práticas educativas e sobre a progressão e os processos de aprendizagem e o aprimoramento constante de suas competências de trabalho (Brasil, 2024, p. 3).</w:t>
      </w:r>
    </w:p>
    <w:p w14:paraId="3ED7CF77" w14:textId="5C2F2FF8" w:rsidR="008F6249" w:rsidRDefault="00A919F5" w:rsidP="00A919F5">
      <w:pPr>
        <w:pStyle w:val="NormalWeb"/>
        <w:spacing w:line="360" w:lineRule="auto"/>
        <w:ind w:firstLine="708"/>
        <w:jc w:val="both"/>
        <w:rPr>
          <w:rFonts w:ascii="Arial" w:hAnsi="Arial" w:cs="Arial"/>
        </w:rPr>
      </w:pPr>
      <w:r>
        <w:rPr>
          <w:rFonts w:ascii="Arial" w:hAnsi="Arial" w:cs="Arial"/>
        </w:rPr>
        <w:t xml:space="preserve">Assim, </w:t>
      </w:r>
      <w:r w:rsidR="008F6249" w:rsidRPr="008F6249">
        <w:rPr>
          <w:rFonts w:ascii="Arial" w:eastAsiaTheme="minorHAnsi" w:hAnsi="Arial" w:cs="Arial"/>
          <w:lang w:eastAsia="en-US"/>
        </w:rPr>
        <w:t xml:space="preserve">os fundamentos teórico-epistemológicos </w:t>
      </w:r>
      <w:r w:rsidR="008F6249">
        <w:rPr>
          <w:rFonts w:ascii="Arial" w:eastAsiaTheme="minorHAnsi" w:hAnsi="Arial" w:cs="Arial"/>
          <w:lang w:eastAsia="en-US"/>
        </w:rPr>
        <w:t xml:space="preserve">a balizar a </w:t>
      </w:r>
      <w:r w:rsidR="008F6249" w:rsidRPr="00501B71">
        <w:rPr>
          <w:rFonts w:ascii="Arial" w:hAnsi="Arial" w:cs="Arial"/>
        </w:rPr>
        <w:t xml:space="preserve">Resolução CNE/CP nº 4 de 2024 </w:t>
      </w:r>
      <w:r w:rsidR="008F6249" w:rsidRPr="008F6249">
        <w:rPr>
          <w:rFonts w:ascii="Arial" w:eastAsiaTheme="minorHAnsi" w:hAnsi="Arial" w:cs="Arial"/>
          <w:lang w:eastAsia="en-US"/>
        </w:rPr>
        <w:t>sustenta</w:t>
      </w:r>
      <w:r w:rsidR="008F6249">
        <w:rPr>
          <w:rFonts w:ascii="Arial" w:eastAsiaTheme="minorHAnsi" w:hAnsi="Arial" w:cs="Arial"/>
          <w:lang w:eastAsia="en-US"/>
        </w:rPr>
        <w:t xml:space="preserve">m-se </w:t>
      </w:r>
      <w:r w:rsidR="008F6249" w:rsidRPr="008F6249">
        <w:rPr>
          <w:rFonts w:ascii="Arial" w:eastAsiaTheme="minorHAnsi" w:hAnsi="Arial" w:cs="Arial"/>
          <w:lang w:eastAsia="en-US"/>
        </w:rPr>
        <w:t xml:space="preserve">na epistemologia da prática </w:t>
      </w:r>
      <w:r w:rsidR="008F6249" w:rsidRPr="008F6249">
        <w:rPr>
          <w:rFonts w:ascii="Arial" w:hAnsi="Arial" w:cs="Arial"/>
        </w:rPr>
        <w:t xml:space="preserve">e suas </w:t>
      </w:r>
      <w:r w:rsidR="008F6249" w:rsidRPr="008F6249">
        <w:rPr>
          <w:rFonts w:ascii="Arial" w:eastAsiaTheme="minorHAnsi" w:hAnsi="Arial" w:cs="Arial"/>
          <w:lang w:eastAsia="en-US"/>
        </w:rPr>
        <w:t>categorias sínteses;</w:t>
      </w:r>
      <w:r w:rsidR="008F6249" w:rsidRPr="008F6249">
        <w:rPr>
          <w:rFonts w:ascii="Arial" w:hAnsi="Arial" w:cs="Arial"/>
        </w:rPr>
        <w:t xml:space="preserve"> </w:t>
      </w:r>
      <w:r w:rsidR="008F6249" w:rsidRPr="008F6249">
        <w:rPr>
          <w:rFonts w:ascii="Arial" w:eastAsiaTheme="minorHAnsi" w:hAnsi="Arial" w:cs="Arial"/>
          <w:lang w:eastAsia="en-US"/>
        </w:rPr>
        <w:t>formação como atualização, treinamento, padronização</w:t>
      </w:r>
      <w:r w:rsidR="008F6249" w:rsidRPr="008F6249">
        <w:rPr>
          <w:rFonts w:ascii="Arial" w:hAnsi="Arial" w:cs="Arial"/>
        </w:rPr>
        <w:t xml:space="preserve"> e</w:t>
      </w:r>
      <w:r w:rsidR="008F6249" w:rsidRPr="008F6249">
        <w:rPr>
          <w:rFonts w:ascii="Arial" w:eastAsiaTheme="minorHAnsi" w:hAnsi="Arial" w:cs="Arial"/>
          <w:lang w:eastAsia="en-US"/>
        </w:rPr>
        <w:t xml:space="preserve"> técnica cont</w:t>
      </w:r>
      <w:r w:rsidR="008F6249" w:rsidRPr="008F6249">
        <w:rPr>
          <w:rFonts w:ascii="Arial" w:hAnsi="Arial" w:cs="Arial"/>
        </w:rPr>
        <w:t>rolada (Zanella, Masson; 2024).</w:t>
      </w:r>
    </w:p>
    <w:p w14:paraId="0EFF8AC2" w14:textId="44680B1A" w:rsidR="005E6FC8" w:rsidRPr="00FD0E3C" w:rsidRDefault="00F87045" w:rsidP="00A919F5">
      <w:pPr>
        <w:pStyle w:val="NormalWeb"/>
        <w:spacing w:line="360" w:lineRule="auto"/>
        <w:ind w:firstLine="708"/>
        <w:jc w:val="both"/>
        <w:rPr>
          <w:rFonts w:ascii="Arial" w:hAnsi="Arial" w:cs="Arial"/>
        </w:rPr>
      </w:pPr>
      <w:r>
        <w:rPr>
          <w:rFonts w:ascii="Arial" w:hAnsi="Arial" w:cs="Arial"/>
        </w:rPr>
        <w:t xml:space="preserve">No decorrer da análise </w:t>
      </w:r>
      <w:r w:rsidR="00164D2A">
        <w:rPr>
          <w:rFonts w:ascii="Arial" w:hAnsi="Arial" w:cs="Arial"/>
        </w:rPr>
        <w:t xml:space="preserve">identificamos </w:t>
      </w:r>
      <w:r w:rsidR="008F6249" w:rsidRPr="00FD0E3C">
        <w:rPr>
          <w:rFonts w:ascii="Arial" w:hAnsi="Arial" w:cs="Arial"/>
        </w:rPr>
        <w:t xml:space="preserve">que </w:t>
      </w:r>
      <w:r>
        <w:rPr>
          <w:rFonts w:ascii="Arial" w:hAnsi="Arial" w:cs="Arial"/>
        </w:rPr>
        <w:t>o problema nodal d</w:t>
      </w:r>
      <w:r w:rsidR="008F6249" w:rsidRPr="00FD0E3C">
        <w:rPr>
          <w:rFonts w:ascii="Arial" w:hAnsi="Arial" w:cs="Arial"/>
        </w:rPr>
        <w:t xml:space="preserve">a </w:t>
      </w:r>
      <w:r w:rsidR="00E147DA" w:rsidRPr="00FD0E3C">
        <w:rPr>
          <w:rFonts w:ascii="Arial" w:hAnsi="Arial" w:cs="Arial"/>
        </w:rPr>
        <w:t>r</w:t>
      </w:r>
      <w:r w:rsidR="008F6249" w:rsidRPr="00FD0E3C">
        <w:rPr>
          <w:rFonts w:ascii="Arial" w:hAnsi="Arial" w:cs="Arial"/>
        </w:rPr>
        <w:t xml:space="preserve">esolução </w:t>
      </w:r>
      <w:r>
        <w:rPr>
          <w:rFonts w:ascii="Arial" w:hAnsi="Arial" w:cs="Arial"/>
        </w:rPr>
        <w:t>consiste n</w:t>
      </w:r>
      <w:r w:rsidR="008F6249" w:rsidRPr="00FD0E3C">
        <w:rPr>
          <w:rFonts w:ascii="Arial" w:hAnsi="Arial" w:cs="Arial"/>
        </w:rPr>
        <w:t xml:space="preserve">a abordagem que busca esvaziar o sentido pleno da formação docente fundada no binômio robustez intelectual e cultural. Em sintonia com o processo de (des) formação docente caminha-se a passos largos para o distanciamento do conhecimento científico na medida em que a escola perde a sua centralidade enquanto espaço de ensino responsável em promover a disseminação das Ciências por meio da adoção de metodologia capazes de operar a transição dos saberes típicos do senso comum ao conhecimento filosófico. </w:t>
      </w:r>
    </w:p>
    <w:p w14:paraId="12CD1D7C" w14:textId="0B2A4175" w:rsidR="005E6FC8" w:rsidRPr="00FD0E3C" w:rsidRDefault="00C14408" w:rsidP="00A919F5">
      <w:pPr>
        <w:pStyle w:val="NormalWeb"/>
        <w:spacing w:line="360" w:lineRule="auto"/>
        <w:ind w:firstLine="708"/>
        <w:jc w:val="both"/>
        <w:rPr>
          <w:rFonts w:ascii="Arial" w:hAnsi="Arial" w:cs="Arial"/>
        </w:rPr>
      </w:pPr>
      <w:r>
        <w:rPr>
          <w:rFonts w:ascii="Arial" w:hAnsi="Arial" w:cs="Arial"/>
        </w:rPr>
        <w:t>Assim</w:t>
      </w:r>
      <w:r w:rsidRPr="00C14408">
        <w:rPr>
          <w:rFonts w:ascii="Arial" w:hAnsi="Arial" w:cs="Arial"/>
        </w:rPr>
        <w:t>, a partir dessa pesquisa foi possível construir uma análise crítica sobre os pressupostos epistemológicos</w:t>
      </w:r>
      <w:r>
        <w:rPr>
          <w:rFonts w:ascii="Arial" w:hAnsi="Arial" w:cs="Arial"/>
        </w:rPr>
        <w:t xml:space="preserve"> da resolução </w:t>
      </w:r>
      <w:r w:rsidRPr="00FD0E3C">
        <w:rPr>
          <w:rFonts w:ascii="Arial" w:hAnsi="Arial" w:cs="Arial"/>
        </w:rPr>
        <w:t>CNE/CP nº 4 de 2024</w:t>
      </w:r>
      <w:r>
        <w:rPr>
          <w:rFonts w:ascii="Arial" w:hAnsi="Arial" w:cs="Arial"/>
        </w:rPr>
        <w:t>, sua relação com o</w:t>
      </w:r>
      <w:r w:rsidR="005E6FC8" w:rsidRPr="00FD0E3C">
        <w:rPr>
          <w:rFonts w:ascii="Arial" w:hAnsi="Arial" w:cs="Arial"/>
        </w:rPr>
        <w:t xml:space="preserve"> desenvolvimento pela </w:t>
      </w:r>
      <w:r w:rsidR="00E147DA" w:rsidRPr="00FD0E3C">
        <w:rPr>
          <w:rFonts w:ascii="Arial" w:hAnsi="Arial" w:cs="Arial"/>
        </w:rPr>
        <w:t>v</w:t>
      </w:r>
      <w:r w:rsidR="005E6FC8" w:rsidRPr="00FD0E3C">
        <w:rPr>
          <w:rFonts w:ascii="Arial" w:hAnsi="Arial" w:cs="Arial"/>
        </w:rPr>
        <w:t xml:space="preserve">ia </w:t>
      </w:r>
      <w:r w:rsidR="00E147DA" w:rsidRPr="00FD0E3C">
        <w:rPr>
          <w:rFonts w:ascii="Arial" w:hAnsi="Arial" w:cs="Arial"/>
        </w:rPr>
        <w:t>c</w:t>
      </w:r>
      <w:r w:rsidR="005E6FC8" w:rsidRPr="00FD0E3C">
        <w:rPr>
          <w:rFonts w:ascii="Arial" w:hAnsi="Arial" w:cs="Arial"/>
        </w:rPr>
        <w:t xml:space="preserve">olonial </w:t>
      </w:r>
      <w:r w:rsidR="005D1C4F" w:rsidRPr="00FD0E3C">
        <w:rPr>
          <w:rFonts w:ascii="Arial" w:hAnsi="Arial" w:cs="Arial"/>
        </w:rPr>
        <w:t>assentado n</w:t>
      </w:r>
      <w:r w:rsidR="00107BDA" w:rsidRPr="00FD0E3C">
        <w:rPr>
          <w:rFonts w:ascii="Arial" w:hAnsi="Arial" w:cs="Arial"/>
        </w:rPr>
        <w:t>a super exploração da força de trabalho</w:t>
      </w:r>
      <w:r w:rsidR="00F87045">
        <w:rPr>
          <w:rFonts w:ascii="Arial" w:hAnsi="Arial" w:cs="Arial"/>
        </w:rPr>
        <w:t>,</w:t>
      </w:r>
      <w:r w:rsidR="00FD0E3C" w:rsidRPr="00FD0E3C">
        <w:rPr>
          <w:rFonts w:ascii="Arial" w:hAnsi="Arial" w:cs="Arial"/>
        </w:rPr>
        <w:t xml:space="preserve"> e</w:t>
      </w:r>
      <w:r w:rsidR="005E6FC8" w:rsidRPr="00FD0E3C">
        <w:rPr>
          <w:rFonts w:ascii="Arial" w:hAnsi="Arial" w:cs="Arial"/>
        </w:rPr>
        <w:t xml:space="preserve"> o correlato processo de industrialização tardi</w:t>
      </w:r>
      <w:r w:rsidR="00E147DA" w:rsidRPr="00FD0E3C">
        <w:rPr>
          <w:rFonts w:ascii="Arial" w:hAnsi="Arial" w:cs="Arial"/>
        </w:rPr>
        <w:t>o</w:t>
      </w:r>
      <w:r w:rsidR="005E6FC8" w:rsidRPr="00FD0E3C">
        <w:rPr>
          <w:rFonts w:ascii="Arial" w:hAnsi="Arial" w:cs="Arial"/>
        </w:rPr>
        <w:t xml:space="preserve"> </w:t>
      </w:r>
      <w:r>
        <w:rPr>
          <w:rFonts w:ascii="Arial" w:hAnsi="Arial" w:cs="Arial"/>
        </w:rPr>
        <w:t>a requer</w:t>
      </w:r>
      <w:r w:rsidR="00F87045">
        <w:rPr>
          <w:rFonts w:ascii="Arial" w:hAnsi="Arial" w:cs="Arial"/>
        </w:rPr>
        <w:t>er</w:t>
      </w:r>
      <w:r>
        <w:rPr>
          <w:rFonts w:ascii="Arial" w:hAnsi="Arial" w:cs="Arial"/>
        </w:rPr>
        <w:t xml:space="preserve"> </w:t>
      </w:r>
      <w:r>
        <w:rPr>
          <w:rFonts w:ascii="Arial" w:hAnsi="Arial" w:cs="Arial"/>
        </w:rPr>
        <w:lastRenderedPageBreak/>
        <w:t>u</w:t>
      </w:r>
      <w:r w:rsidR="005E6FC8" w:rsidRPr="00FD0E3C">
        <w:rPr>
          <w:rFonts w:ascii="Arial" w:hAnsi="Arial" w:cs="Arial"/>
        </w:rPr>
        <w:t xml:space="preserve">m sistema público de ensino </w:t>
      </w:r>
      <w:r w:rsidR="00F60630">
        <w:rPr>
          <w:rFonts w:ascii="Arial" w:hAnsi="Arial" w:cs="Arial"/>
        </w:rPr>
        <w:t xml:space="preserve">que, </w:t>
      </w:r>
      <w:r w:rsidR="005D1C4F" w:rsidRPr="00FD0E3C">
        <w:rPr>
          <w:rFonts w:ascii="Arial" w:hAnsi="Arial" w:cs="Arial"/>
        </w:rPr>
        <w:t>descolado de um projeto de desenvolvimento nacional soberano</w:t>
      </w:r>
      <w:r w:rsidR="00F60630">
        <w:rPr>
          <w:rFonts w:ascii="Arial" w:hAnsi="Arial" w:cs="Arial"/>
        </w:rPr>
        <w:t xml:space="preserve">, </w:t>
      </w:r>
      <w:r>
        <w:rPr>
          <w:rFonts w:ascii="Arial" w:hAnsi="Arial" w:cs="Arial"/>
        </w:rPr>
        <w:t>incide n</w:t>
      </w:r>
      <w:r w:rsidR="003C7A62">
        <w:rPr>
          <w:rFonts w:ascii="Arial" w:hAnsi="Arial" w:cs="Arial"/>
        </w:rPr>
        <w:t xml:space="preserve">a conformação de uma </w:t>
      </w:r>
      <w:r w:rsidR="005D1C4F" w:rsidRPr="00FD0E3C">
        <w:rPr>
          <w:rFonts w:ascii="Arial" w:hAnsi="Arial" w:cs="Arial"/>
        </w:rPr>
        <w:t>educação instrumental/utilitária</w:t>
      </w:r>
      <w:r w:rsidR="00F87045">
        <w:rPr>
          <w:rFonts w:ascii="Arial" w:hAnsi="Arial" w:cs="Arial"/>
        </w:rPr>
        <w:t xml:space="preserve"> para a vida</w:t>
      </w:r>
      <w:r w:rsidR="00F60630">
        <w:rPr>
          <w:rFonts w:ascii="Arial" w:hAnsi="Arial" w:cs="Arial"/>
        </w:rPr>
        <w:t>. S</w:t>
      </w:r>
      <w:r w:rsidR="009327F9" w:rsidRPr="00FD0E3C">
        <w:rPr>
          <w:rFonts w:ascii="Arial" w:hAnsi="Arial" w:cs="Arial"/>
        </w:rPr>
        <w:t xml:space="preserve">eu pragmatismo </w:t>
      </w:r>
      <w:r w:rsidR="005D1C4F" w:rsidRPr="00FD0E3C">
        <w:rPr>
          <w:rFonts w:ascii="Arial" w:hAnsi="Arial" w:cs="Arial"/>
        </w:rPr>
        <w:t xml:space="preserve">explica </w:t>
      </w:r>
      <w:r w:rsidR="00F87045">
        <w:rPr>
          <w:rFonts w:ascii="Arial" w:hAnsi="Arial" w:cs="Arial"/>
        </w:rPr>
        <w:t>o teor d</w:t>
      </w:r>
      <w:r w:rsidR="005D1C4F" w:rsidRPr="00FD0E3C">
        <w:rPr>
          <w:rFonts w:ascii="Arial" w:hAnsi="Arial" w:cs="Arial"/>
        </w:rPr>
        <w:t>as reformas educacionais</w:t>
      </w:r>
      <w:r w:rsidR="00F87045">
        <w:rPr>
          <w:rFonts w:ascii="Arial" w:hAnsi="Arial" w:cs="Arial"/>
        </w:rPr>
        <w:t xml:space="preserve"> e</w:t>
      </w:r>
      <w:r w:rsidR="005D1C4F" w:rsidRPr="00FD0E3C">
        <w:rPr>
          <w:rFonts w:ascii="Arial" w:hAnsi="Arial" w:cs="Arial"/>
        </w:rPr>
        <w:t xml:space="preserve"> a</w:t>
      </w:r>
      <w:r w:rsidR="0004333C">
        <w:rPr>
          <w:rFonts w:ascii="Arial" w:hAnsi="Arial" w:cs="Arial"/>
        </w:rPr>
        <w:t>s tendências</w:t>
      </w:r>
      <w:r w:rsidR="003C7A62">
        <w:rPr>
          <w:rFonts w:ascii="Arial" w:hAnsi="Arial" w:cs="Arial"/>
        </w:rPr>
        <w:t xml:space="preserve"> a moldar </w:t>
      </w:r>
      <w:r w:rsidR="009327F9" w:rsidRPr="00FD0E3C">
        <w:rPr>
          <w:rFonts w:ascii="Arial" w:hAnsi="Arial" w:cs="Arial"/>
        </w:rPr>
        <w:t xml:space="preserve">a </w:t>
      </w:r>
      <w:r w:rsidR="005D1C4F" w:rsidRPr="00FD0E3C">
        <w:rPr>
          <w:rFonts w:ascii="Arial" w:hAnsi="Arial" w:cs="Arial"/>
        </w:rPr>
        <w:t>formação de professores</w:t>
      </w:r>
      <w:r w:rsidR="003C7A62">
        <w:rPr>
          <w:rFonts w:ascii="Arial" w:hAnsi="Arial" w:cs="Arial"/>
        </w:rPr>
        <w:t xml:space="preserve"> na atualidade</w:t>
      </w:r>
      <w:r w:rsidR="005E6FC8" w:rsidRPr="00FD0E3C">
        <w:rPr>
          <w:rFonts w:ascii="Arial" w:hAnsi="Arial" w:cs="Arial"/>
        </w:rPr>
        <w:t>.</w:t>
      </w:r>
      <w:r w:rsidR="00D355E5" w:rsidRPr="00FD0E3C">
        <w:rPr>
          <w:rFonts w:ascii="Arial" w:hAnsi="Arial" w:cs="Arial"/>
        </w:rPr>
        <w:t xml:space="preserve"> </w:t>
      </w:r>
      <w:r w:rsidR="009327F9" w:rsidRPr="00FD0E3C">
        <w:rPr>
          <w:rFonts w:ascii="Arial" w:hAnsi="Arial" w:cs="Arial"/>
        </w:rPr>
        <w:t>A Base Nacional Comum Curricular</w:t>
      </w:r>
      <w:r w:rsidR="00FD0E3C" w:rsidRPr="00FD0E3C">
        <w:rPr>
          <w:rFonts w:ascii="Arial" w:hAnsi="Arial" w:cs="Arial"/>
        </w:rPr>
        <w:t>, em vigor, pressupõe que o</w:t>
      </w:r>
      <w:r w:rsidR="009327F9" w:rsidRPr="00FD0E3C">
        <w:rPr>
          <w:rFonts w:ascii="Arial" w:hAnsi="Arial" w:cs="Arial"/>
        </w:rPr>
        <w:t xml:space="preserve"> ensino </w:t>
      </w:r>
      <w:r w:rsidR="00FD0E3C" w:rsidRPr="00FD0E3C">
        <w:rPr>
          <w:rFonts w:ascii="Arial" w:hAnsi="Arial" w:cs="Arial"/>
        </w:rPr>
        <w:t>deva focar na “descoberta” d</w:t>
      </w:r>
      <w:r w:rsidR="009327F9" w:rsidRPr="00FD0E3C">
        <w:rPr>
          <w:rFonts w:ascii="Arial" w:hAnsi="Arial" w:cs="Arial"/>
        </w:rPr>
        <w:t>as competências e habilidades</w:t>
      </w:r>
      <w:r w:rsidR="00FD0E3C" w:rsidRPr="00FD0E3C">
        <w:rPr>
          <w:rFonts w:ascii="Arial" w:hAnsi="Arial" w:cs="Arial"/>
        </w:rPr>
        <w:t xml:space="preserve"> dos alunos, conforme demanda do mercado de emprego flexível</w:t>
      </w:r>
      <w:r w:rsidR="003D1A1F">
        <w:rPr>
          <w:rFonts w:ascii="Arial" w:hAnsi="Arial" w:cs="Arial"/>
        </w:rPr>
        <w:t>, c</w:t>
      </w:r>
      <w:r w:rsidR="00F87045">
        <w:rPr>
          <w:rFonts w:ascii="Arial" w:hAnsi="Arial" w:cs="Arial"/>
        </w:rPr>
        <w:t xml:space="preserve">abendo aos professores, então, </w:t>
      </w:r>
      <w:r w:rsidR="00595D11">
        <w:rPr>
          <w:rFonts w:ascii="Arial" w:hAnsi="Arial" w:cs="Arial"/>
        </w:rPr>
        <w:t>m</w:t>
      </w:r>
      <w:r w:rsidR="00FD0E3C" w:rsidRPr="00FD0E3C">
        <w:rPr>
          <w:rFonts w:ascii="Arial" w:hAnsi="Arial" w:cs="Arial"/>
        </w:rPr>
        <w:t>ediar as situações de ensino e aprendizagem para esse fim.</w:t>
      </w:r>
    </w:p>
    <w:p w14:paraId="103722B5" w14:textId="77777777" w:rsidR="00F77E88" w:rsidRDefault="00F77E88" w:rsidP="0083569C">
      <w:pPr>
        <w:autoSpaceDE w:val="0"/>
        <w:autoSpaceDN w:val="0"/>
        <w:adjustRightInd w:val="0"/>
        <w:spacing w:after="0" w:line="360" w:lineRule="auto"/>
        <w:jc w:val="both"/>
        <w:rPr>
          <w:b/>
          <w:bCs/>
          <w:sz w:val="23"/>
          <w:szCs w:val="23"/>
        </w:rPr>
      </w:pPr>
    </w:p>
    <w:p w14:paraId="1681169A" w14:textId="6043483C" w:rsidR="0083569C" w:rsidRDefault="0083569C" w:rsidP="0083569C">
      <w:pPr>
        <w:autoSpaceDE w:val="0"/>
        <w:autoSpaceDN w:val="0"/>
        <w:adjustRightInd w:val="0"/>
        <w:spacing w:after="0" w:line="360" w:lineRule="auto"/>
        <w:jc w:val="both"/>
        <w:rPr>
          <w:b/>
          <w:bCs/>
          <w:sz w:val="23"/>
          <w:szCs w:val="23"/>
        </w:rPr>
      </w:pPr>
      <w:r>
        <w:rPr>
          <w:b/>
          <w:bCs/>
          <w:sz w:val="23"/>
          <w:szCs w:val="23"/>
        </w:rPr>
        <w:t>Referências</w:t>
      </w:r>
    </w:p>
    <w:p w14:paraId="578D7744" w14:textId="4908624A" w:rsidR="0083569C" w:rsidRPr="00321F40" w:rsidRDefault="0083569C" w:rsidP="00D224E6">
      <w:pPr>
        <w:pStyle w:val="Default"/>
        <w:rPr>
          <w:color w:val="auto"/>
          <w:sz w:val="23"/>
          <w:szCs w:val="23"/>
        </w:rPr>
      </w:pPr>
      <w:r w:rsidRPr="00321F40">
        <w:rPr>
          <w:color w:val="auto"/>
          <w:sz w:val="23"/>
          <w:szCs w:val="23"/>
        </w:rPr>
        <w:t xml:space="preserve">Anfope. </w:t>
      </w:r>
      <w:r w:rsidRPr="00321F40">
        <w:rPr>
          <w:b/>
          <w:bCs/>
          <w:color w:val="auto"/>
        </w:rPr>
        <w:t>Nota da Anfope sobre o parecer CNE/CP Nº 04/2024</w:t>
      </w:r>
      <w:r w:rsidRPr="00321F40">
        <w:rPr>
          <w:color w:val="auto"/>
          <w:sz w:val="23"/>
          <w:szCs w:val="23"/>
        </w:rPr>
        <w:t xml:space="preserve">. </w:t>
      </w:r>
      <w:r w:rsidR="00D224E6" w:rsidRPr="00321F40">
        <w:rPr>
          <w:color w:val="auto"/>
          <w:sz w:val="23"/>
          <w:szCs w:val="23"/>
        </w:rPr>
        <w:t>Rio de Janeiro, abril de 2024</w:t>
      </w:r>
      <w:r w:rsidRPr="00321F40">
        <w:rPr>
          <w:color w:val="auto"/>
          <w:sz w:val="23"/>
          <w:szCs w:val="23"/>
        </w:rPr>
        <w:t xml:space="preserve">. Disponível em </w:t>
      </w:r>
      <w:hyperlink r:id="rId9" w:history="1">
        <w:r w:rsidR="00D224E6" w:rsidRPr="00321F40">
          <w:rPr>
            <w:rStyle w:val="Hyperlink"/>
            <w:color w:val="auto"/>
            <w:sz w:val="23"/>
            <w:szCs w:val="23"/>
          </w:rPr>
          <w:t>https://www.anfope.org.br/wp-content/uploads/2024/04/Nota-Anfope_correcao_final.pdf</w:t>
        </w:r>
      </w:hyperlink>
      <w:r w:rsidR="00D224E6" w:rsidRPr="00321F40">
        <w:rPr>
          <w:color w:val="auto"/>
          <w:sz w:val="23"/>
          <w:szCs w:val="23"/>
        </w:rPr>
        <w:t xml:space="preserve"> </w:t>
      </w:r>
      <w:r w:rsidRPr="00321F40">
        <w:rPr>
          <w:color w:val="auto"/>
          <w:sz w:val="23"/>
          <w:szCs w:val="23"/>
        </w:rPr>
        <w:t xml:space="preserve">Acesso em: </w:t>
      </w:r>
      <w:r w:rsidR="00D224E6" w:rsidRPr="00321F40">
        <w:rPr>
          <w:color w:val="auto"/>
          <w:sz w:val="23"/>
          <w:szCs w:val="23"/>
        </w:rPr>
        <w:t>0</w:t>
      </w:r>
      <w:r w:rsidRPr="00321F40">
        <w:rPr>
          <w:color w:val="auto"/>
          <w:sz w:val="23"/>
          <w:szCs w:val="23"/>
        </w:rPr>
        <w:t xml:space="preserve">2 </w:t>
      </w:r>
      <w:r w:rsidR="00D224E6" w:rsidRPr="00321F40">
        <w:rPr>
          <w:color w:val="auto"/>
          <w:sz w:val="23"/>
          <w:szCs w:val="23"/>
        </w:rPr>
        <w:t>fev</w:t>
      </w:r>
      <w:r w:rsidRPr="00321F40">
        <w:rPr>
          <w:color w:val="auto"/>
          <w:sz w:val="23"/>
          <w:szCs w:val="23"/>
        </w:rPr>
        <w:t>.202</w:t>
      </w:r>
      <w:r w:rsidR="00D224E6" w:rsidRPr="00321F40">
        <w:rPr>
          <w:color w:val="auto"/>
          <w:sz w:val="23"/>
          <w:szCs w:val="23"/>
        </w:rPr>
        <w:t>5</w:t>
      </w:r>
      <w:r w:rsidRPr="00321F40">
        <w:rPr>
          <w:color w:val="auto"/>
          <w:sz w:val="23"/>
          <w:szCs w:val="23"/>
        </w:rPr>
        <w:t>.</w:t>
      </w:r>
    </w:p>
    <w:p w14:paraId="61AF7CA3" w14:textId="244D5C32" w:rsidR="00501B71" w:rsidRPr="00321F40" w:rsidRDefault="00501B71" w:rsidP="00D224E6">
      <w:pPr>
        <w:pStyle w:val="Default"/>
        <w:rPr>
          <w:color w:val="auto"/>
          <w:sz w:val="23"/>
          <w:szCs w:val="23"/>
        </w:rPr>
      </w:pPr>
    </w:p>
    <w:p w14:paraId="0E8EC043" w14:textId="15E77B00" w:rsidR="00352DBE" w:rsidRDefault="00501B71" w:rsidP="00501B71">
      <w:pPr>
        <w:spacing w:line="240" w:lineRule="auto"/>
        <w:rPr>
          <w:rFonts w:ascii="Candara" w:hAnsi="Candara" w:cs="Arial"/>
          <w:color w:val="000000" w:themeColor="text1"/>
        </w:rPr>
      </w:pPr>
      <w:r w:rsidRPr="00AE7D75">
        <w:rPr>
          <w:rFonts w:ascii="Candara" w:hAnsi="Candara" w:cs="Arial"/>
          <w:color w:val="000000" w:themeColor="text1"/>
        </w:rPr>
        <w:t xml:space="preserve">BRASIL. Conselho Nacional de Educação. </w:t>
      </w:r>
      <w:r w:rsidRPr="00AE7D75">
        <w:rPr>
          <w:rFonts w:ascii="Candara" w:hAnsi="Candara" w:cs="Arial"/>
          <w:b/>
          <w:color w:val="000000" w:themeColor="text1"/>
        </w:rPr>
        <w:t xml:space="preserve">Resolução CNE/CP n° 4, de 29 de maio de 2024. </w:t>
      </w:r>
      <w:r w:rsidRPr="00AE7D75">
        <w:rPr>
          <w:rFonts w:ascii="Candara" w:hAnsi="Candara" w:cs="Arial"/>
          <w:color w:val="000000" w:themeColor="text1"/>
        </w:rPr>
        <w:t>Dispõe sobre as Diretrizes Curriculares Nacionais para a Formação Inicial em Nível Superior de Profissionais do Magistério da Educação Escolar Básica (cursos de licenciatura, cursos de formação pedagógica para graduados não licenciados e cursos de segunda licenciatura). Brasília: Diário Oficial da União, p. 1-18, 03/jun, 2024. Disponível em: &lt;</w:t>
      </w:r>
      <w:hyperlink r:id="rId10" w:history="1">
        <w:r w:rsidRPr="00321F40">
          <w:rPr>
            <w:rStyle w:val="Hyperlink"/>
            <w:rFonts w:ascii="Candara" w:hAnsi="Candara" w:cs="Arial"/>
            <w:color w:val="auto"/>
          </w:rPr>
          <w:t>http://portal.mec.gov.br/index.php?option=com_docman&amp;view=download&amp;alias=258171-rcp004-24&amp;category_slug=junho-2024&amp;Itemid=30192</w:t>
        </w:r>
      </w:hyperlink>
      <w:r w:rsidRPr="00321F40">
        <w:rPr>
          <w:rFonts w:ascii="Candara" w:hAnsi="Candara" w:cs="Arial"/>
        </w:rPr>
        <w:t xml:space="preserve">&gt;. Acesso em: 15 jun. </w:t>
      </w:r>
      <w:r w:rsidRPr="00AE7D75">
        <w:rPr>
          <w:rFonts w:ascii="Candara" w:hAnsi="Candara" w:cs="Arial"/>
          <w:color w:val="000000" w:themeColor="text1"/>
        </w:rPr>
        <w:t>2024.</w:t>
      </w:r>
    </w:p>
    <w:p w14:paraId="665FA34C" w14:textId="6C6674AE" w:rsidR="00352DBE" w:rsidRPr="0062462E" w:rsidRDefault="00352DBE" w:rsidP="0062462E">
      <w:pPr>
        <w:ind w:right="18"/>
        <w:rPr>
          <w:rFonts w:ascii="Times New Roman" w:hAnsi="Times New Roman" w:cs="Times New Roman"/>
        </w:rPr>
      </w:pPr>
      <w:r w:rsidRPr="00EE70EA">
        <w:rPr>
          <w:rFonts w:ascii="Times New Roman" w:hAnsi="Times New Roman" w:cs="Times New Roman"/>
          <w:iCs/>
        </w:rPr>
        <w:t>FILHO, Antonio</w:t>
      </w:r>
      <w:r>
        <w:rPr>
          <w:rFonts w:ascii="Times New Roman" w:hAnsi="Times New Roman" w:cs="Times New Roman"/>
          <w:iCs/>
        </w:rPr>
        <w:t xml:space="preserve"> Rago</w:t>
      </w:r>
      <w:r w:rsidRPr="00EE70EA">
        <w:rPr>
          <w:rFonts w:ascii="Times New Roman" w:hAnsi="Times New Roman" w:cs="Times New Roman"/>
          <w:iCs/>
        </w:rPr>
        <w:t xml:space="preserve">. </w:t>
      </w:r>
      <w:r w:rsidRPr="00EE70EA">
        <w:rPr>
          <w:rFonts w:ascii="Times New Roman" w:hAnsi="Times New Roman" w:cs="Times New Roman"/>
          <w:bCs/>
        </w:rPr>
        <w:t>A teoria da Via Colonial de objetivação do capital no Brasil: J. Chasin e</w:t>
      </w:r>
      <w:r w:rsidRPr="00EE70EA">
        <w:rPr>
          <w:rFonts w:ascii="Times New Roman" w:hAnsi="Times New Roman" w:cs="Times New Roman"/>
        </w:rPr>
        <w:t xml:space="preserve"> </w:t>
      </w:r>
      <w:r w:rsidRPr="00EE70EA">
        <w:rPr>
          <w:rFonts w:ascii="Times New Roman" w:hAnsi="Times New Roman" w:cs="Times New Roman"/>
          <w:bCs/>
        </w:rPr>
        <w:t>a crítica ontológica do capital atrófico</w:t>
      </w:r>
      <w:r w:rsidRPr="00EE70EA">
        <w:rPr>
          <w:rFonts w:ascii="Times New Roman" w:hAnsi="Times New Roman" w:cs="Times New Roman"/>
          <w:iCs/>
        </w:rPr>
        <w:t xml:space="preserve">. </w:t>
      </w:r>
      <w:r w:rsidRPr="006823D4">
        <w:rPr>
          <w:rFonts w:ascii="Times New Roman" w:hAnsi="Times New Roman" w:cs="Times New Roman"/>
          <w:bCs/>
          <w:i/>
        </w:rPr>
        <w:t>Verinotio</w:t>
      </w:r>
      <w:r w:rsidRPr="00EE70EA">
        <w:rPr>
          <w:rFonts w:ascii="Times New Roman" w:hAnsi="Times New Roman" w:cs="Times New Roman"/>
          <w:bCs/>
        </w:rPr>
        <w:t xml:space="preserve"> </w:t>
      </w:r>
      <w:r>
        <w:rPr>
          <w:rFonts w:ascii="Times New Roman" w:hAnsi="Times New Roman" w:cs="Times New Roman"/>
          <w:bCs/>
        </w:rPr>
        <w:t xml:space="preserve">- </w:t>
      </w:r>
      <w:r w:rsidRPr="00EE70EA">
        <w:rPr>
          <w:rFonts w:ascii="Times New Roman" w:hAnsi="Times New Roman" w:cs="Times New Roman"/>
          <w:bCs/>
        </w:rPr>
        <w:t>revista on-line</w:t>
      </w:r>
      <w:r w:rsidRPr="006823D4">
        <w:rPr>
          <w:rFonts w:ascii="Times New Roman" w:hAnsi="Times New Roman" w:cs="Times New Roman"/>
          <w:bCs/>
        </w:rPr>
        <w:t>,</w:t>
      </w:r>
      <w:r w:rsidRPr="00EE70EA">
        <w:rPr>
          <w:rFonts w:ascii="Times New Roman" w:hAnsi="Times New Roman" w:cs="Times New Roman"/>
        </w:rPr>
        <w:t xml:space="preserve"> n. 11, </w:t>
      </w:r>
      <w:r>
        <w:rPr>
          <w:rFonts w:ascii="Times New Roman" w:hAnsi="Times New Roman" w:cs="Times New Roman"/>
        </w:rPr>
        <w:t xml:space="preserve">ano VI, abr. </w:t>
      </w:r>
      <w:r w:rsidRPr="00EE70EA">
        <w:rPr>
          <w:rFonts w:ascii="Times New Roman" w:hAnsi="Times New Roman" w:cs="Times New Roman"/>
        </w:rPr>
        <w:t xml:space="preserve">2010. </w:t>
      </w:r>
      <w:r>
        <w:rPr>
          <w:rFonts w:ascii="Times New Roman" w:hAnsi="Times New Roman" w:cs="Times New Roman"/>
        </w:rPr>
        <w:t>Disponível em: &lt;</w:t>
      </w:r>
      <w:r w:rsidRPr="006823D4">
        <w:rPr>
          <w:rFonts w:ascii="Times New Roman" w:hAnsi="Times New Roman" w:cs="Times New Roman"/>
        </w:rPr>
        <w:t>http://www.verinotio.org/conteudo/0.44345918339068.pdf</w:t>
      </w:r>
      <w:r>
        <w:rPr>
          <w:rFonts w:ascii="Times New Roman" w:hAnsi="Times New Roman" w:cs="Times New Roman"/>
        </w:rPr>
        <w:t xml:space="preserve">&gt;. Acesso em: </w:t>
      </w:r>
      <w:r w:rsidRPr="00C96CC6">
        <w:rPr>
          <w:rFonts w:ascii="Times New Roman" w:hAnsi="Times New Roman" w:cs="Times New Roman"/>
        </w:rPr>
        <w:t>28 fev. 2018.</w:t>
      </w:r>
    </w:p>
    <w:p w14:paraId="38CC802E" w14:textId="31973491" w:rsidR="00501B71" w:rsidRPr="0062462E" w:rsidRDefault="00501B71" w:rsidP="0062462E">
      <w:pPr>
        <w:ind w:right="18"/>
        <w:rPr>
          <w:rFonts w:ascii="Times New Roman" w:hAnsi="Times New Roman" w:cs="Times New Roman"/>
        </w:rPr>
      </w:pPr>
      <w:r>
        <w:rPr>
          <w:rFonts w:ascii="Times New Roman" w:hAnsi="Times New Roman" w:cs="Times New Roman"/>
        </w:rPr>
        <w:t xml:space="preserve">MARINI, Ruy Mauro. </w:t>
      </w:r>
      <w:r w:rsidRPr="007F74F2">
        <w:rPr>
          <w:rFonts w:ascii="Times New Roman" w:hAnsi="Times New Roman" w:cs="Times New Roman"/>
          <w:i/>
        </w:rPr>
        <w:t>Dialética da dependência:</w:t>
      </w:r>
      <w:r>
        <w:rPr>
          <w:rFonts w:ascii="Times New Roman" w:hAnsi="Times New Roman" w:cs="Times New Roman"/>
        </w:rPr>
        <w:t xml:space="preserve"> uma antologia da obra de Ruy Mauro Marini. Organizado por Emir Sader. Petrópolis: Vozes; Buenos Aires: Clacso, 2000. </w:t>
      </w:r>
    </w:p>
    <w:p w14:paraId="01051776" w14:textId="77777777" w:rsidR="00501B71" w:rsidRPr="00AE7D75" w:rsidRDefault="00501B71" w:rsidP="00501B71">
      <w:pPr>
        <w:pBdr>
          <w:top w:val="nil"/>
          <w:left w:val="nil"/>
          <w:bottom w:val="nil"/>
          <w:right w:val="nil"/>
          <w:between w:val="nil"/>
        </w:pBdr>
        <w:spacing w:before="280" w:line="240" w:lineRule="auto"/>
        <w:rPr>
          <w:rFonts w:ascii="Candara" w:hAnsi="Candara" w:cs="Arial"/>
        </w:rPr>
      </w:pPr>
      <w:r w:rsidRPr="00AE7D75">
        <w:rPr>
          <w:rFonts w:ascii="Candara" w:hAnsi="Candara" w:cs="Arial"/>
          <w:shd w:val="clear" w:color="auto" w:fill="FFFFFF"/>
        </w:rPr>
        <w:t xml:space="preserve">ZANELLA, Andréia Migon; MASSON, Gisele. </w:t>
      </w:r>
      <w:r w:rsidRPr="00AE7D75">
        <w:rPr>
          <w:rFonts w:ascii="Candara" w:hAnsi="Candara" w:cs="Arial"/>
          <w:b/>
          <w:shd w:val="clear" w:color="auto" w:fill="FFFFFF"/>
        </w:rPr>
        <w:t>A Política Nacional de Formação Continuada de Professores da Educação Básica (2004-2020)</w:t>
      </w:r>
      <w:r w:rsidRPr="00AE7D75">
        <w:rPr>
          <w:rFonts w:ascii="Candara" w:hAnsi="Candara" w:cs="Arial"/>
          <w:shd w:val="clear" w:color="auto" w:fill="FFFFFF"/>
        </w:rPr>
        <w:t>. </w:t>
      </w:r>
      <w:r w:rsidRPr="00AE7D75">
        <w:rPr>
          <w:rFonts w:ascii="Candara" w:hAnsi="Candara" w:cs="Arial"/>
          <w:bCs/>
          <w:shd w:val="clear" w:color="auto" w:fill="FFFFFF"/>
        </w:rPr>
        <w:t>Revista Cocar</w:t>
      </w:r>
      <w:r w:rsidRPr="00AE7D75">
        <w:rPr>
          <w:rFonts w:ascii="Candara" w:hAnsi="Candara" w:cs="Arial"/>
          <w:shd w:val="clear" w:color="auto" w:fill="FFFFFF"/>
        </w:rPr>
        <w:t>, n. 28, 2024. Disponível em: &lt;</w:t>
      </w:r>
      <w:r w:rsidRPr="00AE7D75">
        <w:rPr>
          <w:rFonts w:ascii="Candara" w:hAnsi="Candara"/>
        </w:rPr>
        <w:t xml:space="preserve"> </w:t>
      </w:r>
      <w:hyperlink r:id="rId11" w:history="1">
        <w:r w:rsidRPr="00321F40">
          <w:rPr>
            <w:rStyle w:val="Hyperlink"/>
            <w:rFonts w:ascii="Candara" w:hAnsi="Candara" w:cs="Arial"/>
            <w:color w:val="auto"/>
            <w:shd w:val="clear" w:color="auto" w:fill="FFFFFF"/>
          </w:rPr>
          <w:t>https://periodicos.uepa.br/index.php/cocar/article/view/9169</w:t>
        </w:r>
      </w:hyperlink>
      <w:r w:rsidRPr="00321F40">
        <w:rPr>
          <w:rFonts w:ascii="Candara" w:hAnsi="Candara" w:cs="Arial"/>
          <w:shd w:val="clear" w:color="auto" w:fill="FFFFFF"/>
        </w:rPr>
        <w:t xml:space="preserve">&gt;. </w:t>
      </w:r>
      <w:r w:rsidRPr="00AE7D75">
        <w:rPr>
          <w:rFonts w:ascii="Candara" w:hAnsi="Candara" w:cs="Arial"/>
          <w:shd w:val="clear" w:color="auto" w:fill="FFFFFF"/>
        </w:rPr>
        <w:t xml:space="preserve">Acesso em: 02 mar. 2025. </w:t>
      </w:r>
    </w:p>
    <w:p w14:paraId="4430038D" w14:textId="77777777" w:rsidR="00501B71" w:rsidRPr="0083569C" w:rsidRDefault="00501B71" w:rsidP="00D224E6">
      <w:pPr>
        <w:pStyle w:val="Default"/>
      </w:pPr>
    </w:p>
    <w:sectPr w:rsidR="00501B71" w:rsidRPr="0083569C" w:rsidSect="00442A47">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EEF1" w14:textId="77777777" w:rsidR="002D2E4A" w:rsidRDefault="002D2E4A" w:rsidP="00442A47">
      <w:pPr>
        <w:spacing w:after="0" w:line="240" w:lineRule="auto"/>
      </w:pPr>
      <w:r>
        <w:separator/>
      </w:r>
    </w:p>
  </w:endnote>
  <w:endnote w:type="continuationSeparator" w:id="0">
    <w:p w14:paraId="408FF4E9" w14:textId="77777777" w:rsidR="002D2E4A" w:rsidRDefault="002D2E4A"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2FE9" w14:textId="77777777" w:rsidR="002D2E4A" w:rsidRDefault="002D2E4A" w:rsidP="00442A47">
      <w:pPr>
        <w:spacing w:after="0" w:line="240" w:lineRule="auto"/>
      </w:pPr>
      <w:r>
        <w:separator/>
      </w:r>
    </w:p>
  </w:footnote>
  <w:footnote w:type="continuationSeparator" w:id="0">
    <w:p w14:paraId="502181A9" w14:textId="77777777" w:rsidR="002D2E4A" w:rsidRDefault="002D2E4A"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26812"/>
    <w:rsid w:val="00040E51"/>
    <w:rsid w:val="0004333C"/>
    <w:rsid w:val="00053D75"/>
    <w:rsid w:val="00073CE9"/>
    <w:rsid w:val="000C5937"/>
    <w:rsid w:val="000D34B8"/>
    <w:rsid w:val="000E1044"/>
    <w:rsid w:val="000E119A"/>
    <w:rsid w:val="000E4520"/>
    <w:rsid w:val="000F3AC3"/>
    <w:rsid w:val="00106558"/>
    <w:rsid w:val="00107BDA"/>
    <w:rsid w:val="00114785"/>
    <w:rsid w:val="00164D2A"/>
    <w:rsid w:val="001B7490"/>
    <w:rsid w:val="001F2735"/>
    <w:rsid w:val="001F4920"/>
    <w:rsid w:val="0022445C"/>
    <w:rsid w:val="00225BE5"/>
    <w:rsid w:val="002374F9"/>
    <w:rsid w:val="002639B3"/>
    <w:rsid w:val="002703D8"/>
    <w:rsid w:val="00274AF2"/>
    <w:rsid w:val="002772BF"/>
    <w:rsid w:val="002918D7"/>
    <w:rsid w:val="00293B9D"/>
    <w:rsid w:val="00296593"/>
    <w:rsid w:val="002C4907"/>
    <w:rsid w:val="002D2E4A"/>
    <w:rsid w:val="002E5CAC"/>
    <w:rsid w:val="00317F74"/>
    <w:rsid w:val="00321F40"/>
    <w:rsid w:val="003500FC"/>
    <w:rsid w:val="00351727"/>
    <w:rsid w:val="00352DBE"/>
    <w:rsid w:val="00353C95"/>
    <w:rsid w:val="00383393"/>
    <w:rsid w:val="00395ABC"/>
    <w:rsid w:val="00395F85"/>
    <w:rsid w:val="003B7209"/>
    <w:rsid w:val="003C7A62"/>
    <w:rsid w:val="003D089D"/>
    <w:rsid w:val="003D1462"/>
    <w:rsid w:val="003D1A1F"/>
    <w:rsid w:val="003E41B3"/>
    <w:rsid w:val="00401C3F"/>
    <w:rsid w:val="004151CC"/>
    <w:rsid w:val="004302F4"/>
    <w:rsid w:val="00431034"/>
    <w:rsid w:val="00442A47"/>
    <w:rsid w:val="00450D49"/>
    <w:rsid w:val="004A25DD"/>
    <w:rsid w:val="004C2B61"/>
    <w:rsid w:val="004D67F9"/>
    <w:rsid w:val="004E4F0D"/>
    <w:rsid w:val="00501B71"/>
    <w:rsid w:val="005020C1"/>
    <w:rsid w:val="005444CF"/>
    <w:rsid w:val="0055088D"/>
    <w:rsid w:val="00595A5D"/>
    <w:rsid w:val="00595D11"/>
    <w:rsid w:val="005A03CC"/>
    <w:rsid w:val="005D1C4F"/>
    <w:rsid w:val="005D66FE"/>
    <w:rsid w:val="005E6FC8"/>
    <w:rsid w:val="00613246"/>
    <w:rsid w:val="00617B5F"/>
    <w:rsid w:val="0062462E"/>
    <w:rsid w:val="00626CC5"/>
    <w:rsid w:val="00636C6D"/>
    <w:rsid w:val="00650907"/>
    <w:rsid w:val="0065514A"/>
    <w:rsid w:val="00670146"/>
    <w:rsid w:val="00693A3D"/>
    <w:rsid w:val="006C0FA8"/>
    <w:rsid w:val="006C5A3B"/>
    <w:rsid w:val="006D07DD"/>
    <w:rsid w:val="006D3128"/>
    <w:rsid w:val="006E4A38"/>
    <w:rsid w:val="006F3038"/>
    <w:rsid w:val="006F3835"/>
    <w:rsid w:val="00707DBF"/>
    <w:rsid w:val="00712F7F"/>
    <w:rsid w:val="0074539D"/>
    <w:rsid w:val="00787599"/>
    <w:rsid w:val="007A28E5"/>
    <w:rsid w:val="007B0966"/>
    <w:rsid w:val="007B7D9E"/>
    <w:rsid w:val="007C3E8F"/>
    <w:rsid w:val="007D7CA8"/>
    <w:rsid w:val="007E2243"/>
    <w:rsid w:val="007F5C85"/>
    <w:rsid w:val="00800074"/>
    <w:rsid w:val="00804838"/>
    <w:rsid w:val="00806AE9"/>
    <w:rsid w:val="0083569C"/>
    <w:rsid w:val="008364A1"/>
    <w:rsid w:val="0083695B"/>
    <w:rsid w:val="00842FA7"/>
    <w:rsid w:val="00861FD2"/>
    <w:rsid w:val="00864941"/>
    <w:rsid w:val="00867F58"/>
    <w:rsid w:val="00886864"/>
    <w:rsid w:val="00896FF8"/>
    <w:rsid w:val="008B3108"/>
    <w:rsid w:val="008D7A92"/>
    <w:rsid w:val="008E2A97"/>
    <w:rsid w:val="008E3569"/>
    <w:rsid w:val="008E381C"/>
    <w:rsid w:val="008E52FF"/>
    <w:rsid w:val="008F270A"/>
    <w:rsid w:val="008F2B3D"/>
    <w:rsid w:val="008F5E1F"/>
    <w:rsid w:val="008F6249"/>
    <w:rsid w:val="00903A33"/>
    <w:rsid w:val="0090401F"/>
    <w:rsid w:val="00905EB5"/>
    <w:rsid w:val="009327F9"/>
    <w:rsid w:val="00947CD9"/>
    <w:rsid w:val="00952672"/>
    <w:rsid w:val="00962751"/>
    <w:rsid w:val="00980BF7"/>
    <w:rsid w:val="00984508"/>
    <w:rsid w:val="00986E1F"/>
    <w:rsid w:val="009B34B8"/>
    <w:rsid w:val="009E0996"/>
    <w:rsid w:val="009E6797"/>
    <w:rsid w:val="009F5B07"/>
    <w:rsid w:val="009F7345"/>
    <w:rsid w:val="00A11991"/>
    <w:rsid w:val="00A26E8F"/>
    <w:rsid w:val="00A340AC"/>
    <w:rsid w:val="00A35496"/>
    <w:rsid w:val="00A52CA1"/>
    <w:rsid w:val="00A919F5"/>
    <w:rsid w:val="00A95E39"/>
    <w:rsid w:val="00AC463E"/>
    <w:rsid w:val="00AC591A"/>
    <w:rsid w:val="00AC59DB"/>
    <w:rsid w:val="00AD5C2B"/>
    <w:rsid w:val="00AD7BAA"/>
    <w:rsid w:val="00AE435F"/>
    <w:rsid w:val="00B24BD0"/>
    <w:rsid w:val="00B255E1"/>
    <w:rsid w:val="00B31613"/>
    <w:rsid w:val="00BB4EA4"/>
    <w:rsid w:val="00BC2059"/>
    <w:rsid w:val="00BD17E1"/>
    <w:rsid w:val="00C14408"/>
    <w:rsid w:val="00C21B9E"/>
    <w:rsid w:val="00C22553"/>
    <w:rsid w:val="00C24A52"/>
    <w:rsid w:val="00C35B6F"/>
    <w:rsid w:val="00C527B0"/>
    <w:rsid w:val="00CC56DC"/>
    <w:rsid w:val="00CD54ED"/>
    <w:rsid w:val="00CF6A58"/>
    <w:rsid w:val="00D008B6"/>
    <w:rsid w:val="00D01616"/>
    <w:rsid w:val="00D224E6"/>
    <w:rsid w:val="00D24E43"/>
    <w:rsid w:val="00D355E5"/>
    <w:rsid w:val="00D548E1"/>
    <w:rsid w:val="00D60C44"/>
    <w:rsid w:val="00D85A42"/>
    <w:rsid w:val="00DB083C"/>
    <w:rsid w:val="00DB423F"/>
    <w:rsid w:val="00DD17E2"/>
    <w:rsid w:val="00DF6061"/>
    <w:rsid w:val="00E006FC"/>
    <w:rsid w:val="00E0279D"/>
    <w:rsid w:val="00E147DA"/>
    <w:rsid w:val="00E31471"/>
    <w:rsid w:val="00E31CE3"/>
    <w:rsid w:val="00E34DA5"/>
    <w:rsid w:val="00E43D15"/>
    <w:rsid w:val="00E62E5B"/>
    <w:rsid w:val="00E82F7F"/>
    <w:rsid w:val="00E87390"/>
    <w:rsid w:val="00EA4A39"/>
    <w:rsid w:val="00EB4080"/>
    <w:rsid w:val="00EC430C"/>
    <w:rsid w:val="00EC76FC"/>
    <w:rsid w:val="00EE4F50"/>
    <w:rsid w:val="00EF129E"/>
    <w:rsid w:val="00F100C0"/>
    <w:rsid w:val="00F14086"/>
    <w:rsid w:val="00F24D30"/>
    <w:rsid w:val="00F47A68"/>
    <w:rsid w:val="00F55A9F"/>
    <w:rsid w:val="00F56D25"/>
    <w:rsid w:val="00F60630"/>
    <w:rsid w:val="00F77E88"/>
    <w:rsid w:val="00F85368"/>
    <w:rsid w:val="00F87045"/>
    <w:rsid w:val="00FC1881"/>
    <w:rsid w:val="00FC18D6"/>
    <w:rsid w:val="00FD0E3C"/>
    <w:rsid w:val="00FF0BFC"/>
    <w:rsid w:val="00FF132A"/>
    <w:rsid w:val="00FF5276"/>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customStyle="1" w:styleId="Default">
    <w:name w:val="Default"/>
    <w:rsid w:val="00FF132A"/>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unhideWhenUsed/>
    <w:rsid w:val="00D60C4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D224E6"/>
    <w:rPr>
      <w:color w:val="467886" w:themeColor="hyperlink"/>
      <w:u w:val="single"/>
    </w:rPr>
  </w:style>
  <w:style w:type="character" w:styleId="MenoPendente">
    <w:name w:val="Unresolved Mention"/>
    <w:basedOn w:val="Fontepargpadro"/>
    <w:uiPriority w:val="99"/>
    <w:semiHidden/>
    <w:unhideWhenUsed/>
    <w:rsid w:val="00D224E6"/>
    <w:rPr>
      <w:color w:val="605E5C"/>
      <w:shd w:val="clear" w:color="auto" w:fill="E1DFDD"/>
    </w:rPr>
  </w:style>
  <w:style w:type="character" w:styleId="nfase">
    <w:name w:val="Emphasis"/>
    <w:uiPriority w:val="20"/>
    <w:qFormat/>
    <w:rsid w:val="007453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638386973">
      <w:bodyDiv w:val="1"/>
      <w:marLeft w:val="0"/>
      <w:marRight w:val="0"/>
      <w:marTop w:val="0"/>
      <w:marBottom w:val="0"/>
      <w:divBdr>
        <w:top w:val="none" w:sz="0" w:space="0" w:color="auto"/>
        <w:left w:val="none" w:sz="0" w:space="0" w:color="auto"/>
        <w:bottom w:val="none" w:sz="0" w:space="0" w:color="auto"/>
        <w:right w:val="none" w:sz="0" w:space="0" w:color="auto"/>
      </w:divBdr>
      <w:divsChild>
        <w:div w:id="1565024824">
          <w:marLeft w:val="0"/>
          <w:marRight w:val="0"/>
          <w:marTop w:val="0"/>
          <w:marBottom w:val="0"/>
          <w:divBdr>
            <w:top w:val="none" w:sz="0" w:space="0" w:color="auto"/>
            <w:left w:val="none" w:sz="0" w:space="0" w:color="auto"/>
            <w:bottom w:val="none" w:sz="0" w:space="0" w:color="auto"/>
            <w:right w:val="none" w:sz="0" w:space="0" w:color="auto"/>
          </w:divBdr>
        </w:div>
        <w:div w:id="526989926">
          <w:marLeft w:val="0"/>
          <w:marRight w:val="0"/>
          <w:marTop w:val="0"/>
          <w:marBottom w:val="0"/>
          <w:divBdr>
            <w:top w:val="none" w:sz="0" w:space="0" w:color="auto"/>
            <w:left w:val="none" w:sz="0" w:space="0" w:color="auto"/>
            <w:bottom w:val="none" w:sz="0" w:space="0" w:color="auto"/>
            <w:right w:val="none" w:sz="0" w:space="0" w:color="auto"/>
          </w:divBdr>
        </w:div>
        <w:div w:id="79301227">
          <w:marLeft w:val="0"/>
          <w:marRight w:val="0"/>
          <w:marTop w:val="0"/>
          <w:marBottom w:val="0"/>
          <w:divBdr>
            <w:top w:val="none" w:sz="0" w:space="0" w:color="auto"/>
            <w:left w:val="none" w:sz="0" w:space="0" w:color="auto"/>
            <w:bottom w:val="none" w:sz="0" w:space="0" w:color="auto"/>
            <w:right w:val="none" w:sz="0" w:space="0" w:color="auto"/>
          </w:divBdr>
        </w:div>
        <w:div w:id="1148476467">
          <w:marLeft w:val="0"/>
          <w:marRight w:val="0"/>
          <w:marTop w:val="0"/>
          <w:marBottom w:val="0"/>
          <w:divBdr>
            <w:top w:val="none" w:sz="0" w:space="0" w:color="auto"/>
            <w:left w:val="none" w:sz="0" w:space="0" w:color="auto"/>
            <w:bottom w:val="none" w:sz="0" w:space="0" w:color="auto"/>
            <w:right w:val="none" w:sz="0" w:space="0" w:color="auto"/>
          </w:divBdr>
        </w:div>
        <w:div w:id="989868977">
          <w:marLeft w:val="0"/>
          <w:marRight w:val="0"/>
          <w:marTop w:val="0"/>
          <w:marBottom w:val="0"/>
          <w:divBdr>
            <w:top w:val="none" w:sz="0" w:space="0" w:color="auto"/>
            <w:left w:val="none" w:sz="0" w:space="0" w:color="auto"/>
            <w:bottom w:val="none" w:sz="0" w:space="0" w:color="auto"/>
            <w:right w:val="none" w:sz="0" w:space="0" w:color="auto"/>
          </w:divBdr>
        </w:div>
        <w:div w:id="683360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USA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t.wikipedia.org/wiki/Ag%C3%AAncia_dos_Estados_Unidos_para_o_Desenvolvimento_Internacion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eriodicos.uepa.br/index.php/cocar/article/view/916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portal.mec.gov.br/index.php?option=com_docman&amp;view=download&amp;alias=258171-rcp004-24&amp;category_slug=junho-2024&amp;Itemid=301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fope.org.br/wp-content/uploads/2024/04/Nota-Anfope_correcao_final.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7301</TotalTime>
  <Pages>5</Pages>
  <Words>1731</Words>
  <Characters>9353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Windows</cp:lastModifiedBy>
  <cp:revision>185</cp:revision>
  <dcterms:created xsi:type="dcterms:W3CDTF">2025-02-11T20:29:00Z</dcterms:created>
  <dcterms:modified xsi:type="dcterms:W3CDTF">2025-04-23T14:55:00Z</dcterms:modified>
</cp:coreProperties>
</file>