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D81" w:rsidRDefault="00EA38D1">
      <w:pPr>
        <w:spacing w:before="120" w:after="120" w:line="336" w:lineRule="auto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-3175</wp:posOffset>
            </wp:positionH>
            <wp:positionV relativeFrom="paragraph">
              <wp:posOffset>-79375</wp:posOffset>
            </wp:positionV>
            <wp:extent cx="7567084" cy="10577689"/>
            <wp:effectExtent l="19050" t="0" r="0" b="0"/>
            <wp:wrapNone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084" cy="10577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42D81" w:rsidRDefault="00542D81">
      <w:pPr>
        <w:spacing w:before="120" w:after="120" w:line="336" w:lineRule="auto"/>
      </w:pPr>
    </w:p>
    <w:p w:rsidR="00542D81" w:rsidRDefault="00542D81">
      <w:pPr>
        <w:spacing w:before="120" w:after="120" w:line="336" w:lineRule="auto"/>
      </w:pPr>
    </w:p>
    <w:p w:rsidR="00542D81" w:rsidRDefault="00542D81">
      <w:pPr>
        <w:spacing w:before="120" w:after="120" w:line="336" w:lineRule="auto"/>
      </w:pPr>
    </w:p>
    <w:p w:rsidR="00542D81" w:rsidRDefault="00542D81">
      <w:pPr>
        <w:spacing w:before="120" w:after="120" w:line="336" w:lineRule="auto"/>
      </w:pPr>
    </w:p>
    <w:p w:rsidR="00542D81" w:rsidRDefault="00542D81">
      <w:pPr>
        <w:spacing w:before="120" w:after="120" w:line="336" w:lineRule="auto"/>
      </w:pPr>
    </w:p>
    <w:p w:rsidR="00542D81" w:rsidRDefault="00F3346A">
      <w:pPr>
        <w:spacing w:before="120"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INFECÇÕES POR HERPES SIMPLES E NEUROSSÍNDROMES: ABORDAGEM DIAGNÓSTICA E TERA</w:t>
      </w:r>
      <w:r w:rsidR="004962D9">
        <w:rPr>
          <w:b/>
          <w:sz w:val="24"/>
          <w:szCs w:val="24"/>
        </w:rPr>
        <w:t>PÊUTICA NA</w:t>
      </w:r>
      <w:r>
        <w:rPr>
          <w:b/>
          <w:sz w:val="24"/>
          <w:szCs w:val="24"/>
        </w:rPr>
        <w:t xml:space="preserve"> </w:t>
      </w:r>
      <w:r w:rsidR="004962D9">
        <w:rPr>
          <w:b/>
          <w:sz w:val="24"/>
          <w:szCs w:val="24"/>
        </w:rPr>
        <w:t>EMERGÊNCIA PEDIÁTRICA</w:t>
      </w:r>
    </w:p>
    <w:p w:rsidR="00F3346A" w:rsidRDefault="00F3346A" w:rsidP="00F3346A">
      <w:pPr>
        <w:pStyle w:val="NormalWeb"/>
        <w:spacing w:before="120" w:beforeAutospacing="0" w:after="120" w:afterAutospacing="0"/>
        <w:jc w:val="center"/>
      </w:pPr>
      <w:r>
        <w:rPr>
          <w:b/>
          <w:bCs/>
          <w:color w:val="000000"/>
        </w:rPr>
        <w:t xml:space="preserve">HERPES SIMPLEX INFECTIONS AND NEUROSYNDROMES: DIAGNOSTIC AND THERAPEUTIC APPROACH IN </w:t>
      </w:r>
      <w:r w:rsidR="00562685">
        <w:rPr>
          <w:b/>
          <w:bCs/>
          <w:color w:val="000000"/>
        </w:rPr>
        <w:t>THE PEDIATRIC EMERGENCY SETTING</w:t>
      </w:r>
    </w:p>
    <w:p w:rsidR="00542D81" w:rsidRDefault="00EA38D1">
      <w:pPr>
        <w:spacing w:before="120"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EIXO TEMATICO:</w:t>
      </w:r>
      <w:r w:rsidR="00F3346A">
        <w:rPr>
          <w:b/>
          <w:sz w:val="24"/>
          <w:szCs w:val="24"/>
        </w:rPr>
        <w:t xml:space="preserve"> DOENÇAS INFECCTOCONTAGIOSAS EM CRIANÇAS</w:t>
      </w:r>
    </w:p>
    <w:p w:rsidR="00542D81" w:rsidRDefault="00542D81">
      <w:pPr>
        <w:widowControl w:val="0"/>
        <w:rPr>
          <w:b/>
        </w:rPr>
      </w:pPr>
    </w:p>
    <w:p w:rsidR="00F3346A" w:rsidRDefault="00F3346A" w:rsidP="00F3346A">
      <w:pPr>
        <w:pStyle w:val="NormalWeb"/>
        <w:spacing w:before="0" w:beforeAutospacing="0" w:after="0" w:afterAutospacing="0"/>
      </w:pPr>
      <w:r>
        <w:rPr>
          <w:b/>
          <w:bCs/>
          <w:color w:val="000000"/>
          <w:sz w:val="20"/>
          <w:szCs w:val="20"/>
        </w:rPr>
        <w:t>Méllany Abreu da Costa</w:t>
      </w:r>
    </w:p>
    <w:p w:rsidR="00F3346A" w:rsidRDefault="00F3346A" w:rsidP="00F3346A">
      <w:pPr>
        <w:pStyle w:val="NormalWeb"/>
        <w:spacing w:before="0" w:beforeAutospacing="0" w:after="0" w:afterAutospacing="0"/>
      </w:pPr>
      <w:r>
        <w:rPr>
          <w:color w:val="000000"/>
          <w:sz w:val="16"/>
          <w:szCs w:val="16"/>
        </w:rPr>
        <w:t>Graduanda em Medicina pela Universidade Franciscana</w:t>
      </w:r>
    </w:p>
    <w:p w:rsidR="00F3346A" w:rsidRDefault="00F3346A" w:rsidP="00F3346A">
      <w:pPr>
        <w:pStyle w:val="NormalWeb"/>
        <w:spacing w:before="0" w:beforeAutospacing="0" w:after="0" w:afterAutospacing="0"/>
        <w:ind w:right="142"/>
        <w:jc w:val="both"/>
      </w:pPr>
      <w:r>
        <w:rPr>
          <w:b/>
          <w:bCs/>
          <w:color w:val="000000"/>
          <w:sz w:val="20"/>
          <w:szCs w:val="20"/>
        </w:rPr>
        <w:t>Ana Carolina Risson </w:t>
      </w:r>
    </w:p>
    <w:p w:rsidR="00F3346A" w:rsidRDefault="00F3346A" w:rsidP="00F3346A">
      <w:pPr>
        <w:pStyle w:val="NormalWeb"/>
        <w:spacing w:before="0" w:beforeAutospacing="0" w:after="0" w:afterAutospacing="0"/>
      </w:pPr>
      <w:r>
        <w:rPr>
          <w:color w:val="000000"/>
          <w:sz w:val="16"/>
          <w:szCs w:val="16"/>
        </w:rPr>
        <w:t>Graduanda em Medicina pela Universidade Franciscana</w:t>
      </w:r>
    </w:p>
    <w:p w:rsidR="00F3346A" w:rsidRDefault="00F3346A" w:rsidP="00F3346A">
      <w:pPr>
        <w:pStyle w:val="NormalWeb"/>
        <w:spacing w:before="0" w:beforeAutospacing="0" w:after="0" w:afterAutospacing="0"/>
        <w:ind w:right="142"/>
        <w:jc w:val="both"/>
      </w:pPr>
      <w:r>
        <w:rPr>
          <w:b/>
          <w:bCs/>
          <w:color w:val="000000"/>
          <w:sz w:val="20"/>
          <w:szCs w:val="20"/>
        </w:rPr>
        <w:t xml:space="preserve">Ana Paula </w:t>
      </w:r>
      <w:proofErr w:type="spellStart"/>
      <w:r>
        <w:rPr>
          <w:b/>
          <w:bCs/>
          <w:color w:val="000000"/>
          <w:sz w:val="20"/>
          <w:szCs w:val="20"/>
        </w:rPr>
        <w:t>Jaskulski</w:t>
      </w:r>
      <w:proofErr w:type="spellEnd"/>
      <w:r>
        <w:rPr>
          <w:b/>
          <w:bCs/>
          <w:color w:val="000000"/>
          <w:sz w:val="20"/>
          <w:szCs w:val="20"/>
        </w:rPr>
        <w:t xml:space="preserve"> Sampaio</w:t>
      </w:r>
    </w:p>
    <w:p w:rsidR="00F3346A" w:rsidRDefault="00F3346A" w:rsidP="00F3346A">
      <w:pPr>
        <w:pStyle w:val="NormalWeb"/>
        <w:spacing w:before="0" w:beforeAutospacing="0" w:after="0" w:afterAutospacing="0"/>
        <w:ind w:right="142"/>
        <w:jc w:val="both"/>
      </w:pPr>
      <w:r>
        <w:rPr>
          <w:color w:val="000000"/>
          <w:sz w:val="16"/>
          <w:szCs w:val="16"/>
        </w:rPr>
        <w:t>Graduanda em Medicina pela Universidade Franciscana</w:t>
      </w:r>
    </w:p>
    <w:p w:rsidR="00F3346A" w:rsidRDefault="00F3346A" w:rsidP="00F3346A">
      <w:pPr>
        <w:pStyle w:val="NormalWeb"/>
        <w:spacing w:before="0" w:beforeAutospacing="0" w:after="0" w:afterAutospacing="0"/>
        <w:ind w:right="142"/>
        <w:jc w:val="both"/>
      </w:pPr>
      <w:r>
        <w:rPr>
          <w:b/>
          <w:bCs/>
          <w:color w:val="000000"/>
          <w:sz w:val="20"/>
          <w:szCs w:val="20"/>
        </w:rPr>
        <w:t>Guilherme Richter Batista</w:t>
      </w:r>
    </w:p>
    <w:p w:rsidR="00F3346A" w:rsidRDefault="00F3346A" w:rsidP="00F3346A">
      <w:pPr>
        <w:pStyle w:val="NormalWeb"/>
        <w:spacing w:before="0" w:beforeAutospacing="0" w:after="0" w:afterAutospacing="0"/>
        <w:ind w:right="142"/>
        <w:jc w:val="both"/>
      </w:pPr>
      <w:r>
        <w:rPr>
          <w:color w:val="000000"/>
          <w:sz w:val="16"/>
          <w:szCs w:val="16"/>
        </w:rPr>
        <w:t>Graduando em Medicina pela Universidade Franciscana</w:t>
      </w:r>
    </w:p>
    <w:p w:rsidR="00F3346A" w:rsidRDefault="00F3346A" w:rsidP="00F3346A">
      <w:pPr>
        <w:pStyle w:val="NormalWeb"/>
        <w:spacing w:before="0" w:beforeAutospacing="0" w:after="0" w:afterAutospacing="0"/>
        <w:ind w:right="142"/>
        <w:jc w:val="both"/>
      </w:pPr>
      <w:r>
        <w:rPr>
          <w:b/>
          <w:bCs/>
          <w:color w:val="000000"/>
          <w:sz w:val="20"/>
          <w:szCs w:val="20"/>
        </w:rPr>
        <w:t>Júlia do Nascimento Marcon</w:t>
      </w:r>
    </w:p>
    <w:p w:rsidR="00F3346A" w:rsidRDefault="00F3346A" w:rsidP="00F3346A">
      <w:pPr>
        <w:pStyle w:val="NormalWeb"/>
        <w:spacing w:before="0" w:beforeAutospacing="0" w:after="0" w:afterAutospacing="0"/>
      </w:pPr>
      <w:r>
        <w:rPr>
          <w:color w:val="000000"/>
          <w:sz w:val="16"/>
          <w:szCs w:val="16"/>
        </w:rPr>
        <w:t>Graduanda em Medicina pela Universidade Franciscana</w:t>
      </w:r>
    </w:p>
    <w:p w:rsidR="00F3346A" w:rsidRDefault="00F3346A" w:rsidP="00F3346A">
      <w:pPr>
        <w:pStyle w:val="NormalWeb"/>
        <w:spacing w:before="0" w:beforeAutospacing="0" w:after="0" w:afterAutospacing="0"/>
        <w:ind w:right="142"/>
        <w:jc w:val="both"/>
      </w:pPr>
      <w:r>
        <w:rPr>
          <w:b/>
          <w:bCs/>
          <w:color w:val="000000"/>
          <w:sz w:val="20"/>
          <w:szCs w:val="20"/>
        </w:rPr>
        <w:t>Michel Kovalski Batista</w:t>
      </w:r>
    </w:p>
    <w:p w:rsidR="00F3346A" w:rsidRDefault="00F3346A" w:rsidP="00F3346A">
      <w:pPr>
        <w:pStyle w:val="NormalWeb"/>
        <w:spacing w:before="0" w:beforeAutospacing="0" w:after="0" w:afterAutospacing="0"/>
        <w:ind w:right="142"/>
        <w:jc w:val="both"/>
      </w:pPr>
      <w:r>
        <w:rPr>
          <w:color w:val="000000"/>
          <w:sz w:val="16"/>
          <w:szCs w:val="16"/>
        </w:rPr>
        <w:t>Graduando em Medicina pela Universidade Franciscana</w:t>
      </w:r>
    </w:p>
    <w:p w:rsidR="00F3346A" w:rsidRDefault="00F3346A" w:rsidP="00F3346A">
      <w:pPr>
        <w:pStyle w:val="NormalWeb"/>
        <w:spacing w:before="0" w:beforeAutospacing="0" w:after="0" w:afterAutospacing="0"/>
        <w:ind w:right="142"/>
        <w:jc w:val="both"/>
      </w:pPr>
      <w:proofErr w:type="spellStart"/>
      <w:r>
        <w:rPr>
          <w:b/>
          <w:bCs/>
          <w:color w:val="000000"/>
          <w:sz w:val="20"/>
          <w:szCs w:val="20"/>
        </w:rPr>
        <w:t>Nathiely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Kurtz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Zafanelli</w:t>
      </w:r>
      <w:proofErr w:type="spellEnd"/>
    </w:p>
    <w:p w:rsidR="00F3346A" w:rsidRDefault="00F3346A" w:rsidP="00F3346A">
      <w:pPr>
        <w:pStyle w:val="NormalWeb"/>
        <w:spacing w:before="0" w:beforeAutospacing="0" w:after="0" w:afterAutospacing="0"/>
      </w:pPr>
      <w:r>
        <w:rPr>
          <w:color w:val="000000"/>
          <w:sz w:val="16"/>
          <w:szCs w:val="16"/>
        </w:rPr>
        <w:t>Graduanda em Medicina pela Universidade Franciscana</w:t>
      </w:r>
    </w:p>
    <w:p w:rsidR="00F3346A" w:rsidRDefault="00F3346A" w:rsidP="00F3346A">
      <w:pPr>
        <w:pStyle w:val="NormalWeb"/>
        <w:spacing w:before="0" w:beforeAutospacing="0" w:after="0" w:afterAutospacing="0"/>
        <w:ind w:right="142"/>
        <w:jc w:val="both"/>
      </w:pPr>
      <w:r>
        <w:rPr>
          <w:b/>
          <w:bCs/>
          <w:color w:val="000000"/>
          <w:sz w:val="20"/>
          <w:szCs w:val="20"/>
        </w:rPr>
        <w:t xml:space="preserve">Tainá </w:t>
      </w:r>
      <w:proofErr w:type="spellStart"/>
      <w:r>
        <w:rPr>
          <w:b/>
          <w:bCs/>
          <w:color w:val="000000"/>
          <w:sz w:val="20"/>
          <w:szCs w:val="20"/>
        </w:rPr>
        <w:t>Toaldo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Granez</w:t>
      </w:r>
      <w:proofErr w:type="spellEnd"/>
    </w:p>
    <w:p w:rsidR="00F3346A" w:rsidRDefault="00F3346A" w:rsidP="00F3346A">
      <w:pPr>
        <w:pStyle w:val="NormalWeb"/>
        <w:spacing w:before="0" w:beforeAutospacing="0" w:after="0" w:afterAutospacing="0"/>
      </w:pPr>
      <w:r>
        <w:rPr>
          <w:color w:val="000000"/>
          <w:sz w:val="16"/>
          <w:szCs w:val="16"/>
        </w:rPr>
        <w:t>Graduanda em Medicina pela Universidade Franciscana</w:t>
      </w:r>
    </w:p>
    <w:p w:rsidR="00F3346A" w:rsidRDefault="00F3346A" w:rsidP="00F3346A">
      <w:pPr>
        <w:pStyle w:val="NormalWeb"/>
        <w:spacing w:before="0" w:beforeAutospacing="0" w:after="0" w:afterAutospacing="0"/>
        <w:ind w:right="142"/>
        <w:jc w:val="both"/>
      </w:pPr>
      <w:r>
        <w:rPr>
          <w:b/>
          <w:bCs/>
          <w:color w:val="000000"/>
          <w:sz w:val="20"/>
          <w:szCs w:val="20"/>
        </w:rPr>
        <w:t>Vitória Moro de Azevedo Gomes</w:t>
      </w:r>
    </w:p>
    <w:p w:rsidR="00F3346A" w:rsidRDefault="00F3346A" w:rsidP="00F3346A">
      <w:pPr>
        <w:pStyle w:val="NormalWeb"/>
        <w:spacing w:before="0" w:beforeAutospacing="0" w:after="0" w:afterAutospacing="0"/>
      </w:pPr>
      <w:r>
        <w:rPr>
          <w:color w:val="000000"/>
          <w:sz w:val="16"/>
          <w:szCs w:val="16"/>
        </w:rPr>
        <w:t>Graduanda em Medicina pela Universidade Franciscana</w:t>
      </w:r>
    </w:p>
    <w:p w:rsidR="00F3346A" w:rsidRDefault="00F3346A" w:rsidP="00F3346A">
      <w:pPr>
        <w:pStyle w:val="NormalWeb"/>
        <w:spacing w:before="0" w:beforeAutospacing="0" w:after="0" w:afterAutospacing="0"/>
        <w:ind w:right="142"/>
        <w:jc w:val="both"/>
      </w:pPr>
      <w:r>
        <w:rPr>
          <w:b/>
          <w:bCs/>
          <w:color w:val="000000"/>
          <w:sz w:val="20"/>
          <w:szCs w:val="20"/>
        </w:rPr>
        <w:t xml:space="preserve">Luiza Silva </w:t>
      </w:r>
      <w:proofErr w:type="spellStart"/>
      <w:r>
        <w:rPr>
          <w:b/>
          <w:bCs/>
          <w:color w:val="000000"/>
          <w:sz w:val="20"/>
          <w:szCs w:val="20"/>
        </w:rPr>
        <w:t>Menegazzo</w:t>
      </w:r>
      <w:proofErr w:type="spellEnd"/>
    </w:p>
    <w:p w:rsidR="00F3346A" w:rsidRDefault="00F3346A" w:rsidP="00F3346A">
      <w:pPr>
        <w:pStyle w:val="NormalWeb"/>
        <w:spacing w:before="0" w:beforeAutospacing="0" w:after="0" w:afterAutospacing="0"/>
        <w:ind w:right="142"/>
        <w:jc w:val="both"/>
      </w:pPr>
      <w:r>
        <w:rPr>
          <w:color w:val="000000"/>
          <w:sz w:val="16"/>
          <w:szCs w:val="16"/>
        </w:rPr>
        <w:t xml:space="preserve">Graduada em Medicina pela Universidade Federal de Santa Catarina (UFSC) e Mestrando em Ciências da Saúde pela Universidade Federal de Santa Maria ( UFSM). </w:t>
      </w:r>
    </w:p>
    <w:p w:rsidR="00542D81" w:rsidRDefault="00EA38D1">
      <w:pPr>
        <w:ind w:righ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542D81" w:rsidRDefault="00542D81">
      <w:pPr>
        <w:ind w:left="-141" w:right="142"/>
        <w:jc w:val="both"/>
        <w:rPr>
          <w:b/>
          <w:sz w:val="22"/>
          <w:szCs w:val="22"/>
        </w:rPr>
      </w:pPr>
    </w:p>
    <w:p w:rsidR="00F3346A" w:rsidRDefault="00EA38D1" w:rsidP="00F3346A">
      <w:pPr>
        <w:pStyle w:val="NormalWeb"/>
        <w:spacing w:before="120" w:beforeAutospacing="0" w:after="120" w:afterAutospacing="0"/>
      </w:pPr>
      <w:r>
        <w:rPr>
          <w:b/>
        </w:rPr>
        <w:t>E-mail do autor:</w:t>
      </w:r>
      <w:r w:rsidR="00F3346A" w:rsidRPr="00F3346A">
        <w:rPr>
          <w:b/>
          <w:bCs/>
          <w:color w:val="000000"/>
        </w:rPr>
        <w:t xml:space="preserve"> </w:t>
      </w:r>
      <w:r w:rsidR="00F3346A">
        <w:rPr>
          <w:b/>
          <w:bCs/>
          <w:color w:val="000000"/>
        </w:rPr>
        <w:t>mellanycosta271018@gmail.com</w:t>
      </w:r>
    </w:p>
    <w:p w:rsidR="00542D81" w:rsidRDefault="00542D81">
      <w:pPr>
        <w:spacing w:before="120" w:after="120"/>
        <w:rPr>
          <w:sz w:val="26"/>
          <w:szCs w:val="26"/>
        </w:rPr>
      </w:pPr>
    </w:p>
    <w:p w:rsidR="00542D81" w:rsidRDefault="00EA38D1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:rsidR="00542D81" w:rsidRDefault="00542D81">
      <w:pPr>
        <w:widowControl w:val="0"/>
        <w:jc w:val="center"/>
        <w:rPr>
          <w:sz w:val="24"/>
          <w:szCs w:val="24"/>
        </w:rPr>
      </w:pPr>
    </w:p>
    <w:p w:rsidR="00542D81" w:rsidRDefault="00F3346A" w:rsidP="00F3346A">
      <w:pPr>
        <w:widowControl w:val="0"/>
        <w:jc w:val="both"/>
        <w:rPr>
          <w:sz w:val="32"/>
          <w:szCs w:val="24"/>
        </w:rPr>
      </w:pPr>
      <w:r w:rsidRPr="00F3346A">
        <w:rPr>
          <w:color w:val="000000"/>
          <w:sz w:val="24"/>
        </w:rPr>
        <w:t xml:space="preserve">A meningoencefalite viral é uma condição grave do sistema nervoso central, capaz de causar disfunção neurológica significativa e comprometer o desenvolvimento infantil. Um dos principais agentes causadores dessas encefalites é o herpes simples tipo 1. A encefalite herpética afeta predominantemente os lobos temporal e frontal, manifestando-se por convulsões, déficits cognitivos e distúrbios da fala. Em neonatos, a infecção pelo herpes simples apresenta elevada morbimortalidade e é frequentemente subdiagnosticada em comparação a outras infecções congênitas, como HIV e sífilis. A transmissão ocorre pela reativação do vírus latente nos gânglios trigeminais ou por propagação neural. Além disso, 20 a 25% dos pacientes podem evoluir para encefalite autoimune pós-viral, mediada por autoanticorpos neuronais, destacando a necessidade de acompanhamento prolongado. O diagnóstico precoce é essencial e baseia-se em exames como PCR para HSV, análise do líquido cefalorraquidiano e eletroencefalograma. O tratamento padrão consiste na administração intravenosa de aciclovir por 21 dias, com monitoramento rigoroso para evitar complicações, como a </w:t>
      </w:r>
      <w:proofErr w:type="spellStart"/>
      <w:r w:rsidRPr="00F3346A">
        <w:rPr>
          <w:color w:val="000000"/>
          <w:sz w:val="24"/>
        </w:rPr>
        <w:t>nefrotoxicidade</w:t>
      </w:r>
      <w:proofErr w:type="spellEnd"/>
      <w:r w:rsidRPr="00F3346A">
        <w:rPr>
          <w:color w:val="000000"/>
          <w:sz w:val="24"/>
        </w:rPr>
        <w:t xml:space="preserve">. A identificação precoce e o tratamento adequado são fundamentais para reduzir a morbimortalidade e minimizar sequelas neurológicas, reforçando </w:t>
      </w:r>
      <w:r w:rsidRPr="00F3346A">
        <w:rPr>
          <w:color w:val="000000"/>
          <w:sz w:val="24"/>
        </w:rPr>
        <w:lastRenderedPageBreak/>
        <w:t xml:space="preserve">a importância do acompanhamento contínuo desses pacientes. É evidente, portanto, que essas condições apresentam desafios diagnósticos e terapêuticos, exigindo uma abordagem clínica precisa e intervenção oportuna. Logo, o objetivo deste trabalho é compreender as manifestações neurológicas associadas ao herpes simples e às neurossíndromes em emergências pediátricas. Para sua elaboração, foi realizada uma revisão integrativa da literatura científica nas bases de dados </w:t>
      </w:r>
      <w:proofErr w:type="spellStart"/>
      <w:r w:rsidRPr="00F3346A">
        <w:rPr>
          <w:i/>
          <w:iCs/>
          <w:color w:val="000000"/>
          <w:sz w:val="24"/>
        </w:rPr>
        <w:t>SciELO</w:t>
      </w:r>
      <w:proofErr w:type="spellEnd"/>
      <w:r w:rsidRPr="00F3346A">
        <w:rPr>
          <w:i/>
          <w:iCs/>
          <w:color w:val="000000"/>
          <w:sz w:val="24"/>
        </w:rPr>
        <w:t xml:space="preserve">, </w:t>
      </w:r>
      <w:proofErr w:type="spellStart"/>
      <w:r w:rsidRPr="00F3346A">
        <w:rPr>
          <w:i/>
          <w:iCs/>
          <w:color w:val="000000"/>
          <w:sz w:val="24"/>
        </w:rPr>
        <w:t>PubMed</w:t>
      </w:r>
      <w:proofErr w:type="spellEnd"/>
      <w:r w:rsidRPr="00F3346A">
        <w:rPr>
          <w:i/>
          <w:iCs/>
          <w:color w:val="000000"/>
          <w:sz w:val="24"/>
        </w:rPr>
        <w:t xml:space="preserve"> e </w:t>
      </w:r>
      <w:proofErr w:type="spellStart"/>
      <w:r w:rsidRPr="00F3346A">
        <w:rPr>
          <w:i/>
          <w:iCs/>
          <w:color w:val="000000"/>
          <w:sz w:val="24"/>
        </w:rPr>
        <w:t>UpToDate</w:t>
      </w:r>
      <w:proofErr w:type="spellEnd"/>
      <w:r w:rsidRPr="00F3346A">
        <w:rPr>
          <w:color w:val="000000"/>
          <w:sz w:val="24"/>
        </w:rPr>
        <w:t xml:space="preserve">, utilizando os descritores </w:t>
      </w:r>
      <w:r w:rsidRPr="00F3346A">
        <w:rPr>
          <w:i/>
          <w:iCs/>
          <w:color w:val="000000"/>
          <w:sz w:val="24"/>
        </w:rPr>
        <w:t>“meningitis”, “</w:t>
      </w:r>
      <w:proofErr w:type="spellStart"/>
      <w:r w:rsidRPr="00F3346A">
        <w:rPr>
          <w:i/>
          <w:iCs/>
          <w:color w:val="000000"/>
          <w:sz w:val="24"/>
        </w:rPr>
        <w:t>encephalitis</w:t>
      </w:r>
      <w:proofErr w:type="spellEnd"/>
      <w:r w:rsidRPr="00F3346A">
        <w:rPr>
          <w:i/>
          <w:iCs/>
          <w:color w:val="000000"/>
          <w:sz w:val="24"/>
        </w:rPr>
        <w:t>”, “</w:t>
      </w:r>
      <w:proofErr w:type="spellStart"/>
      <w:r w:rsidRPr="00F3346A">
        <w:rPr>
          <w:i/>
          <w:iCs/>
          <w:color w:val="000000"/>
          <w:sz w:val="24"/>
        </w:rPr>
        <w:t>pediatric</w:t>
      </w:r>
      <w:proofErr w:type="spellEnd"/>
      <w:r w:rsidRPr="00F3346A">
        <w:rPr>
          <w:i/>
          <w:iCs/>
          <w:color w:val="000000"/>
          <w:sz w:val="24"/>
        </w:rPr>
        <w:t>”</w:t>
      </w:r>
      <w:r w:rsidRPr="00F3346A">
        <w:rPr>
          <w:color w:val="000000"/>
          <w:sz w:val="24"/>
        </w:rPr>
        <w:t xml:space="preserve"> e </w:t>
      </w:r>
      <w:r w:rsidRPr="00F3346A">
        <w:rPr>
          <w:i/>
          <w:iCs/>
          <w:color w:val="000000"/>
          <w:sz w:val="24"/>
        </w:rPr>
        <w:t>“</w:t>
      </w:r>
      <w:proofErr w:type="spellStart"/>
      <w:r w:rsidRPr="00F3346A">
        <w:rPr>
          <w:i/>
          <w:iCs/>
          <w:color w:val="000000"/>
          <w:sz w:val="24"/>
        </w:rPr>
        <w:t>treatment</w:t>
      </w:r>
      <w:proofErr w:type="spellEnd"/>
      <w:r w:rsidRPr="00F3346A">
        <w:rPr>
          <w:i/>
          <w:iCs/>
          <w:color w:val="000000"/>
          <w:sz w:val="24"/>
        </w:rPr>
        <w:t>”</w:t>
      </w:r>
      <w:r w:rsidRPr="00F3346A">
        <w:rPr>
          <w:color w:val="000000"/>
          <w:sz w:val="24"/>
        </w:rPr>
        <w:t xml:space="preserve">. </w:t>
      </w:r>
      <w:r w:rsidR="00EA38D1" w:rsidRPr="00F3346A">
        <w:rPr>
          <w:sz w:val="32"/>
          <w:szCs w:val="24"/>
        </w:rPr>
        <w:t xml:space="preserve"> </w:t>
      </w:r>
    </w:p>
    <w:p w:rsidR="00F3346A" w:rsidRDefault="00F3346A" w:rsidP="00F3346A">
      <w:pPr>
        <w:widowControl w:val="0"/>
        <w:jc w:val="both"/>
        <w:rPr>
          <w:sz w:val="24"/>
          <w:szCs w:val="24"/>
        </w:rPr>
      </w:pPr>
    </w:p>
    <w:p w:rsidR="00542D81" w:rsidRDefault="00EA38D1">
      <w:pPr>
        <w:spacing w:after="160" w:line="259" w:lineRule="auto"/>
        <w:ind w:right="139"/>
        <w:jc w:val="both"/>
        <w:rPr>
          <w:sz w:val="24"/>
          <w:szCs w:val="24"/>
        </w:rPr>
      </w:pPr>
      <w:r>
        <w:rPr>
          <w:b/>
          <w:sz w:val="24"/>
          <w:szCs w:val="24"/>
        </w:rPr>
        <w:t>Palavras-Chaves:</w:t>
      </w:r>
      <w:r w:rsidR="00F3346A" w:rsidRPr="00F3346A">
        <w:rPr>
          <w:color w:val="000000"/>
        </w:rPr>
        <w:t xml:space="preserve"> </w:t>
      </w:r>
      <w:proofErr w:type="spellStart"/>
      <w:r w:rsidR="00F3346A" w:rsidRPr="00F3346A">
        <w:rPr>
          <w:color w:val="000000"/>
          <w:sz w:val="24"/>
        </w:rPr>
        <w:t>herpesvírus</w:t>
      </w:r>
      <w:proofErr w:type="spellEnd"/>
      <w:r w:rsidR="00F3346A" w:rsidRPr="00F3346A">
        <w:rPr>
          <w:color w:val="000000"/>
          <w:sz w:val="24"/>
        </w:rPr>
        <w:t xml:space="preserve">; meningoencefalite; neurossíndromes; </w:t>
      </w:r>
      <w:proofErr w:type="spellStart"/>
      <w:r w:rsidR="00F3346A" w:rsidRPr="00F3346A">
        <w:rPr>
          <w:color w:val="000000"/>
          <w:sz w:val="24"/>
        </w:rPr>
        <w:t>neuroinfecção</w:t>
      </w:r>
      <w:proofErr w:type="spellEnd"/>
      <w:r w:rsidR="00F3346A" w:rsidRPr="00F3346A">
        <w:rPr>
          <w:color w:val="000000"/>
          <w:sz w:val="24"/>
        </w:rPr>
        <w:t>.</w:t>
      </w:r>
    </w:p>
    <w:p w:rsidR="00542D81" w:rsidRDefault="00542D81">
      <w:pPr>
        <w:spacing w:after="160" w:line="259" w:lineRule="auto"/>
        <w:ind w:right="139"/>
        <w:jc w:val="both"/>
        <w:rPr>
          <w:sz w:val="24"/>
          <w:szCs w:val="24"/>
        </w:rPr>
      </w:pPr>
    </w:p>
    <w:p w:rsidR="00542D81" w:rsidRDefault="00EA38D1">
      <w:pPr>
        <w:spacing w:after="160" w:line="259" w:lineRule="auto"/>
        <w:ind w:right="139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5E1012C9" wp14:editId="29AD901F">
            <wp:simplePos x="0" y="0"/>
            <wp:positionH relativeFrom="page">
              <wp:posOffset>-3527</wp:posOffset>
            </wp:positionH>
            <wp:positionV relativeFrom="paragraph">
              <wp:posOffset>-22578</wp:posOffset>
            </wp:positionV>
            <wp:extent cx="7567083" cy="10577689"/>
            <wp:effectExtent l="19050" t="0" r="0" b="0"/>
            <wp:wrapNone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083" cy="10577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D81" w:rsidRDefault="00542D81">
      <w:pPr>
        <w:spacing w:after="160" w:line="259" w:lineRule="auto"/>
        <w:ind w:right="139"/>
        <w:jc w:val="center"/>
        <w:rPr>
          <w:b/>
          <w:sz w:val="24"/>
          <w:szCs w:val="24"/>
        </w:rPr>
      </w:pPr>
    </w:p>
    <w:p w:rsidR="00542D81" w:rsidRDefault="00542D81">
      <w:pPr>
        <w:spacing w:after="160" w:line="259" w:lineRule="auto"/>
        <w:ind w:right="139"/>
        <w:jc w:val="center"/>
        <w:rPr>
          <w:b/>
          <w:sz w:val="24"/>
          <w:szCs w:val="24"/>
        </w:rPr>
      </w:pPr>
    </w:p>
    <w:p w:rsidR="00542D81" w:rsidRDefault="00542D81">
      <w:pPr>
        <w:spacing w:after="160" w:line="259" w:lineRule="auto"/>
        <w:ind w:right="139"/>
        <w:jc w:val="center"/>
        <w:rPr>
          <w:b/>
          <w:sz w:val="24"/>
          <w:szCs w:val="24"/>
        </w:rPr>
      </w:pPr>
    </w:p>
    <w:p w:rsidR="00542D81" w:rsidRDefault="00542D81">
      <w:pPr>
        <w:spacing w:after="160" w:line="259" w:lineRule="auto"/>
        <w:ind w:right="139"/>
        <w:jc w:val="center"/>
        <w:rPr>
          <w:b/>
          <w:sz w:val="24"/>
          <w:szCs w:val="24"/>
        </w:rPr>
      </w:pPr>
    </w:p>
    <w:p w:rsidR="00542D81" w:rsidRDefault="00542D81">
      <w:pPr>
        <w:spacing w:after="160" w:line="259" w:lineRule="auto"/>
        <w:ind w:right="139"/>
        <w:jc w:val="center"/>
        <w:rPr>
          <w:b/>
          <w:sz w:val="24"/>
          <w:szCs w:val="24"/>
        </w:rPr>
      </w:pPr>
    </w:p>
    <w:p w:rsidR="00542D81" w:rsidRDefault="00EA38D1">
      <w:pPr>
        <w:spacing w:after="160" w:line="259" w:lineRule="auto"/>
        <w:ind w:right="139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-56088</wp:posOffset>
            </wp:positionH>
            <wp:positionV relativeFrom="page">
              <wp:posOffset>10779125</wp:posOffset>
            </wp:positionV>
            <wp:extent cx="7613269" cy="2157413"/>
            <wp:effectExtent l="0" t="0" r="0" b="0"/>
            <wp:wrapNone/>
            <wp:docPr id="21" name="image2.png" descr="e7758e81e01348e5d42e21775759e8a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e7758e81e01348e5d42e21775759e8a2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269" cy="2157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-53972</wp:posOffset>
            </wp:positionH>
            <wp:positionV relativeFrom="page">
              <wp:posOffset>10773600</wp:posOffset>
            </wp:positionV>
            <wp:extent cx="7613269" cy="2157413"/>
            <wp:effectExtent l="0" t="0" r="0" b="0"/>
            <wp:wrapNone/>
            <wp:docPr id="22" name="image2.png" descr="e7758e81e01348e5d42e21775759e8a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e7758e81e01348e5d42e21775759e8a2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269" cy="2157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ABSTRACT</w:t>
      </w:r>
    </w:p>
    <w:p w:rsidR="00F3346A" w:rsidRDefault="00F3346A" w:rsidP="00F3346A">
      <w:pPr>
        <w:pStyle w:val="NormalWeb"/>
        <w:spacing w:before="240" w:beforeAutospacing="0" w:after="240" w:afterAutospacing="0"/>
        <w:jc w:val="both"/>
      </w:pPr>
      <w:r>
        <w:rPr>
          <w:i/>
          <w:iCs/>
          <w:color w:val="000000"/>
        </w:rPr>
        <w:t xml:space="preserve">Viral </w:t>
      </w:r>
      <w:proofErr w:type="spellStart"/>
      <w:r>
        <w:rPr>
          <w:i/>
          <w:iCs/>
          <w:color w:val="000000"/>
        </w:rPr>
        <w:t>meningoencephalitis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is</w:t>
      </w:r>
      <w:proofErr w:type="spellEnd"/>
      <w:r>
        <w:rPr>
          <w:i/>
          <w:iCs/>
          <w:color w:val="000000"/>
        </w:rPr>
        <w:t xml:space="preserve"> a </w:t>
      </w:r>
      <w:proofErr w:type="spellStart"/>
      <w:r>
        <w:rPr>
          <w:i/>
          <w:iCs/>
          <w:color w:val="000000"/>
        </w:rPr>
        <w:t>serious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condition</w:t>
      </w:r>
      <w:proofErr w:type="spellEnd"/>
      <w:r>
        <w:rPr>
          <w:i/>
          <w:iCs/>
          <w:color w:val="000000"/>
        </w:rPr>
        <w:t xml:space="preserve"> of </w:t>
      </w:r>
      <w:proofErr w:type="spellStart"/>
      <w:r>
        <w:rPr>
          <w:i/>
          <w:iCs/>
          <w:color w:val="000000"/>
        </w:rPr>
        <w:t>the</w:t>
      </w:r>
      <w:proofErr w:type="spellEnd"/>
      <w:r>
        <w:rPr>
          <w:i/>
          <w:iCs/>
          <w:color w:val="000000"/>
        </w:rPr>
        <w:t xml:space="preserve"> central </w:t>
      </w:r>
      <w:proofErr w:type="spellStart"/>
      <w:r>
        <w:rPr>
          <w:i/>
          <w:iCs/>
          <w:color w:val="000000"/>
        </w:rPr>
        <w:t>nervous</w:t>
      </w:r>
      <w:proofErr w:type="spellEnd"/>
      <w:r>
        <w:rPr>
          <w:i/>
          <w:iCs/>
          <w:color w:val="000000"/>
        </w:rPr>
        <w:t xml:space="preserve"> system, </w:t>
      </w:r>
      <w:proofErr w:type="spellStart"/>
      <w:r>
        <w:rPr>
          <w:i/>
          <w:iCs/>
          <w:color w:val="000000"/>
        </w:rPr>
        <w:t>capable</w:t>
      </w:r>
      <w:proofErr w:type="spellEnd"/>
      <w:r>
        <w:rPr>
          <w:i/>
          <w:iCs/>
          <w:color w:val="000000"/>
        </w:rPr>
        <w:t xml:space="preserve"> of </w:t>
      </w:r>
      <w:proofErr w:type="spellStart"/>
      <w:r>
        <w:rPr>
          <w:i/>
          <w:iCs/>
          <w:color w:val="000000"/>
        </w:rPr>
        <w:t>causing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significant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neurological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dysfunction</w:t>
      </w:r>
      <w:proofErr w:type="spellEnd"/>
      <w:r>
        <w:rPr>
          <w:i/>
          <w:iCs/>
          <w:color w:val="000000"/>
        </w:rPr>
        <w:t xml:space="preserve"> and </w:t>
      </w:r>
      <w:proofErr w:type="spellStart"/>
      <w:r>
        <w:rPr>
          <w:i/>
          <w:iCs/>
          <w:color w:val="000000"/>
        </w:rPr>
        <w:t>impairing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child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development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One</w:t>
      </w:r>
      <w:proofErr w:type="spellEnd"/>
      <w:r>
        <w:rPr>
          <w:i/>
          <w:iCs/>
          <w:color w:val="000000"/>
        </w:rPr>
        <w:t xml:space="preserve"> of </w:t>
      </w:r>
      <w:proofErr w:type="spellStart"/>
      <w:r>
        <w:rPr>
          <w:i/>
          <w:iCs/>
          <w:color w:val="000000"/>
        </w:rPr>
        <w:t>the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main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causative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agents</w:t>
      </w:r>
      <w:proofErr w:type="spellEnd"/>
      <w:r>
        <w:rPr>
          <w:i/>
          <w:iCs/>
          <w:color w:val="000000"/>
        </w:rPr>
        <w:t xml:space="preserve"> of </w:t>
      </w:r>
      <w:proofErr w:type="spellStart"/>
      <w:r>
        <w:rPr>
          <w:i/>
          <w:iCs/>
          <w:color w:val="000000"/>
        </w:rPr>
        <w:t>this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type</w:t>
      </w:r>
      <w:proofErr w:type="spellEnd"/>
      <w:r>
        <w:rPr>
          <w:i/>
          <w:iCs/>
          <w:color w:val="000000"/>
        </w:rPr>
        <w:t xml:space="preserve"> of </w:t>
      </w:r>
      <w:proofErr w:type="spellStart"/>
      <w:r>
        <w:rPr>
          <w:i/>
          <w:iCs/>
          <w:color w:val="000000"/>
        </w:rPr>
        <w:t>encephalitis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is</w:t>
      </w:r>
      <w:proofErr w:type="spellEnd"/>
      <w:r>
        <w:rPr>
          <w:i/>
          <w:iCs/>
          <w:color w:val="000000"/>
        </w:rPr>
        <w:t xml:space="preserve"> herpes simplex </w:t>
      </w:r>
      <w:proofErr w:type="spellStart"/>
      <w:r>
        <w:rPr>
          <w:i/>
          <w:iCs/>
          <w:color w:val="000000"/>
        </w:rPr>
        <w:t>virus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type</w:t>
      </w:r>
      <w:proofErr w:type="spellEnd"/>
      <w:r>
        <w:rPr>
          <w:i/>
          <w:iCs/>
          <w:color w:val="000000"/>
        </w:rPr>
        <w:t xml:space="preserve"> 1 (HSV-1). </w:t>
      </w:r>
      <w:proofErr w:type="spellStart"/>
      <w:r>
        <w:rPr>
          <w:i/>
          <w:iCs/>
          <w:color w:val="000000"/>
        </w:rPr>
        <w:t>Herpetic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encephalitis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predominantly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affects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the</w:t>
      </w:r>
      <w:proofErr w:type="spellEnd"/>
      <w:r>
        <w:rPr>
          <w:i/>
          <w:iCs/>
          <w:color w:val="000000"/>
        </w:rPr>
        <w:t xml:space="preserve"> temporal and frontal </w:t>
      </w:r>
      <w:proofErr w:type="spellStart"/>
      <w:r>
        <w:rPr>
          <w:i/>
          <w:iCs/>
          <w:color w:val="000000"/>
        </w:rPr>
        <w:t>lobes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presenting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with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seizures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cognitive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deficits</w:t>
      </w:r>
      <w:proofErr w:type="spellEnd"/>
      <w:r>
        <w:rPr>
          <w:i/>
          <w:iCs/>
          <w:color w:val="000000"/>
        </w:rPr>
        <w:t xml:space="preserve">, and speech </w:t>
      </w:r>
      <w:proofErr w:type="spellStart"/>
      <w:r>
        <w:rPr>
          <w:i/>
          <w:iCs/>
          <w:color w:val="000000"/>
        </w:rPr>
        <w:t>disturbances</w:t>
      </w:r>
      <w:proofErr w:type="spellEnd"/>
      <w:r>
        <w:rPr>
          <w:i/>
          <w:iCs/>
          <w:color w:val="000000"/>
        </w:rPr>
        <w:t xml:space="preserve">. In </w:t>
      </w:r>
      <w:proofErr w:type="spellStart"/>
      <w:r>
        <w:rPr>
          <w:i/>
          <w:iCs/>
          <w:color w:val="000000"/>
        </w:rPr>
        <w:t>neonates</w:t>
      </w:r>
      <w:proofErr w:type="spellEnd"/>
      <w:r>
        <w:rPr>
          <w:i/>
          <w:iCs/>
          <w:color w:val="000000"/>
        </w:rPr>
        <w:t xml:space="preserve">, herpes simplex </w:t>
      </w:r>
      <w:proofErr w:type="spellStart"/>
      <w:r>
        <w:rPr>
          <w:i/>
          <w:iCs/>
          <w:color w:val="000000"/>
        </w:rPr>
        <w:t>infection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is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associated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with</w:t>
      </w:r>
      <w:proofErr w:type="spellEnd"/>
      <w:r>
        <w:rPr>
          <w:i/>
          <w:iCs/>
          <w:color w:val="000000"/>
        </w:rPr>
        <w:t xml:space="preserve"> high </w:t>
      </w:r>
      <w:proofErr w:type="spellStart"/>
      <w:r>
        <w:rPr>
          <w:i/>
          <w:iCs/>
          <w:color w:val="000000"/>
        </w:rPr>
        <w:t>morbidity</w:t>
      </w:r>
      <w:proofErr w:type="spellEnd"/>
      <w:r>
        <w:rPr>
          <w:i/>
          <w:iCs/>
          <w:color w:val="000000"/>
        </w:rPr>
        <w:t xml:space="preserve"> and </w:t>
      </w:r>
      <w:proofErr w:type="spellStart"/>
      <w:r>
        <w:rPr>
          <w:i/>
          <w:iCs/>
          <w:color w:val="000000"/>
        </w:rPr>
        <w:t>mortality</w:t>
      </w:r>
      <w:proofErr w:type="spellEnd"/>
      <w:r>
        <w:rPr>
          <w:i/>
          <w:iCs/>
          <w:color w:val="000000"/>
        </w:rPr>
        <w:t xml:space="preserve"> and </w:t>
      </w:r>
      <w:proofErr w:type="spellStart"/>
      <w:r>
        <w:rPr>
          <w:i/>
          <w:iCs/>
          <w:color w:val="000000"/>
        </w:rPr>
        <w:t>is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often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underdiagnosed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when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compared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to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other</w:t>
      </w:r>
      <w:proofErr w:type="spellEnd"/>
      <w:r>
        <w:rPr>
          <w:i/>
          <w:iCs/>
          <w:color w:val="000000"/>
        </w:rPr>
        <w:t xml:space="preserve"> congenital </w:t>
      </w:r>
      <w:proofErr w:type="spellStart"/>
      <w:r>
        <w:rPr>
          <w:i/>
          <w:iCs/>
          <w:color w:val="000000"/>
        </w:rPr>
        <w:t>infections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such</w:t>
      </w:r>
      <w:proofErr w:type="spellEnd"/>
      <w:r>
        <w:rPr>
          <w:i/>
          <w:iCs/>
          <w:color w:val="000000"/>
        </w:rPr>
        <w:t xml:space="preserve"> as HIV and </w:t>
      </w:r>
      <w:proofErr w:type="spellStart"/>
      <w:r>
        <w:rPr>
          <w:i/>
          <w:iCs/>
          <w:color w:val="000000"/>
        </w:rPr>
        <w:t>syphilis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Transmission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occurs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through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reactivation</w:t>
      </w:r>
      <w:proofErr w:type="spellEnd"/>
      <w:r>
        <w:rPr>
          <w:i/>
          <w:iCs/>
          <w:color w:val="000000"/>
        </w:rPr>
        <w:t xml:space="preserve"> of </w:t>
      </w:r>
      <w:proofErr w:type="spellStart"/>
      <w:r>
        <w:rPr>
          <w:i/>
          <w:iCs/>
          <w:color w:val="000000"/>
        </w:rPr>
        <w:t>the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latent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virus</w:t>
      </w:r>
      <w:proofErr w:type="spellEnd"/>
      <w:r>
        <w:rPr>
          <w:i/>
          <w:iCs/>
          <w:color w:val="000000"/>
        </w:rPr>
        <w:t xml:space="preserve"> in </w:t>
      </w:r>
      <w:proofErr w:type="spellStart"/>
      <w:r>
        <w:rPr>
          <w:i/>
          <w:iCs/>
          <w:color w:val="000000"/>
        </w:rPr>
        <w:t>the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trigeminal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ganglia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or</w:t>
      </w:r>
      <w:proofErr w:type="spellEnd"/>
      <w:r>
        <w:rPr>
          <w:i/>
          <w:iCs/>
          <w:color w:val="000000"/>
        </w:rPr>
        <w:t xml:space="preserve"> via neural spread. </w:t>
      </w:r>
      <w:proofErr w:type="spellStart"/>
      <w:r>
        <w:rPr>
          <w:i/>
          <w:iCs/>
          <w:color w:val="000000"/>
        </w:rPr>
        <w:t>Furthermore</w:t>
      </w:r>
      <w:proofErr w:type="spellEnd"/>
      <w:r>
        <w:rPr>
          <w:i/>
          <w:iCs/>
          <w:color w:val="000000"/>
        </w:rPr>
        <w:t xml:space="preserve">, 20 </w:t>
      </w:r>
      <w:proofErr w:type="spellStart"/>
      <w:r>
        <w:rPr>
          <w:i/>
          <w:iCs/>
          <w:color w:val="000000"/>
        </w:rPr>
        <w:t>to</w:t>
      </w:r>
      <w:proofErr w:type="spellEnd"/>
      <w:r>
        <w:rPr>
          <w:i/>
          <w:iCs/>
          <w:color w:val="000000"/>
        </w:rPr>
        <w:t xml:space="preserve"> 25% of </w:t>
      </w:r>
      <w:proofErr w:type="spellStart"/>
      <w:r>
        <w:rPr>
          <w:i/>
          <w:iCs/>
          <w:color w:val="000000"/>
        </w:rPr>
        <w:t>patients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may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progress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to</w:t>
      </w:r>
      <w:proofErr w:type="spellEnd"/>
      <w:r>
        <w:rPr>
          <w:i/>
          <w:iCs/>
          <w:color w:val="000000"/>
        </w:rPr>
        <w:t xml:space="preserve"> post-viral </w:t>
      </w:r>
      <w:proofErr w:type="spellStart"/>
      <w:r>
        <w:rPr>
          <w:i/>
          <w:iCs/>
          <w:color w:val="000000"/>
        </w:rPr>
        <w:t>autoimmune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encephalitis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mediated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by</w:t>
      </w:r>
      <w:proofErr w:type="spellEnd"/>
      <w:r>
        <w:rPr>
          <w:i/>
          <w:iCs/>
          <w:color w:val="000000"/>
        </w:rPr>
        <w:t xml:space="preserve"> neuronal </w:t>
      </w:r>
      <w:proofErr w:type="spellStart"/>
      <w:r>
        <w:rPr>
          <w:i/>
          <w:iCs/>
          <w:color w:val="000000"/>
        </w:rPr>
        <w:t>autoantibodies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highlighting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the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need</w:t>
      </w:r>
      <w:proofErr w:type="spellEnd"/>
      <w:r>
        <w:rPr>
          <w:i/>
          <w:iCs/>
          <w:color w:val="000000"/>
        </w:rPr>
        <w:t xml:space="preserve"> for </w:t>
      </w:r>
      <w:proofErr w:type="spellStart"/>
      <w:r>
        <w:rPr>
          <w:i/>
          <w:iCs/>
          <w:color w:val="000000"/>
        </w:rPr>
        <w:t>long-term</w:t>
      </w:r>
      <w:proofErr w:type="spellEnd"/>
      <w:r>
        <w:rPr>
          <w:i/>
          <w:iCs/>
          <w:color w:val="000000"/>
        </w:rPr>
        <w:t xml:space="preserve"> follow-up. </w:t>
      </w:r>
      <w:proofErr w:type="spellStart"/>
      <w:r>
        <w:rPr>
          <w:i/>
          <w:iCs/>
          <w:color w:val="000000"/>
        </w:rPr>
        <w:t>Early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diagnosis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is</w:t>
      </w:r>
      <w:proofErr w:type="spellEnd"/>
      <w:r>
        <w:rPr>
          <w:i/>
          <w:iCs/>
          <w:color w:val="000000"/>
        </w:rPr>
        <w:t xml:space="preserve"> crucial and </w:t>
      </w:r>
      <w:proofErr w:type="spellStart"/>
      <w:r>
        <w:rPr>
          <w:i/>
          <w:iCs/>
          <w:color w:val="000000"/>
        </w:rPr>
        <w:t>relies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on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tests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such</w:t>
      </w:r>
      <w:proofErr w:type="spellEnd"/>
      <w:r>
        <w:rPr>
          <w:i/>
          <w:iCs/>
          <w:color w:val="000000"/>
        </w:rPr>
        <w:t xml:space="preserve"> as HSV PCR, cerebrospinal </w:t>
      </w:r>
      <w:proofErr w:type="spellStart"/>
      <w:r>
        <w:rPr>
          <w:i/>
          <w:iCs/>
          <w:color w:val="000000"/>
        </w:rPr>
        <w:t>fluid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analysis</w:t>
      </w:r>
      <w:proofErr w:type="spellEnd"/>
      <w:r>
        <w:rPr>
          <w:i/>
          <w:iCs/>
          <w:color w:val="000000"/>
        </w:rPr>
        <w:t xml:space="preserve">, and </w:t>
      </w:r>
      <w:proofErr w:type="spellStart"/>
      <w:r>
        <w:rPr>
          <w:i/>
          <w:iCs/>
          <w:color w:val="000000"/>
        </w:rPr>
        <w:t>electroencephalography</w:t>
      </w:r>
      <w:proofErr w:type="spellEnd"/>
      <w:r>
        <w:rPr>
          <w:i/>
          <w:iCs/>
          <w:color w:val="000000"/>
        </w:rPr>
        <w:t xml:space="preserve"> (EEG). The standard </w:t>
      </w:r>
      <w:proofErr w:type="spellStart"/>
      <w:r>
        <w:rPr>
          <w:i/>
          <w:iCs/>
          <w:color w:val="000000"/>
        </w:rPr>
        <w:t>treatment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consists</w:t>
      </w:r>
      <w:proofErr w:type="spellEnd"/>
      <w:r>
        <w:rPr>
          <w:i/>
          <w:iCs/>
          <w:color w:val="000000"/>
        </w:rPr>
        <w:t xml:space="preserve"> of </w:t>
      </w:r>
      <w:proofErr w:type="spellStart"/>
      <w:r>
        <w:rPr>
          <w:i/>
          <w:iCs/>
          <w:color w:val="000000"/>
        </w:rPr>
        <w:t>intravenous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acyclovir</w:t>
      </w:r>
      <w:proofErr w:type="spellEnd"/>
      <w:r>
        <w:rPr>
          <w:i/>
          <w:iCs/>
          <w:color w:val="000000"/>
        </w:rPr>
        <w:t xml:space="preserve"> for 21 </w:t>
      </w:r>
      <w:proofErr w:type="spellStart"/>
      <w:r>
        <w:rPr>
          <w:i/>
          <w:iCs/>
          <w:color w:val="000000"/>
        </w:rPr>
        <w:t>days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with</w:t>
      </w:r>
      <w:proofErr w:type="spellEnd"/>
      <w:r>
        <w:rPr>
          <w:i/>
          <w:iCs/>
          <w:color w:val="000000"/>
        </w:rPr>
        <w:t xml:space="preserve"> close </w:t>
      </w:r>
      <w:proofErr w:type="spellStart"/>
      <w:r>
        <w:rPr>
          <w:i/>
          <w:iCs/>
          <w:color w:val="000000"/>
        </w:rPr>
        <w:t>monitoring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to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prevent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complications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such</w:t>
      </w:r>
      <w:proofErr w:type="spellEnd"/>
      <w:r>
        <w:rPr>
          <w:i/>
          <w:iCs/>
          <w:color w:val="000000"/>
        </w:rPr>
        <w:t xml:space="preserve"> as </w:t>
      </w:r>
      <w:proofErr w:type="spellStart"/>
      <w:r>
        <w:rPr>
          <w:i/>
          <w:iCs/>
          <w:color w:val="000000"/>
        </w:rPr>
        <w:t>nephrotoxicity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Early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identification</w:t>
      </w:r>
      <w:proofErr w:type="spellEnd"/>
      <w:r>
        <w:rPr>
          <w:i/>
          <w:iCs/>
          <w:color w:val="000000"/>
        </w:rPr>
        <w:t xml:space="preserve"> and </w:t>
      </w:r>
      <w:proofErr w:type="spellStart"/>
      <w:r>
        <w:rPr>
          <w:i/>
          <w:iCs/>
          <w:color w:val="000000"/>
        </w:rPr>
        <w:t>appropriate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treatment</w:t>
      </w:r>
      <w:proofErr w:type="spellEnd"/>
      <w:r>
        <w:rPr>
          <w:i/>
          <w:iCs/>
          <w:color w:val="000000"/>
        </w:rPr>
        <w:t xml:space="preserve"> are </w:t>
      </w:r>
      <w:proofErr w:type="spellStart"/>
      <w:r>
        <w:rPr>
          <w:i/>
          <w:iCs/>
          <w:color w:val="000000"/>
        </w:rPr>
        <w:t>essential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to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reduce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morbidity</w:t>
      </w:r>
      <w:proofErr w:type="spellEnd"/>
      <w:r>
        <w:rPr>
          <w:i/>
          <w:iCs/>
          <w:color w:val="000000"/>
        </w:rPr>
        <w:t xml:space="preserve"> and </w:t>
      </w:r>
      <w:proofErr w:type="spellStart"/>
      <w:r>
        <w:rPr>
          <w:i/>
          <w:iCs/>
          <w:color w:val="000000"/>
        </w:rPr>
        <w:t>mortality</w:t>
      </w:r>
      <w:proofErr w:type="spellEnd"/>
      <w:r>
        <w:rPr>
          <w:i/>
          <w:iCs/>
          <w:color w:val="000000"/>
        </w:rPr>
        <w:t xml:space="preserve"> and </w:t>
      </w:r>
      <w:proofErr w:type="spellStart"/>
      <w:r>
        <w:rPr>
          <w:i/>
          <w:iCs/>
          <w:color w:val="000000"/>
        </w:rPr>
        <w:t>to</w:t>
      </w:r>
      <w:proofErr w:type="spellEnd"/>
      <w:r>
        <w:rPr>
          <w:i/>
          <w:iCs/>
          <w:color w:val="000000"/>
        </w:rPr>
        <w:t xml:space="preserve"> minimize </w:t>
      </w:r>
      <w:proofErr w:type="spellStart"/>
      <w:r>
        <w:rPr>
          <w:i/>
          <w:iCs/>
          <w:color w:val="000000"/>
        </w:rPr>
        <w:t>neurological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sequelae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reinforcing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the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importance</w:t>
      </w:r>
      <w:proofErr w:type="spellEnd"/>
      <w:r>
        <w:rPr>
          <w:i/>
          <w:iCs/>
          <w:color w:val="000000"/>
        </w:rPr>
        <w:t xml:space="preserve"> of </w:t>
      </w:r>
      <w:proofErr w:type="spellStart"/>
      <w:r>
        <w:rPr>
          <w:i/>
          <w:iCs/>
          <w:color w:val="000000"/>
        </w:rPr>
        <w:t>continuous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patient</w:t>
      </w:r>
      <w:proofErr w:type="spellEnd"/>
      <w:r>
        <w:rPr>
          <w:i/>
          <w:iCs/>
          <w:color w:val="000000"/>
        </w:rPr>
        <w:t xml:space="preserve"> follow-up. </w:t>
      </w:r>
      <w:proofErr w:type="spellStart"/>
      <w:r>
        <w:rPr>
          <w:i/>
          <w:iCs/>
          <w:color w:val="000000"/>
        </w:rPr>
        <w:t>Therefore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these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conditions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clearly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present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diagnostic</w:t>
      </w:r>
      <w:proofErr w:type="spellEnd"/>
      <w:r>
        <w:rPr>
          <w:i/>
          <w:iCs/>
          <w:color w:val="000000"/>
        </w:rPr>
        <w:t xml:space="preserve"> and </w:t>
      </w:r>
      <w:proofErr w:type="spellStart"/>
      <w:r>
        <w:rPr>
          <w:i/>
          <w:iCs/>
          <w:color w:val="000000"/>
        </w:rPr>
        <w:t>therapeutic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challenges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requiring</w:t>
      </w:r>
      <w:proofErr w:type="spellEnd"/>
      <w:r>
        <w:rPr>
          <w:i/>
          <w:iCs/>
          <w:color w:val="000000"/>
        </w:rPr>
        <w:t xml:space="preserve"> precise </w:t>
      </w:r>
      <w:proofErr w:type="spellStart"/>
      <w:r>
        <w:rPr>
          <w:i/>
          <w:iCs/>
          <w:color w:val="000000"/>
        </w:rPr>
        <w:t>clinical</w:t>
      </w:r>
      <w:proofErr w:type="spellEnd"/>
      <w:r>
        <w:rPr>
          <w:i/>
          <w:iCs/>
          <w:color w:val="000000"/>
        </w:rPr>
        <w:t xml:space="preserve"> approaches and </w:t>
      </w:r>
      <w:proofErr w:type="spellStart"/>
      <w:r>
        <w:rPr>
          <w:i/>
          <w:iCs/>
          <w:color w:val="000000"/>
        </w:rPr>
        <w:t>timely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intervention</w:t>
      </w:r>
      <w:proofErr w:type="spellEnd"/>
      <w:r>
        <w:rPr>
          <w:i/>
          <w:iCs/>
          <w:color w:val="000000"/>
        </w:rPr>
        <w:t xml:space="preserve">. The </w:t>
      </w:r>
      <w:proofErr w:type="spellStart"/>
      <w:r>
        <w:rPr>
          <w:i/>
          <w:iCs/>
          <w:color w:val="000000"/>
        </w:rPr>
        <w:t>aim</w:t>
      </w:r>
      <w:proofErr w:type="spellEnd"/>
      <w:r>
        <w:rPr>
          <w:i/>
          <w:iCs/>
          <w:color w:val="000000"/>
        </w:rPr>
        <w:t xml:space="preserve"> of </w:t>
      </w:r>
      <w:proofErr w:type="spellStart"/>
      <w:r>
        <w:rPr>
          <w:i/>
          <w:iCs/>
          <w:color w:val="000000"/>
        </w:rPr>
        <w:t>this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paper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is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to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understand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the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neurological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manifestations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associated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with</w:t>
      </w:r>
      <w:proofErr w:type="spellEnd"/>
      <w:r>
        <w:rPr>
          <w:i/>
          <w:iCs/>
          <w:color w:val="000000"/>
        </w:rPr>
        <w:t xml:space="preserve"> herpes simplex and </w:t>
      </w:r>
      <w:proofErr w:type="spellStart"/>
      <w:r>
        <w:rPr>
          <w:i/>
          <w:iCs/>
          <w:color w:val="000000"/>
        </w:rPr>
        <w:t>neurosyndromes</w:t>
      </w:r>
      <w:proofErr w:type="spellEnd"/>
      <w:r>
        <w:rPr>
          <w:i/>
          <w:iCs/>
          <w:color w:val="000000"/>
        </w:rPr>
        <w:t xml:space="preserve"> in </w:t>
      </w:r>
      <w:proofErr w:type="spellStart"/>
      <w:r>
        <w:rPr>
          <w:i/>
          <w:iCs/>
          <w:color w:val="000000"/>
        </w:rPr>
        <w:t>pediatric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emergencies</w:t>
      </w:r>
      <w:proofErr w:type="spellEnd"/>
      <w:r>
        <w:rPr>
          <w:i/>
          <w:iCs/>
          <w:color w:val="000000"/>
        </w:rPr>
        <w:t xml:space="preserve">. For its </w:t>
      </w:r>
      <w:proofErr w:type="spellStart"/>
      <w:r>
        <w:rPr>
          <w:i/>
          <w:iCs/>
          <w:color w:val="000000"/>
        </w:rPr>
        <w:t>development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an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integrative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literature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review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was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conducted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using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the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SciELO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PubMed</w:t>
      </w:r>
      <w:proofErr w:type="spellEnd"/>
      <w:r>
        <w:rPr>
          <w:i/>
          <w:iCs/>
          <w:color w:val="000000"/>
        </w:rPr>
        <w:t xml:space="preserve">, and </w:t>
      </w:r>
      <w:proofErr w:type="spellStart"/>
      <w:r>
        <w:rPr>
          <w:i/>
          <w:iCs/>
          <w:color w:val="000000"/>
        </w:rPr>
        <w:t>UpToDate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databases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with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the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descriptors</w:t>
      </w:r>
      <w:proofErr w:type="spellEnd"/>
      <w:r>
        <w:rPr>
          <w:i/>
          <w:iCs/>
          <w:color w:val="000000"/>
        </w:rPr>
        <w:t xml:space="preserve"> “meningitis,” “</w:t>
      </w:r>
      <w:proofErr w:type="spellStart"/>
      <w:r>
        <w:rPr>
          <w:i/>
          <w:iCs/>
          <w:color w:val="000000"/>
        </w:rPr>
        <w:t>encephalitis</w:t>
      </w:r>
      <w:proofErr w:type="spellEnd"/>
      <w:r>
        <w:rPr>
          <w:i/>
          <w:iCs/>
          <w:color w:val="000000"/>
        </w:rPr>
        <w:t>,” “</w:t>
      </w:r>
      <w:proofErr w:type="spellStart"/>
      <w:r>
        <w:rPr>
          <w:i/>
          <w:iCs/>
          <w:color w:val="000000"/>
        </w:rPr>
        <w:t>pediatric</w:t>
      </w:r>
      <w:proofErr w:type="spellEnd"/>
      <w:r>
        <w:rPr>
          <w:i/>
          <w:iCs/>
          <w:color w:val="000000"/>
        </w:rPr>
        <w:t>,” and “</w:t>
      </w:r>
      <w:proofErr w:type="spellStart"/>
      <w:r>
        <w:rPr>
          <w:i/>
          <w:iCs/>
          <w:color w:val="000000"/>
        </w:rPr>
        <w:t>treatment</w:t>
      </w:r>
      <w:proofErr w:type="spellEnd"/>
      <w:r>
        <w:rPr>
          <w:i/>
          <w:iCs/>
          <w:color w:val="000000"/>
        </w:rPr>
        <w:t>.”</w:t>
      </w:r>
    </w:p>
    <w:p w:rsidR="00F3346A" w:rsidRDefault="00F3346A" w:rsidP="00F3346A">
      <w:pPr>
        <w:pStyle w:val="NormalWeb"/>
        <w:spacing w:before="0" w:beforeAutospacing="0" w:after="160" w:afterAutospacing="0"/>
        <w:ind w:right="139"/>
        <w:jc w:val="both"/>
      </w:pPr>
      <w:proofErr w:type="spellStart"/>
      <w:r>
        <w:rPr>
          <w:b/>
          <w:bCs/>
          <w:i/>
          <w:iCs/>
          <w:color w:val="000000"/>
        </w:rPr>
        <w:t>Keywords</w:t>
      </w:r>
      <w:proofErr w:type="spellEnd"/>
      <w:r>
        <w:rPr>
          <w:b/>
          <w:bCs/>
          <w:i/>
          <w:iCs/>
          <w:color w:val="000000"/>
        </w:rPr>
        <w:t>:</w:t>
      </w:r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herpesvirus</w:t>
      </w:r>
      <w:proofErr w:type="spellEnd"/>
      <w:r>
        <w:rPr>
          <w:i/>
          <w:iCs/>
          <w:color w:val="000000"/>
        </w:rPr>
        <w:t xml:space="preserve">; </w:t>
      </w:r>
      <w:proofErr w:type="spellStart"/>
      <w:r>
        <w:rPr>
          <w:i/>
          <w:iCs/>
          <w:color w:val="000000"/>
        </w:rPr>
        <w:t>meningoencephalitis</w:t>
      </w:r>
      <w:proofErr w:type="spellEnd"/>
      <w:r>
        <w:rPr>
          <w:i/>
          <w:iCs/>
          <w:color w:val="000000"/>
        </w:rPr>
        <w:t xml:space="preserve">; </w:t>
      </w:r>
      <w:proofErr w:type="spellStart"/>
      <w:r>
        <w:rPr>
          <w:i/>
          <w:iCs/>
          <w:color w:val="000000"/>
        </w:rPr>
        <w:t>neurosyndromes</w:t>
      </w:r>
      <w:proofErr w:type="spellEnd"/>
      <w:r>
        <w:rPr>
          <w:i/>
          <w:iCs/>
          <w:color w:val="000000"/>
        </w:rPr>
        <w:t xml:space="preserve">; </w:t>
      </w:r>
      <w:proofErr w:type="spellStart"/>
      <w:r>
        <w:rPr>
          <w:i/>
          <w:iCs/>
          <w:color w:val="000000"/>
        </w:rPr>
        <w:t>neuroinfection</w:t>
      </w:r>
      <w:proofErr w:type="spellEnd"/>
      <w:r>
        <w:rPr>
          <w:i/>
          <w:iCs/>
          <w:color w:val="000000"/>
        </w:rPr>
        <w:t>.</w:t>
      </w:r>
    </w:p>
    <w:p w:rsidR="00542D81" w:rsidRDefault="00542D81">
      <w:pPr>
        <w:spacing w:after="160" w:line="259" w:lineRule="auto"/>
        <w:ind w:right="139"/>
        <w:jc w:val="both"/>
        <w:rPr>
          <w:sz w:val="24"/>
          <w:szCs w:val="24"/>
        </w:rPr>
      </w:pPr>
    </w:p>
    <w:p w:rsidR="00542D81" w:rsidRDefault="00EA38D1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INTRODUÇÃO</w:t>
      </w:r>
    </w:p>
    <w:p w:rsidR="00542D81" w:rsidRDefault="00542D81">
      <w:pPr>
        <w:widowControl w:val="0"/>
        <w:jc w:val="both"/>
        <w:rPr>
          <w:sz w:val="24"/>
          <w:szCs w:val="24"/>
        </w:rPr>
      </w:pPr>
    </w:p>
    <w:p w:rsidR="00F3346A" w:rsidRDefault="00F3346A" w:rsidP="004962D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 xml:space="preserve">Os vírus do herpes simples (HSV) são patógenos amplamente disseminados na população mundial, caracterizados por sua capacidade de infecção latente e recorrente. Esses vírus pertencem à família </w:t>
      </w:r>
      <w:proofErr w:type="spellStart"/>
      <w:r>
        <w:rPr>
          <w:color w:val="000000"/>
        </w:rPr>
        <w:t>Herpesviridae</w:t>
      </w:r>
      <w:proofErr w:type="spellEnd"/>
      <w:r>
        <w:rPr>
          <w:color w:val="000000"/>
        </w:rPr>
        <w:t xml:space="preserve"> e apresentam grande relevância clínica devido à diversidade de manifestações associadas e ao potencial de complicações neurológicas (</w:t>
      </w:r>
      <w:proofErr w:type="spellStart"/>
      <w:r>
        <w:rPr>
          <w:color w:val="000000"/>
        </w:rPr>
        <w:t>Wouk</w:t>
      </w:r>
      <w:proofErr w:type="spellEnd"/>
      <w:r>
        <w:rPr>
          <w:color w:val="000000"/>
        </w:rPr>
        <w:t>; Malfatti; Faccin-</w:t>
      </w:r>
      <w:proofErr w:type="spellStart"/>
      <w:r>
        <w:rPr>
          <w:color w:val="000000"/>
        </w:rPr>
        <w:t>Galhardi</w:t>
      </w:r>
      <w:proofErr w:type="spellEnd"/>
      <w:r>
        <w:rPr>
          <w:color w:val="000000"/>
        </w:rPr>
        <w:t>, 2021).</w:t>
      </w:r>
    </w:p>
    <w:p w:rsidR="00F3346A" w:rsidRDefault="00F3346A" w:rsidP="004962D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lastRenderedPageBreak/>
        <w:t xml:space="preserve">Existem dois tipos de vírus do herpes simples (HSV) – o herpes simples tipo 1 (HSV-1) e o herpes simples tipo 2 (HSV-2). O HSV-1 geralmente é transmitido por contato com lesões herpéticas na região dos lábios e pele ou secreções contaminadas em mucosas durante o período neonatal, na adolescência ou na fase adulta (World Health </w:t>
      </w:r>
      <w:proofErr w:type="spellStart"/>
      <w:r>
        <w:rPr>
          <w:color w:val="000000"/>
        </w:rPr>
        <w:t>Organization</w:t>
      </w:r>
      <w:proofErr w:type="spellEnd"/>
      <w:r>
        <w:rPr>
          <w:color w:val="000000"/>
        </w:rPr>
        <w:t xml:space="preserve">, 2024). Ele origina o quadro clínico de herpes labial, estomatite herpética e </w:t>
      </w:r>
      <w:proofErr w:type="spellStart"/>
      <w:r>
        <w:rPr>
          <w:color w:val="000000"/>
        </w:rPr>
        <w:t>ceratoconjutivite</w:t>
      </w:r>
      <w:proofErr w:type="spellEnd"/>
      <w:r>
        <w:rPr>
          <w:color w:val="000000"/>
        </w:rPr>
        <w:t xml:space="preserve">, embora também existam relatos de casos de herpes genital causados por esse subtipo (De Rose </w:t>
      </w:r>
      <w:r>
        <w:rPr>
          <w:i/>
          <w:iCs/>
          <w:color w:val="000000"/>
        </w:rPr>
        <w:t>et al.</w:t>
      </w:r>
      <w:r>
        <w:rPr>
          <w:color w:val="000000"/>
        </w:rPr>
        <w:t xml:space="preserve">, 2023). Já o HSV-2 é a principal causa de herpes genital, sendo considerado uma infecção sexualmente transmissível ou uma infecção neonatal quando adquirida no parto, transmitida por contato com lesões herpéticas na região genital (De Rose </w:t>
      </w:r>
      <w:r>
        <w:rPr>
          <w:i/>
          <w:iCs/>
          <w:color w:val="000000"/>
        </w:rPr>
        <w:t>et al</w:t>
      </w:r>
      <w:r>
        <w:rPr>
          <w:color w:val="000000"/>
        </w:rPr>
        <w:t>., 2023).</w:t>
      </w:r>
    </w:p>
    <w:p w:rsidR="00F3346A" w:rsidRDefault="00F3346A" w:rsidP="004962D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 xml:space="preserve">Atualmente, estima-se que cerca de 67% da população mundial com menos de 50 anos possui infecção por </w:t>
      </w:r>
      <w:proofErr w:type="spellStart"/>
      <w:r>
        <w:rPr>
          <w:color w:val="000000"/>
        </w:rPr>
        <w:t>herpesvírus</w:t>
      </w:r>
      <w:proofErr w:type="spellEnd"/>
      <w:r>
        <w:rPr>
          <w:color w:val="000000"/>
        </w:rPr>
        <w:t xml:space="preserve"> tipo 1, sem diferença de prevalência entre os sexos ou variação sazonal de maior transmissão (Johnston, 2023). Além disso, conforme dados da Organização Mundial de Saúde de 2020, o herpes genital causado pelo HSV-2 afeta cerca de 520 milhões de pessoas (13%) entre 15 e 49 anos em todo o mundo. </w:t>
      </w:r>
    </w:p>
    <w:p w:rsidR="00F3346A" w:rsidRDefault="00F3346A" w:rsidP="004962D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 xml:space="preserve">Ambos os subtipos são </w:t>
      </w:r>
      <w:proofErr w:type="spellStart"/>
      <w:r>
        <w:rPr>
          <w:color w:val="000000"/>
        </w:rPr>
        <w:t>neurotrópicos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neuroinvasivos</w:t>
      </w:r>
      <w:proofErr w:type="spellEnd"/>
      <w:r>
        <w:rPr>
          <w:color w:val="000000"/>
        </w:rPr>
        <w:t>, o que lhes permite estabelecer infecções latentes no sistema nervoso e reativar-se periodicamente, seguindo dois ciclos de replicação distintos (Zhu, 2021).</w:t>
      </w:r>
    </w:p>
    <w:p w:rsidR="00F3346A" w:rsidRDefault="00F3346A" w:rsidP="004962D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>O primeiro ciclo, também conhecido como fase lítica, é aquele em que o HSV apresenta uma alta taxa de expressão gênica e produz partículas virais para infectar outras células. Já o segundo ciclo, também conhecido como fase de latência, é representado pelo período em que o vírus estabelece a latência em neurônios, principalmente na região do sistema nervoso periférico, possibilitando a sua reativação em outro momento (Zhu, 2021). </w:t>
      </w:r>
    </w:p>
    <w:p w:rsidR="00F3346A" w:rsidRDefault="00F3346A" w:rsidP="004962D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>A capacidade do HSV de alternar entre a fase lítica e a fase de latência garante sua persistência no organismo e, em algumas situações, pode estar associada ao desenvolvimento de diversas complicações neurológicas (</w:t>
      </w:r>
      <w:proofErr w:type="spellStart"/>
      <w:r>
        <w:rPr>
          <w:color w:val="000000"/>
        </w:rPr>
        <w:t>Slutsker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Schillinger</w:t>
      </w:r>
      <w:proofErr w:type="spellEnd"/>
      <w:r>
        <w:rPr>
          <w:color w:val="000000"/>
        </w:rPr>
        <w:t>, 2021). Entre elas, destacam-se a encefalite herpética, causada principalmente pelo HSV-1, e a meningite asséptica, mais comum em infecções pelo HSV-2. Essas complicações são especialmente preocupantes em neonatos e crianças, podendo apresentar alta morbidade, mortalidade e risco de sequelas incapacitantes (Zhu, 2021).</w:t>
      </w:r>
    </w:p>
    <w:p w:rsidR="00F3346A" w:rsidRDefault="00F3346A" w:rsidP="004962D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>Dessa forma, o objetivo do presente trabalho é discutir a abordagem diagnóstica e terapêutica das infecções pelo vírus Herpes Simples (HSV) no contexto pediátrico e suas manifestações neurológicas em emergências, enfatizando a importância do diagnóstico precoce, do manejo clínico adequado e das atualizações terapêuticas para reduzir a morbidade e mortalidade infantil.</w:t>
      </w:r>
    </w:p>
    <w:p w:rsidR="00F3346A" w:rsidRDefault="00F3346A" w:rsidP="004962D9">
      <w:pPr>
        <w:spacing w:line="360" w:lineRule="auto"/>
        <w:jc w:val="both"/>
        <w:rPr>
          <w:sz w:val="24"/>
          <w:szCs w:val="24"/>
        </w:rPr>
      </w:pPr>
    </w:p>
    <w:p w:rsidR="004962D9" w:rsidRDefault="004962D9" w:rsidP="004962D9">
      <w:pPr>
        <w:spacing w:line="360" w:lineRule="auto"/>
        <w:jc w:val="both"/>
        <w:rPr>
          <w:sz w:val="24"/>
          <w:szCs w:val="24"/>
        </w:rPr>
      </w:pPr>
    </w:p>
    <w:p w:rsidR="004962D9" w:rsidRDefault="004962D9" w:rsidP="004962D9">
      <w:pPr>
        <w:spacing w:line="360" w:lineRule="auto"/>
        <w:jc w:val="both"/>
        <w:rPr>
          <w:sz w:val="24"/>
          <w:szCs w:val="24"/>
        </w:rPr>
      </w:pPr>
    </w:p>
    <w:p w:rsidR="004962D9" w:rsidRDefault="004962D9" w:rsidP="004962D9">
      <w:pPr>
        <w:spacing w:line="360" w:lineRule="auto"/>
        <w:jc w:val="both"/>
        <w:rPr>
          <w:sz w:val="24"/>
          <w:szCs w:val="24"/>
        </w:rPr>
      </w:pPr>
    </w:p>
    <w:p w:rsidR="004962D9" w:rsidRDefault="00EA38D1" w:rsidP="004962D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METODOLOGIA</w:t>
      </w:r>
    </w:p>
    <w:p w:rsidR="00CE1C9B" w:rsidRDefault="00CE1C9B" w:rsidP="004962D9">
      <w:pPr>
        <w:spacing w:line="360" w:lineRule="auto"/>
        <w:jc w:val="both"/>
        <w:rPr>
          <w:sz w:val="24"/>
          <w:szCs w:val="24"/>
        </w:rPr>
      </w:pPr>
    </w:p>
    <w:p w:rsidR="00F3346A" w:rsidRPr="00F3346A" w:rsidRDefault="00F3346A" w:rsidP="004962D9">
      <w:pPr>
        <w:spacing w:line="360" w:lineRule="auto"/>
        <w:jc w:val="both"/>
        <w:rPr>
          <w:sz w:val="32"/>
          <w:szCs w:val="24"/>
        </w:rPr>
      </w:pPr>
      <w:r w:rsidRPr="00F3346A">
        <w:rPr>
          <w:color w:val="000000"/>
          <w:sz w:val="24"/>
        </w:rPr>
        <w:t>Este trabalho é de caráter exploratório, na modalidade de pesquisa bibliográfica sobre a temática Herpes simples e neurossíndromes em emergê</w:t>
      </w:r>
      <w:r w:rsidR="00CE1C9B">
        <w:rPr>
          <w:color w:val="000000"/>
          <w:sz w:val="24"/>
        </w:rPr>
        <w:t>ncias pediátricas. Como estratégia de pesquisa</w:t>
      </w:r>
      <w:r w:rsidRPr="00F3346A">
        <w:rPr>
          <w:color w:val="000000"/>
          <w:sz w:val="24"/>
        </w:rPr>
        <w:t>,</w:t>
      </w:r>
      <w:r w:rsidR="00CE1C9B">
        <w:rPr>
          <w:color w:val="000000"/>
          <w:sz w:val="24"/>
        </w:rPr>
        <w:t xml:space="preserve"> foram realizadas consultas em</w:t>
      </w:r>
      <w:r w:rsidRPr="00F3346A">
        <w:rPr>
          <w:color w:val="000000"/>
          <w:sz w:val="24"/>
        </w:rPr>
        <w:t xml:space="preserve"> artigos científicos retirados dos periódicos </w:t>
      </w:r>
      <w:proofErr w:type="spellStart"/>
      <w:r w:rsidRPr="00F3346A">
        <w:rPr>
          <w:color w:val="000000"/>
          <w:sz w:val="24"/>
        </w:rPr>
        <w:t>Scielo</w:t>
      </w:r>
      <w:proofErr w:type="spellEnd"/>
      <w:r w:rsidRPr="00F3346A">
        <w:rPr>
          <w:color w:val="000000"/>
          <w:sz w:val="24"/>
        </w:rPr>
        <w:t xml:space="preserve">, </w:t>
      </w:r>
      <w:proofErr w:type="spellStart"/>
      <w:r w:rsidRPr="00F3346A">
        <w:rPr>
          <w:color w:val="000000"/>
          <w:sz w:val="24"/>
        </w:rPr>
        <w:t>Pubmed</w:t>
      </w:r>
      <w:proofErr w:type="spellEnd"/>
      <w:r w:rsidRPr="00F3346A">
        <w:rPr>
          <w:color w:val="000000"/>
          <w:sz w:val="24"/>
        </w:rPr>
        <w:t xml:space="preserve"> e </w:t>
      </w:r>
      <w:proofErr w:type="spellStart"/>
      <w:r w:rsidRPr="00F3346A">
        <w:rPr>
          <w:color w:val="000000"/>
          <w:sz w:val="24"/>
        </w:rPr>
        <w:t>UpToDate</w:t>
      </w:r>
      <w:proofErr w:type="spellEnd"/>
      <w:r w:rsidRPr="00F3346A">
        <w:rPr>
          <w:color w:val="000000"/>
          <w:sz w:val="24"/>
        </w:rPr>
        <w:t>, por meio dos seguintes descritores</w:t>
      </w:r>
      <w:r w:rsidR="004962D9" w:rsidRPr="00F3346A">
        <w:rPr>
          <w:color w:val="000000"/>
          <w:sz w:val="24"/>
        </w:rPr>
        <w:t>: “</w:t>
      </w:r>
      <w:r w:rsidRPr="00F3346A">
        <w:rPr>
          <w:color w:val="000000"/>
          <w:sz w:val="24"/>
        </w:rPr>
        <w:t>meningitis</w:t>
      </w:r>
      <w:proofErr w:type="gramStart"/>
      <w:r w:rsidR="00CE1C9B" w:rsidRPr="00F3346A">
        <w:rPr>
          <w:color w:val="000000"/>
          <w:sz w:val="24"/>
        </w:rPr>
        <w:t>”</w:t>
      </w:r>
      <w:r w:rsidR="00CE1C9B">
        <w:rPr>
          <w:color w:val="000000"/>
          <w:sz w:val="24"/>
        </w:rPr>
        <w:t>,“</w:t>
      </w:r>
      <w:proofErr w:type="spellStart"/>
      <w:proofErr w:type="gramEnd"/>
      <w:r w:rsidR="00CE1C9B">
        <w:rPr>
          <w:color w:val="000000"/>
          <w:sz w:val="24"/>
        </w:rPr>
        <w:t>encephalitis</w:t>
      </w:r>
      <w:proofErr w:type="spellEnd"/>
      <w:r w:rsidR="00CE1C9B">
        <w:rPr>
          <w:color w:val="000000"/>
          <w:sz w:val="24"/>
        </w:rPr>
        <w:t>”, “</w:t>
      </w:r>
      <w:proofErr w:type="spellStart"/>
      <w:r w:rsidR="00CE1C9B">
        <w:rPr>
          <w:color w:val="000000"/>
          <w:sz w:val="24"/>
        </w:rPr>
        <w:t>pediatric</w:t>
      </w:r>
      <w:proofErr w:type="spellEnd"/>
      <w:r w:rsidR="00CE1C9B">
        <w:rPr>
          <w:color w:val="000000"/>
          <w:sz w:val="24"/>
        </w:rPr>
        <w:t xml:space="preserve">” e </w:t>
      </w:r>
      <w:r w:rsidRPr="00F3346A">
        <w:rPr>
          <w:color w:val="000000"/>
          <w:sz w:val="24"/>
        </w:rPr>
        <w:t>“</w:t>
      </w:r>
      <w:proofErr w:type="spellStart"/>
      <w:r w:rsidRPr="00F3346A">
        <w:rPr>
          <w:color w:val="000000"/>
          <w:sz w:val="24"/>
        </w:rPr>
        <w:t>treatment</w:t>
      </w:r>
      <w:proofErr w:type="spellEnd"/>
      <w:r w:rsidRPr="00F3346A">
        <w:rPr>
          <w:color w:val="000000"/>
          <w:sz w:val="24"/>
        </w:rPr>
        <w:t>”</w:t>
      </w:r>
      <w:r w:rsidR="00CE1C9B">
        <w:rPr>
          <w:color w:val="000000"/>
          <w:sz w:val="24"/>
        </w:rPr>
        <w:t xml:space="preserve"> combinados por meio do operador booleano “AND”</w:t>
      </w:r>
      <w:r w:rsidRPr="00F3346A">
        <w:rPr>
          <w:color w:val="000000"/>
          <w:sz w:val="24"/>
        </w:rPr>
        <w:t>. Como critérios de inclusão, foram priorizados artigos publicados nos últimos vinte e cinco anos, em língua portuguesa ou inglesa e que se enquadram na temática da pesquisa, no qual foram priorizados aqueles que possuíam publicações mais recentes. Foram excluídos da análise os textos que não abordaram o tema do estudo, apesar de conterem os descritores aplicados.</w:t>
      </w:r>
    </w:p>
    <w:p w:rsidR="00542D81" w:rsidRDefault="00F3346A">
      <w:pPr>
        <w:spacing w:before="240" w:after="240" w:line="360" w:lineRule="auto"/>
        <w:ind w:firstLine="720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BD0E59B" wp14:editId="780542F9">
            <wp:simplePos x="0" y="0"/>
            <wp:positionH relativeFrom="page">
              <wp:posOffset>-635</wp:posOffset>
            </wp:positionH>
            <wp:positionV relativeFrom="paragraph">
              <wp:posOffset>238760</wp:posOffset>
            </wp:positionV>
            <wp:extent cx="7563556" cy="10577689"/>
            <wp:effectExtent l="19050" t="0" r="0" b="0"/>
            <wp:wrapNone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556" cy="10577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D81" w:rsidRDefault="00542D81">
      <w:pPr>
        <w:spacing w:before="240" w:after="240" w:line="360" w:lineRule="auto"/>
        <w:ind w:firstLine="720"/>
        <w:jc w:val="both"/>
        <w:rPr>
          <w:sz w:val="24"/>
          <w:szCs w:val="24"/>
        </w:rPr>
      </w:pPr>
    </w:p>
    <w:p w:rsidR="00542D81" w:rsidRDefault="00542D81" w:rsidP="00EA38D1">
      <w:pPr>
        <w:spacing w:before="240" w:after="240" w:line="360" w:lineRule="auto"/>
        <w:jc w:val="both"/>
        <w:rPr>
          <w:sz w:val="24"/>
          <w:szCs w:val="24"/>
        </w:rPr>
      </w:pPr>
    </w:p>
    <w:p w:rsidR="00542D81" w:rsidRDefault="00542D81">
      <w:pPr>
        <w:spacing w:before="240" w:after="240" w:line="360" w:lineRule="auto"/>
        <w:ind w:firstLine="720"/>
        <w:jc w:val="both"/>
        <w:rPr>
          <w:sz w:val="24"/>
          <w:szCs w:val="24"/>
        </w:rPr>
      </w:pPr>
    </w:p>
    <w:p w:rsidR="00542D81" w:rsidRDefault="00EA38D1">
      <w:pPr>
        <w:jc w:val="both"/>
        <w:rPr>
          <w:sz w:val="24"/>
          <w:szCs w:val="24"/>
        </w:rPr>
      </w:pPr>
      <w:r>
        <w:rPr>
          <w:sz w:val="24"/>
          <w:szCs w:val="24"/>
        </w:rPr>
        <w:t>RESULTADOS E DISCUSSÃO</w:t>
      </w:r>
    </w:p>
    <w:p w:rsidR="00542D81" w:rsidRDefault="00542D81">
      <w:pPr>
        <w:jc w:val="both"/>
        <w:rPr>
          <w:sz w:val="24"/>
          <w:szCs w:val="24"/>
        </w:rPr>
      </w:pPr>
    </w:p>
    <w:p w:rsidR="00F3346A" w:rsidRDefault="00EA38D1" w:rsidP="004962D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tab/>
      </w:r>
      <w:r w:rsidR="00F3346A">
        <w:rPr>
          <w:color w:val="000000"/>
        </w:rPr>
        <w:t xml:space="preserve">O conceito de meningoencefalite pode ser definido como uma infecção que afeta o sistema nervoso central, acometendo meninges e o parênquima cerebral. Entre os possíveis sinais e sintomas do quadro, a disfunção neurológica é a mais preocupante, diretamente relacionada com complicações, podendo levar a alterações do desenvolvimento infantil. O desenvolvimento </w:t>
      </w:r>
      <w:proofErr w:type="spellStart"/>
      <w:r w:rsidR="00F3346A">
        <w:rPr>
          <w:color w:val="000000"/>
        </w:rPr>
        <w:t>neuropsicomotor</w:t>
      </w:r>
      <w:proofErr w:type="spellEnd"/>
      <w:r w:rsidR="00F3346A">
        <w:rPr>
          <w:color w:val="000000"/>
        </w:rPr>
        <w:t xml:space="preserve"> refere-se ao progresso das habilidades motoras, cognitivas, linguísticas e psicossociais, influenciado por fatores ambientais, sociais e biológicos (Torres et al., 2023).</w:t>
      </w:r>
    </w:p>
    <w:p w:rsidR="00F3346A" w:rsidRDefault="00F3346A" w:rsidP="004962D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>De acordo com um estudo ecológico realizado com dados extraídos do Departamento de Informática do Sistema Único de Saúde (DATASUS), entre 2012 e 2022, foram registradas 17.674 internações por meningite viral em crianças de 0 a 14 anos no Brasil. A condição foi mais prevalente na região Sudeste, com uma maior incidência observada na faixa etária de 1 a 4 anos. Em vista disso, a meningite viral apresenta uma relevância significativa no contexto da saúde pública brasileira, exigindo medidas de diagnóstico precoce e tratamentos adequados para minimizar suas complicações potenciais. (Clara et al., 2023).</w:t>
      </w:r>
    </w:p>
    <w:p w:rsidR="00F3346A" w:rsidRDefault="00F3346A" w:rsidP="004962D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 xml:space="preserve">Além disso, a encefalite viral é outra preocupação significativa no Brasil, apresentando alta morbimortalidade. Segundo um estudo transversal, retrospectivo e descritivo realizado com dados extraídos do DATASUS entre 2018 e 2022, foram registradas 4.859 internações por encefalite </w:t>
      </w:r>
      <w:r>
        <w:rPr>
          <w:color w:val="000000"/>
        </w:rPr>
        <w:lastRenderedPageBreak/>
        <w:t>viral em crianças e adolescentes de 0 a 19 anos. A prevalência da doença foi mais alta na faixa etária de 1 a 4 anos, representando quase 36% dos casos (Pinto, 2023).</w:t>
      </w:r>
    </w:p>
    <w:p w:rsidR="00F3346A" w:rsidRDefault="00F3346A" w:rsidP="004962D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 xml:space="preserve">Neste contexto, tanto a meningite viral quanto a encefalite viral têm como principais agentes causadores o grupo herpes.  (Pinto, 2023). A família dos </w:t>
      </w:r>
      <w:proofErr w:type="spellStart"/>
      <w:r>
        <w:rPr>
          <w:color w:val="000000"/>
        </w:rPr>
        <w:t>herpesvírus</w:t>
      </w:r>
      <w:proofErr w:type="spellEnd"/>
      <w:r>
        <w:rPr>
          <w:color w:val="000000"/>
        </w:rPr>
        <w:t xml:space="preserve"> humanos é formada pelos vírus HSV-1, HSV-2 e seus demais subtipos HHV-3 (vírus varicela-zoster), HHV-4 (vírus Epstein-</w:t>
      </w:r>
      <w:proofErr w:type="spellStart"/>
      <w:r>
        <w:rPr>
          <w:color w:val="000000"/>
        </w:rPr>
        <w:t>Barr</w:t>
      </w:r>
      <w:proofErr w:type="spellEnd"/>
      <w:r>
        <w:rPr>
          <w:color w:val="000000"/>
        </w:rPr>
        <w:t>), HHV-5 (citomegalovírus), HHV-6, HHV-7 e HHV-8 (</w:t>
      </w:r>
      <w:proofErr w:type="spellStart"/>
      <w:r>
        <w:rPr>
          <w:color w:val="000000"/>
        </w:rPr>
        <w:t>herpesvírus</w:t>
      </w:r>
      <w:proofErr w:type="spellEnd"/>
      <w:r>
        <w:rPr>
          <w:color w:val="000000"/>
        </w:rPr>
        <w:t xml:space="preserve"> associado ao sarcoma de </w:t>
      </w:r>
      <w:proofErr w:type="spellStart"/>
      <w:r>
        <w:rPr>
          <w:color w:val="000000"/>
        </w:rPr>
        <w:t>Kaposi</w:t>
      </w:r>
      <w:proofErr w:type="spellEnd"/>
      <w:r>
        <w:rPr>
          <w:color w:val="000000"/>
        </w:rPr>
        <w:t xml:space="preserve">). Esses vírus são compostos por um DNA de fita dupla, protegido por um capsídeo </w:t>
      </w:r>
      <w:proofErr w:type="spellStart"/>
      <w:r>
        <w:rPr>
          <w:color w:val="000000"/>
        </w:rPr>
        <w:t>icosaédrico</w:t>
      </w:r>
      <w:proofErr w:type="spellEnd"/>
      <w:r>
        <w:rPr>
          <w:color w:val="000000"/>
        </w:rPr>
        <w:t xml:space="preserve"> e envolto por um envelope lipoprotéico com glicoproteínas virais. Todos eles, com exceção do HHV-8, são capazes de causar encefalites, sendo o HSV-1 responsável por aproximadamente 90% dos casos e o HSV-2 por cerca de 10% dos casos (</w:t>
      </w:r>
      <w:proofErr w:type="spellStart"/>
      <w:r>
        <w:rPr>
          <w:color w:val="000000"/>
        </w:rPr>
        <w:t>Kumar</w:t>
      </w:r>
      <w:proofErr w:type="spellEnd"/>
      <w:r>
        <w:rPr>
          <w:color w:val="000000"/>
        </w:rPr>
        <w:t xml:space="preserve"> et al., 2024).</w:t>
      </w:r>
    </w:p>
    <w:p w:rsidR="00F3346A" w:rsidRDefault="00F3346A" w:rsidP="004962D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>A infecção local inicial do HSV-1 pode acometer o sistema nervoso central através de 3 vias, sem uma ordem de preferência. O primeiro modo se dá por meio da disseminação a partir de uma infecção orofaríngea, pelos ramos dos nervos trigêmeo ou olfatório (</w:t>
      </w:r>
      <w:proofErr w:type="spellStart"/>
      <w:r>
        <w:rPr>
          <w:color w:val="000000"/>
        </w:rPr>
        <w:t>Kumar</w:t>
      </w:r>
      <w:proofErr w:type="spellEnd"/>
      <w:r>
        <w:rPr>
          <w:color w:val="000000"/>
        </w:rPr>
        <w:t xml:space="preserve"> et al., 2024). A segunda via envolve o mecanismo de reativação de vias já afetadas em uma primo infecção (</w:t>
      </w:r>
      <w:proofErr w:type="spellStart"/>
      <w:r>
        <w:rPr>
          <w:color w:val="000000"/>
        </w:rPr>
        <w:t>Kumar</w:t>
      </w:r>
      <w:proofErr w:type="spellEnd"/>
      <w:r>
        <w:rPr>
          <w:color w:val="000000"/>
        </w:rPr>
        <w:t xml:space="preserve"> et al., 2024). Por fim, a terceira via é associada ao HSV-1 latente no tecido cerebral, devido a reativação in situ do vírus (</w:t>
      </w:r>
      <w:proofErr w:type="spellStart"/>
      <w:r>
        <w:rPr>
          <w:color w:val="000000"/>
        </w:rPr>
        <w:t>Kumar</w:t>
      </w:r>
      <w:proofErr w:type="spellEnd"/>
      <w:r>
        <w:rPr>
          <w:color w:val="000000"/>
        </w:rPr>
        <w:t xml:space="preserve"> et al., 2024). </w:t>
      </w:r>
    </w:p>
    <w:p w:rsidR="00F3346A" w:rsidRDefault="00F3346A" w:rsidP="004962D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 xml:space="preserve">A encefalite herpética (HSE) é caracterizada por inflamação cerebral significativa, comumente acometendo os lobos temporal e frontal, o que resulta em manifestações neurológicas variadas, incluindo alterações comportamentais, déficit cognitivo, convulsões, afasia e disfunção motora. Majoritariamente a HSE está associada ao HSV-1, mas o HSV-2 também pode ser o agente etiológico ocasional, especialmente em neonatos e pacientes </w:t>
      </w:r>
      <w:proofErr w:type="spellStart"/>
      <w:r>
        <w:rPr>
          <w:color w:val="000000"/>
        </w:rPr>
        <w:t>imunocomprometidos</w:t>
      </w:r>
      <w:proofErr w:type="spellEnd"/>
      <w:r>
        <w:rPr>
          <w:color w:val="000000"/>
        </w:rPr>
        <w:t xml:space="preserve">.  O estudo de </w:t>
      </w:r>
      <w:proofErr w:type="spellStart"/>
      <w:r>
        <w:rPr>
          <w:color w:val="000000"/>
        </w:rPr>
        <w:t>Wanigasinghe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Jayawickrama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Sumanasekera</w:t>
      </w:r>
      <w:proofErr w:type="spellEnd"/>
      <w:r>
        <w:rPr>
          <w:color w:val="000000"/>
        </w:rPr>
        <w:t xml:space="preserve"> (2021) destaca que, embora o HSV-2 seja um agente etiológico raro em casos pediátricos de encefalite, sua manifestação pode ser atípica, incluindo comprometimento do tronco cerebral e neurite craniana. </w:t>
      </w:r>
    </w:p>
    <w:p w:rsidR="00F3346A" w:rsidRDefault="00F3346A" w:rsidP="004962D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>A pesquisa reforça a importância de considerar o HSV-2 como um possível agente infeccioso em crianças, especialmente diante de sinais neurológicos focais e instabilidade autonômica. Além disso, evidencia a relevância da neurite craniana como uma manifestação incomum, ressaltando a necessidade de uma investigação detalhada e de um seguimento prolongado para prevenir sequelas neurológicas permanentes (</w:t>
      </w:r>
      <w:proofErr w:type="spellStart"/>
      <w:r>
        <w:rPr>
          <w:color w:val="000000"/>
        </w:rPr>
        <w:t>Wanigasinghe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Jayawickrama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Sumanasekera</w:t>
      </w:r>
      <w:proofErr w:type="spellEnd"/>
      <w:r>
        <w:rPr>
          <w:color w:val="000000"/>
        </w:rPr>
        <w:t>, 2021).</w:t>
      </w:r>
    </w:p>
    <w:p w:rsidR="00F3346A" w:rsidRDefault="00F3346A" w:rsidP="004962D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 xml:space="preserve">Apesar de a encefalite herpética ser caracterizada por sua elevada morbimortalidade, seu espectro clínico é marcadamente diverso, abrangendo desde manifestações severas de progressão rápida até apresentações mais leves e incomuns. Pesquisas apontam que aspectos genéticos do hospedeiro, como deficiências na resposta imunológica mediada pelo </w:t>
      </w:r>
      <w:proofErr w:type="spellStart"/>
      <w:r>
        <w:rPr>
          <w:color w:val="000000"/>
        </w:rPr>
        <w:t>interferon</w:t>
      </w:r>
      <w:proofErr w:type="spellEnd"/>
      <w:r>
        <w:rPr>
          <w:color w:val="000000"/>
        </w:rPr>
        <w:t xml:space="preserve"> celular (IFN) e alterações nos receptores </w:t>
      </w:r>
      <w:proofErr w:type="spellStart"/>
      <w:r>
        <w:rPr>
          <w:color w:val="000000"/>
        </w:rPr>
        <w:t>Toll-like</w:t>
      </w:r>
      <w:proofErr w:type="spellEnd"/>
      <w:r>
        <w:rPr>
          <w:color w:val="000000"/>
        </w:rPr>
        <w:t xml:space="preserve"> 3 (TLR</w:t>
      </w:r>
      <w:proofErr w:type="gramStart"/>
      <w:r>
        <w:rPr>
          <w:color w:val="000000"/>
        </w:rPr>
        <w:t>3)-</w:t>
      </w:r>
      <w:proofErr w:type="gramEnd"/>
      <w:r>
        <w:rPr>
          <w:color w:val="000000"/>
        </w:rPr>
        <w:t>IFN, desempenham um papel significativo na modulação da gravidade da enfermidade  (</w:t>
      </w:r>
      <w:proofErr w:type="spellStart"/>
      <w:r>
        <w:rPr>
          <w:color w:val="000000"/>
        </w:rPr>
        <w:t>Wanigasinghe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Jayawickrama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Sumanasekera</w:t>
      </w:r>
      <w:proofErr w:type="spellEnd"/>
      <w:r>
        <w:rPr>
          <w:color w:val="000000"/>
        </w:rPr>
        <w:t>, 2021). </w:t>
      </w:r>
    </w:p>
    <w:p w:rsidR="00F3346A" w:rsidRDefault="00F3346A" w:rsidP="004962D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lastRenderedPageBreak/>
        <w:t>Notavelmente, cerca de 20 a 25% dos pacientes, após a recuperação inicial da inflamação, apresentam um agravamento neurológico compatível com encefalite autoimune (EA). Condição essa que é caracterizada pela presença de autoanticorpos neuronais no líquido cefalorraquidiano (LCR), associado a um prognóstico funcional menos favorável. Nos casos de EA secundária à encefalite herpética (EH), aproximadamente dois terços dos pacientes apresentam autoanticorpos contra o receptor N-metil-D-</w:t>
      </w:r>
      <w:proofErr w:type="spellStart"/>
      <w:r>
        <w:rPr>
          <w:color w:val="000000"/>
        </w:rPr>
        <w:t>aspartato</w:t>
      </w:r>
      <w:proofErr w:type="spellEnd"/>
      <w:r>
        <w:rPr>
          <w:color w:val="000000"/>
        </w:rPr>
        <w:t xml:space="preserve"> (NMDAR), enquanto nos demais o alvo corresponde a um antígeno neuronal de superfície ainda não identificado (</w:t>
      </w:r>
      <w:proofErr w:type="spellStart"/>
      <w:r>
        <w:rPr>
          <w:color w:val="000000"/>
        </w:rPr>
        <w:t>Dumez</w:t>
      </w:r>
      <w:proofErr w:type="spellEnd"/>
      <w:r>
        <w:rPr>
          <w:color w:val="000000"/>
        </w:rPr>
        <w:t xml:space="preserve"> et al., 2024). Em contrapartida, a encefalite por NMDAR (NMDARE) é predominantemente idiopática e, apesar de suas manifestações clínicas variadas, costuma responder bem à </w:t>
      </w:r>
      <w:proofErr w:type="spellStart"/>
      <w:r>
        <w:rPr>
          <w:color w:val="000000"/>
        </w:rPr>
        <w:t>imunoterapia</w:t>
      </w:r>
      <w:proofErr w:type="spellEnd"/>
      <w:r>
        <w:rPr>
          <w:color w:val="000000"/>
        </w:rPr>
        <w:t>. (</w:t>
      </w:r>
      <w:proofErr w:type="spellStart"/>
      <w:r>
        <w:rPr>
          <w:color w:val="000000"/>
        </w:rPr>
        <w:t>Dumez</w:t>
      </w:r>
      <w:proofErr w:type="spellEnd"/>
      <w:r>
        <w:rPr>
          <w:color w:val="000000"/>
        </w:rPr>
        <w:t xml:space="preserve"> et al., 2024).</w:t>
      </w:r>
    </w:p>
    <w:p w:rsidR="00F3346A" w:rsidRDefault="00F3346A" w:rsidP="004962D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 xml:space="preserve">Em pacientes com HSE-NMDARE, os sintomas geralmente surgem dentro de três meses após o início da infecção por HSE e se assemelha ao quadro clínico da NMDARE idiopática. A resposta positiva à </w:t>
      </w:r>
      <w:proofErr w:type="spellStart"/>
      <w:r>
        <w:rPr>
          <w:color w:val="000000"/>
        </w:rPr>
        <w:t>imunoterapia</w:t>
      </w:r>
      <w:proofErr w:type="spellEnd"/>
      <w:r>
        <w:rPr>
          <w:color w:val="000000"/>
        </w:rPr>
        <w:t xml:space="preserve"> destaca a importância do diagnóstico precoce para diferenciar essa condição de sequelas virais ou recidivas. (</w:t>
      </w:r>
      <w:proofErr w:type="spellStart"/>
      <w:r>
        <w:rPr>
          <w:color w:val="000000"/>
        </w:rPr>
        <w:t>Dumez</w:t>
      </w:r>
      <w:proofErr w:type="spellEnd"/>
      <w:r>
        <w:rPr>
          <w:color w:val="000000"/>
        </w:rPr>
        <w:t xml:space="preserve"> et al., 2024).</w:t>
      </w:r>
    </w:p>
    <w:p w:rsidR="00F3346A" w:rsidRDefault="00F3346A" w:rsidP="004962D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 xml:space="preserve">Contudo, ainda são poucos os fatores de risco conhecidos para prever a progressão da HSV para NMDARE. Até o presente estudo, apenas a presença de autoanticorpos no LCR e o aumento da assinatura de RNA do </w:t>
      </w:r>
      <w:proofErr w:type="spellStart"/>
      <w:r>
        <w:rPr>
          <w:color w:val="000000"/>
        </w:rPr>
        <w:t>interferon</w:t>
      </w:r>
      <w:proofErr w:type="spellEnd"/>
      <w:r>
        <w:rPr>
          <w:color w:val="000000"/>
        </w:rPr>
        <w:t xml:space="preserve"> tipo I no sangue, avaliados 21 dias após o início da HSV, foram correlacionados a maior risco para essa progressão. Entretanto, devido à raridade da HSE e ao reconhecimento limitado da HSE-NMDARE, muitos pacientes não recebem um monitoramento inflamatório detalhado, dificultando a identificação de marcadores preditivos confiáveis (</w:t>
      </w:r>
      <w:proofErr w:type="spellStart"/>
      <w:r>
        <w:rPr>
          <w:color w:val="000000"/>
        </w:rPr>
        <w:t>Dumez</w:t>
      </w:r>
      <w:proofErr w:type="spellEnd"/>
      <w:r>
        <w:rPr>
          <w:color w:val="000000"/>
        </w:rPr>
        <w:t xml:space="preserve"> et al., 2024)</w:t>
      </w:r>
    </w:p>
    <w:p w:rsidR="00F3346A" w:rsidRDefault="00F3346A" w:rsidP="004962D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>Além do que foi discutido anteriormente, é importante destacar que no contexto neonatal, as gestantes com herpes simples apresentam um alto risco de complicações fetais, especialmente quando a infecção ocorre no último trimestre da gestação (Torres et al., 2023). A infecção pelo vírus herpe</w:t>
      </w:r>
      <w:r w:rsidR="00CE1C9B">
        <w:rPr>
          <w:color w:val="000000"/>
        </w:rPr>
        <w:t>s simplex (HSV</w:t>
      </w:r>
      <w:r>
        <w:rPr>
          <w:color w:val="000000"/>
        </w:rPr>
        <w:t>) no período neonatal pode causar doenças graves e risco de vida, com a gravidade variando desde manifestações limitadas à pele, olhos e membranas mucosas até infecções do sistema nervoso central ou disseminadas, envolvendo múltiplos órgãos. Lactentes que sobrevivem à infecção do sistema nervoso central apresentam altas taxas de sequelas neurológicas, enquanto aqueles com doença disseminada têm uma mortalidade de 29%, apesar da terapia antiviral eficaz (</w:t>
      </w:r>
      <w:proofErr w:type="spellStart"/>
      <w:r>
        <w:rPr>
          <w:color w:val="000000"/>
        </w:rPr>
        <w:t>Slutsker</w:t>
      </w:r>
      <w:proofErr w:type="spellEnd"/>
      <w:r>
        <w:rPr>
          <w:color w:val="000000"/>
        </w:rPr>
        <w:t xml:space="preserve"> et al., 2021).</w:t>
      </w:r>
    </w:p>
    <w:p w:rsidR="00F3346A" w:rsidRDefault="00F3346A" w:rsidP="004962D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>Comparando as mortes infantis causadas pelo vírus herpes simplex com aquelas decorrentes da sífilis congênita e do HIV, observa-se que os óbitos entre crianças vivendo com HIV tornaram-se mais raros devido a sistemas de vigilância robustos e esforços contínuos de prevenção. Embora haja diferenças clínicas e epidemiológicas entre a sífilis congênita e o HIV, ambas as infecções perinatais são monitoradas de forma rigorosa e continuam sendo prioridades urgentes para a saúde pública. No entanto, apesar da alta carga de mortalidade associada ao herpes neonatal, essa condição recebe menos atenção e conta com recursos limitados em comparação com essas outras doenças (</w:t>
      </w:r>
      <w:proofErr w:type="spellStart"/>
      <w:r>
        <w:rPr>
          <w:color w:val="000000"/>
        </w:rPr>
        <w:t>Slutsker</w:t>
      </w:r>
      <w:proofErr w:type="spellEnd"/>
      <w:r>
        <w:rPr>
          <w:color w:val="000000"/>
        </w:rPr>
        <w:t xml:space="preserve"> et al., 2021). </w:t>
      </w:r>
    </w:p>
    <w:p w:rsidR="00F3346A" w:rsidRDefault="00F3346A" w:rsidP="004962D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lastRenderedPageBreak/>
        <w:t xml:space="preserve">No contexto da emergência pediátrica, é fundamental definir as etapas que o paciente seguirá com o objetivo de um diagnóstico rápido e tratamento precoce. O critério diagnóstico obrigatório para a encefalite e encefalopatia de etiologia infecciosa presumida é a alteração do nível de consciência do paciente, com duração igual ou inferior a 24 horas, sem causa alternativa identificada. Outros sinais e sintomas que podem guiar o raciocínio clínico incluem febre superior a 38°C de início recente, convulsões generalizadas ou parciais sem histórico prévio e alterações em exames laboratoriais ou de imagem. Além disso, sinais semiológicos, como o sinal de </w:t>
      </w:r>
      <w:proofErr w:type="spellStart"/>
      <w:r>
        <w:rPr>
          <w:color w:val="000000"/>
        </w:rPr>
        <w:t>Kernig</w:t>
      </w:r>
      <w:proofErr w:type="spellEnd"/>
      <w:r>
        <w:rPr>
          <w:color w:val="000000"/>
        </w:rPr>
        <w:t xml:space="preserve"> e o de </w:t>
      </w:r>
      <w:proofErr w:type="spellStart"/>
      <w:r>
        <w:rPr>
          <w:color w:val="000000"/>
        </w:rPr>
        <w:t>Brudzinski</w:t>
      </w:r>
      <w:proofErr w:type="spellEnd"/>
      <w:r>
        <w:rPr>
          <w:color w:val="000000"/>
        </w:rPr>
        <w:t xml:space="preserve">, devem ser pesquisados durante o exame físico (Vale </w:t>
      </w:r>
      <w:proofErr w:type="spellStart"/>
      <w:r>
        <w:rPr>
          <w:color w:val="000000"/>
        </w:rPr>
        <w:t>Bede</w:t>
      </w:r>
      <w:proofErr w:type="spellEnd"/>
      <w:r>
        <w:rPr>
          <w:color w:val="000000"/>
        </w:rPr>
        <w:t xml:space="preserve"> et al., 2023). </w:t>
      </w:r>
    </w:p>
    <w:p w:rsidR="00F3346A" w:rsidRDefault="00F3346A" w:rsidP="004962D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>Tanto a meningite quanto a encefalite são emergências médicas graves que exigem diagnóstico e intervenção imediata. A encefalite, em particular, pode resultar em disfunções neurológicas significativas, como alterações no nível de consciência, comportamento e personalidade, déficits motores e sensoriais, distúrbios na fala ou nos movimentos, além de alterações na força e sensibilidade. Nos bebês, os sintomas clínicos incluem febre, irritabilidade, vômitos, diarreia, erupção cutânea, fontanela abaulada, convulsões e sintomas respiratórios. Em crianças mais velhas, pode-se observar rigidez no pescoço e fotofobia, além dos sintomas mencionados (Prestes, 2025).</w:t>
      </w:r>
    </w:p>
    <w:p w:rsidR="00F3346A" w:rsidRDefault="00F3346A" w:rsidP="004962D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>Diante desses sinais e sintomas, além do manejo clínico para estabilização do paciente, se faz mandatório a solicitação do teste de reação em cadeia da polimerase (PCR) para HSV-1 e HSV-2, devido à sua alta sensibilidade (96%) e especificidade (99%) (</w:t>
      </w:r>
      <w:proofErr w:type="spellStart"/>
      <w:r>
        <w:rPr>
          <w:color w:val="000000"/>
        </w:rPr>
        <w:t>Kumar</w:t>
      </w:r>
      <w:proofErr w:type="spellEnd"/>
      <w:r>
        <w:rPr>
          <w:color w:val="000000"/>
        </w:rPr>
        <w:t xml:space="preserve"> et al., 2024). A adoção de um protocolo de PCR que analise os principais patógenos virais que afetam o SNC é essencial, visto que é uma ferramenta de grande valia no âmbito de diagnóstico, otimizando a identificação e, assim, o tratamento </w:t>
      </w:r>
      <w:r>
        <w:rPr>
          <w:color w:val="000000"/>
          <w:shd w:val="clear" w:color="auto" w:fill="FFFFFF"/>
        </w:rPr>
        <w:t>(CHESKY et al., 2000)</w:t>
      </w:r>
      <w:r>
        <w:rPr>
          <w:color w:val="000000"/>
        </w:rPr>
        <w:t>. Em um estudo com análise de PCR em 383 pacientes com meningite e encefalite presumidamente infecciosa, foi obtido uma PCR positiva com a presença de até 17 vírus de diferentes espécies, entre aqueles que apresentaram maior frequência o herpes vírus simplex e o HHV-6 estiveram presentes (CHESKY et al., 2000).</w:t>
      </w:r>
    </w:p>
    <w:p w:rsidR="00F3346A" w:rsidRDefault="00F3346A" w:rsidP="004962D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 xml:space="preserve">Na hipótese de HSE, primeiramente se faz </w:t>
      </w:r>
      <w:r w:rsidR="004962D9">
        <w:rPr>
          <w:color w:val="000000"/>
        </w:rPr>
        <w:t>a necessidade</w:t>
      </w:r>
      <w:r>
        <w:rPr>
          <w:color w:val="000000"/>
        </w:rPr>
        <w:t xml:space="preserve"> do questionamento de </w:t>
      </w:r>
      <w:r w:rsidR="004962D9">
        <w:rPr>
          <w:color w:val="000000"/>
        </w:rPr>
        <w:t>outros diagnósticos</w:t>
      </w:r>
      <w:r>
        <w:rPr>
          <w:color w:val="000000"/>
        </w:rPr>
        <w:t xml:space="preserve"> diferenciais, tais como outras infecções (virais ou não virais), doenças vasculares ou desmielinizantes, distúrbios tóxico-metabólicos e tumor do SNC. Dessa forma, evita-se uso de aciclovir de maneira desnecessária. </w:t>
      </w:r>
      <w:r>
        <w:rPr>
          <w:color w:val="000000"/>
          <w:shd w:val="clear" w:color="auto" w:fill="FFFFFF"/>
        </w:rPr>
        <w:t>(DOMINGUES et al., 2000).</w:t>
      </w:r>
    </w:p>
    <w:p w:rsidR="00F3346A" w:rsidRDefault="00F3346A" w:rsidP="004962D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 xml:space="preserve">Além disso, pacientes com suspeita de encefalite devem realizar um eletroencefalograma (EEG) assim que possível, sendo geralmente feito após a avaliação inicial na emergência. A tomografia computadorizada (TC) de crânio deve ser realizada antes da punção lombar em situações como coma, presença de derivação do fluido cérebro-espinhal, crises convulsivas, déficits neurológicos focais, papiledema, rebaixamento do nível de consciência, lesões estruturais no sistema nervoso central, neurocirurgia recente, distúrbios de coagulação e trombocitopenias. Quanto à análise do líquido cefalorraquidiano (LCR), a presença de infecção viral é indicada por uma celularidade inferior a 1000 leucócitos por mm³, com 20 a 40% de neutrófilos e predomínio </w:t>
      </w:r>
      <w:proofErr w:type="spellStart"/>
      <w:r>
        <w:rPr>
          <w:color w:val="000000"/>
        </w:rPr>
        <w:lastRenderedPageBreak/>
        <w:t>linfomonocitário</w:t>
      </w:r>
      <w:proofErr w:type="spellEnd"/>
      <w:r>
        <w:rPr>
          <w:color w:val="000000"/>
        </w:rPr>
        <w:t xml:space="preserve">, proteína no LCR normal ou inferior a 100 mg/dL, e glicose no LCR dentro da faixa normal (40-70 mg/dL) (Vale </w:t>
      </w:r>
      <w:proofErr w:type="spellStart"/>
      <w:r>
        <w:rPr>
          <w:color w:val="000000"/>
        </w:rPr>
        <w:t>Bede</w:t>
      </w:r>
      <w:proofErr w:type="spellEnd"/>
      <w:r>
        <w:rPr>
          <w:color w:val="000000"/>
        </w:rPr>
        <w:t xml:space="preserve"> et al., 2023).</w:t>
      </w:r>
    </w:p>
    <w:p w:rsidR="00F3346A" w:rsidRDefault="00F3346A" w:rsidP="004962D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 xml:space="preserve">Tendo em vista os pacientes instáveis, ou seja, que apresentam alteração dos sinais vitais e instabilidade hemodinâmica, é essencial fornecer suporte clínico, feito através de oxigenação adequada, ventilação quando necessário, manutenção da circulação em níveis pressóricos funcionais, tratamento da hipoglicemia, acidose e possível </w:t>
      </w:r>
      <w:proofErr w:type="spellStart"/>
      <w:r>
        <w:rPr>
          <w:color w:val="000000"/>
        </w:rPr>
        <w:t>coagulopatia</w:t>
      </w:r>
      <w:proofErr w:type="spellEnd"/>
      <w:r>
        <w:rPr>
          <w:color w:val="000000"/>
        </w:rPr>
        <w:t xml:space="preserve">. Nesse cenário, é essencial que se consiga acesso venoso e se realize a monitorização do estado neurológico, cardiorrespiratório e eletrólitos (Vale </w:t>
      </w:r>
      <w:proofErr w:type="spellStart"/>
      <w:r>
        <w:rPr>
          <w:color w:val="000000"/>
        </w:rPr>
        <w:t>Bede</w:t>
      </w:r>
      <w:proofErr w:type="spellEnd"/>
      <w:r>
        <w:rPr>
          <w:color w:val="000000"/>
        </w:rPr>
        <w:t xml:space="preserve"> et al., 2023).</w:t>
      </w:r>
    </w:p>
    <w:p w:rsidR="00F3346A" w:rsidRDefault="00F3346A" w:rsidP="004962D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 xml:space="preserve">Quando a encefalite tem uma provável etiologia viral, o manejo na emergência deve focar na estabilização do paciente e no controle de suas manifestações clínicas.  Se o agente suspeito for um vírus do grupo herpes, deve-se iniciar o tratamento com aciclovir endovenoso, ajustado conforme a idade e peso do paciente. O uso de aciclovir oral não é recomendado, pois o antiviral não atravessa a barreira hematoencefálica, o que limita sua eficácia no tratamento de encefalite viral (Vale </w:t>
      </w:r>
      <w:proofErr w:type="spellStart"/>
      <w:r>
        <w:rPr>
          <w:color w:val="000000"/>
        </w:rPr>
        <w:t>Bede</w:t>
      </w:r>
      <w:proofErr w:type="spellEnd"/>
      <w:r>
        <w:rPr>
          <w:color w:val="000000"/>
        </w:rPr>
        <w:t xml:space="preserve"> et al., 2023).</w:t>
      </w:r>
    </w:p>
    <w:p w:rsidR="00F3346A" w:rsidRDefault="00F3346A" w:rsidP="004962D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 xml:space="preserve">A dosagem do aciclovir em pacientes com mais de 28 dias e menos que 3 meses é de 60mg/kg/dia endovenoso (EV) de 8 em 8 horas; maior de 3 meses e menos 12 anos é de 30-45mg/kg/dia EV de 8 em 8 horas. Já para os maiores de 12 anos a dose de aciclovir é de 30 mg/kg/dia EV de 8 em 8h. O tempo de duração do tratamento em caso de PCR positivo é de 21 dias. No entanto, se o exame for negativo e o quadro clínico, ainda assim for sugestivo, deve-se seguir tratamento, podendo ser de 14 a 21 dias, conforme indicação clínica. Em situações de o paciente apresentar sintomática e evolução não compatíveis com o resultado esperado, se suspende o tratamento (Vale </w:t>
      </w:r>
      <w:proofErr w:type="spellStart"/>
      <w:r>
        <w:rPr>
          <w:color w:val="000000"/>
        </w:rPr>
        <w:t>Bede</w:t>
      </w:r>
      <w:proofErr w:type="spellEnd"/>
      <w:r>
        <w:rPr>
          <w:color w:val="000000"/>
        </w:rPr>
        <w:t xml:space="preserve"> et al., 2023).</w:t>
      </w:r>
    </w:p>
    <w:p w:rsidR="00F3346A" w:rsidRDefault="00F3346A" w:rsidP="004962D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 xml:space="preserve">Pacientes neonatais e até os 11 ano completos, por usarem tratamento com o aciclovir em doses mais elevadas do que nos adultos, antes de se realizar a administração EV da medicação, faz-se necessário vigiar o nível de comprometimento renal pré-existente, pois essa medicação possui risco de </w:t>
      </w:r>
      <w:proofErr w:type="spellStart"/>
      <w:r>
        <w:rPr>
          <w:color w:val="000000"/>
        </w:rPr>
        <w:t>nefrotoxicidade</w:t>
      </w:r>
      <w:proofErr w:type="spellEnd"/>
      <w:r>
        <w:rPr>
          <w:color w:val="000000"/>
        </w:rPr>
        <w:t xml:space="preserve"> aumentada se administrada de forma errônea. Sendo assim, cuidados são necessários ao utilizar essa terapia, dentre eles está a hidratação adequada para minimizar os riscos e evitar os efeitos adversos, vômito e diarreia (7%), trombocitopenia (6%), elevação dos níveis de nitrogênio </w:t>
      </w:r>
      <w:proofErr w:type="spellStart"/>
      <w:r>
        <w:rPr>
          <w:color w:val="000000"/>
        </w:rPr>
        <w:t>urêmico</w:t>
      </w:r>
      <w:proofErr w:type="spellEnd"/>
      <w:r>
        <w:rPr>
          <w:color w:val="000000"/>
        </w:rPr>
        <w:t xml:space="preserve"> e creatinina (5%), além da neurotoxicidade, manifestada por confusão, letargia, agitação alucinações e convulsões (1%) (</w:t>
      </w:r>
      <w:proofErr w:type="spellStart"/>
      <w:r>
        <w:rPr>
          <w:color w:val="000000"/>
        </w:rPr>
        <w:t>Kumar</w:t>
      </w:r>
      <w:proofErr w:type="spellEnd"/>
      <w:r>
        <w:rPr>
          <w:color w:val="000000"/>
        </w:rPr>
        <w:t xml:space="preserve"> et al., 2024).</w:t>
      </w:r>
    </w:p>
    <w:p w:rsidR="00542D81" w:rsidRDefault="00542D81">
      <w:pPr>
        <w:spacing w:line="360" w:lineRule="auto"/>
        <w:jc w:val="both"/>
        <w:rPr>
          <w:sz w:val="24"/>
          <w:szCs w:val="24"/>
        </w:rPr>
      </w:pPr>
    </w:p>
    <w:p w:rsidR="00542D81" w:rsidRDefault="00EA38D1">
      <w:pPr>
        <w:jc w:val="both"/>
        <w:rPr>
          <w:sz w:val="24"/>
          <w:szCs w:val="24"/>
        </w:rPr>
      </w:pPr>
      <w:r>
        <w:rPr>
          <w:sz w:val="24"/>
          <w:szCs w:val="24"/>
        </w:rPr>
        <w:t>CONSIDERAÇÕES FINAIS</w:t>
      </w:r>
    </w:p>
    <w:p w:rsidR="00542D81" w:rsidRDefault="00542D81">
      <w:pPr>
        <w:jc w:val="both"/>
        <w:rPr>
          <w:sz w:val="24"/>
          <w:szCs w:val="24"/>
        </w:rPr>
      </w:pPr>
    </w:p>
    <w:p w:rsidR="00F3346A" w:rsidRDefault="00EA38D1" w:rsidP="004962D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tab/>
      </w:r>
      <w:r w:rsidR="00F3346A">
        <w:rPr>
          <w:color w:val="000000"/>
        </w:rPr>
        <w:t xml:space="preserve">As infecções por Herpes Simples associadas às neurossíndromes podem evoluir para quadros grave de encefalite </w:t>
      </w:r>
      <w:r w:rsidR="00CE1C9B">
        <w:rPr>
          <w:color w:val="000000"/>
        </w:rPr>
        <w:t>e meningoencefalite</w:t>
      </w:r>
      <w:r w:rsidR="00F3346A">
        <w:rPr>
          <w:color w:val="000000"/>
        </w:rPr>
        <w:t xml:space="preserve"> viral, condições que representam um importante problema de saúde pública, especialmente na população pediátrica, em razão de sua elevada morbimortalidade. O diagnóstico precoce é essencial para o manejo adequado e para a redução do risco de sequelas neurológicas permanentes ou mesmo de óbito.</w:t>
      </w:r>
    </w:p>
    <w:p w:rsidR="00F3346A" w:rsidRDefault="00F3346A" w:rsidP="004962D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lastRenderedPageBreak/>
        <w:t>Embora o exame de PCR para detecção viral esteja amplamente disponível, uma das limitações enfrentadas neste estudo foi sua realização fora do momento oportuno. A coleta deve ser feita preferencialmente nas primeiras 24 a 72 horas do início dos sintomas, janela em que a carga viral no líquor</w:t>
      </w:r>
      <w:bookmarkStart w:id="0" w:name="_GoBack"/>
      <w:bookmarkEnd w:id="0"/>
      <w:r>
        <w:rPr>
          <w:color w:val="000000"/>
        </w:rPr>
        <w:t xml:space="preserve"> é mais detectável. A perda desse momento pode comprometer o diagnóstico etiológico e atrasar o início do tratamento antiviral específico. Soma-se a isso a dificuldade ainda presente em muitas regiões do Brasil quanto à coleta e à sistematização de dados clínicos e laboratoriais, o que prejudica a vigilância epidemiológica e a elaboração de políticas públicas mais eficazes para o enfrentamento dessas condições.</w:t>
      </w:r>
    </w:p>
    <w:p w:rsidR="00F3346A" w:rsidRDefault="00F3346A" w:rsidP="004962D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>As conclusões deste estudo ressaltam a necessidade de implementação de protocolos diagnósticos com uso sistemático do PCR para detecção de patógenos virais, a fim de agilizar a identificação do agente causador e otimizar a conduta terapêutica. Além disso, considerando que muitos desses pacientes chegam em contextos de emergência, é fundamental que as equipes estejam treinadas para o reconhecimento e manejo imediato de situações críticas, como comprometimento de via aérea e instabilidade hemodinâmica, que impactam diretamente no prognóstico.</w:t>
      </w:r>
    </w:p>
    <w:p w:rsidR="00542D81" w:rsidRDefault="00F3346A" w:rsidP="004962D9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>Novas pesquisas sobre o tema devem ser incentivadas, com foco em mapear de forma mais abrangente o impacto dessa enfermidade na população pediátrica que sobrevive à fase aguda da doença. Estudos longitudinais são fundamentais para compreender as possíveis sequelas neurológicas, cognitivas e comportamentais a médio e longo prazo, bem como para identificar fatores prognósticos e estratégias de reabilitação mais eficazes. A geração de dados mais robustos pode contribuir para o aperfeiçoamento das condutas clínicas, além de embasar políticas públicas voltadas à prevenção, diagnóstico precoce, tratamento e suporte multidisciplinar a esses pacientes e suas famílias.</w:t>
      </w:r>
    </w:p>
    <w:p w:rsidR="00542D81" w:rsidRDefault="00542D81">
      <w:pPr>
        <w:spacing w:line="360" w:lineRule="auto"/>
        <w:jc w:val="both"/>
        <w:rPr>
          <w:sz w:val="24"/>
          <w:szCs w:val="24"/>
        </w:rPr>
      </w:pPr>
    </w:p>
    <w:p w:rsidR="00542D81" w:rsidRDefault="00EA38D1">
      <w:pPr>
        <w:spacing w:after="160" w:line="360" w:lineRule="auto"/>
        <w:ind w:right="139"/>
        <w:jc w:val="both"/>
        <w:rPr>
          <w:sz w:val="24"/>
          <w:szCs w:val="24"/>
        </w:rPr>
      </w:pPr>
      <w:r>
        <w:rPr>
          <w:sz w:val="24"/>
          <w:szCs w:val="24"/>
        </w:rPr>
        <w:t>REFERÊNCIAS</w:t>
      </w:r>
    </w:p>
    <w:p w:rsidR="00F3346A" w:rsidRDefault="00F3346A" w:rsidP="00F3346A">
      <w:pPr>
        <w:pStyle w:val="NormalWeb"/>
        <w:spacing w:before="240" w:beforeAutospacing="0" w:after="240" w:afterAutospacing="0"/>
      </w:pPr>
      <w:r>
        <w:rPr>
          <w:color w:val="000000"/>
        </w:rPr>
        <w:t xml:space="preserve">ARMANGUÉ, T. </w:t>
      </w:r>
      <w:r>
        <w:rPr>
          <w:i/>
          <w:iCs/>
          <w:color w:val="000000"/>
        </w:rPr>
        <w:t>et al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Neurologic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complications</w:t>
      </w:r>
      <w:proofErr w:type="spellEnd"/>
      <w:r>
        <w:rPr>
          <w:color w:val="000000"/>
        </w:rPr>
        <w:t xml:space="preserve"> in herpes simplex </w:t>
      </w:r>
      <w:proofErr w:type="spellStart"/>
      <w:r>
        <w:rPr>
          <w:color w:val="000000"/>
        </w:rPr>
        <w:t>encephalitis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clinical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immunological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genetic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studies</w:t>
      </w:r>
      <w:proofErr w:type="spellEnd"/>
      <w:r>
        <w:rPr>
          <w:color w:val="000000"/>
        </w:rPr>
        <w:t xml:space="preserve">. </w:t>
      </w:r>
      <w:proofErr w:type="spellStart"/>
      <w:r>
        <w:rPr>
          <w:b/>
          <w:bCs/>
          <w:i/>
          <w:iCs/>
          <w:color w:val="000000"/>
        </w:rPr>
        <w:t>Brain</w:t>
      </w:r>
      <w:proofErr w:type="spellEnd"/>
      <w:r>
        <w:rPr>
          <w:color w:val="000000"/>
        </w:rPr>
        <w:t>, v. 146, n. 10, p. 4306–4319, 14 jul. 2023.</w:t>
      </w:r>
    </w:p>
    <w:p w:rsidR="00F3346A" w:rsidRDefault="00F3346A" w:rsidP="00F3346A">
      <w:pPr>
        <w:pStyle w:val="NormalWeb"/>
        <w:spacing w:before="0" w:beforeAutospacing="0" w:after="240" w:afterAutospacing="0"/>
      </w:pPr>
      <w:r>
        <w:rPr>
          <w:color w:val="000000"/>
        </w:rPr>
        <w:t xml:space="preserve">CHESKY, M. et al. </w:t>
      </w:r>
      <w:proofErr w:type="spellStart"/>
      <w:r>
        <w:rPr>
          <w:color w:val="000000"/>
        </w:rPr>
        <w:t>Polymerase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reaction</w:t>
      </w:r>
      <w:proofErr w:type="spellEnd"/>
      <w:r>
        <w:rPr>
          <w:color w:val="000000"/>
        </w:rPr>
        <w:t xml:space="preserve"> for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laboratory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diagnosis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aseptic</w:t>
      </w:r>
      <w:proofErr w:type="spellEnd"/>
      <w:r>
        <w:rPr>
          <w:color w:val="000000"/>
        </w:rPr>
        <w:t xml:space="preserve"> meningitis and </w:t>
      </w:r>
      <w:proofErr w:type="spellStart"/>
      <w:r>
        <w:rPr>
          <w:color w:val="000000"/>
        </w:rPr>
        <w:t>encephalitis</w:t>
      </w:r>
      <w:proofErr w:type="spellEnd"/>
      <w:r>
        <w:rPr>
          <w:color w:val="000000"/>
        </w:rPr>
        <w:t xml:space="preserve">. Arquivos de </w:t>
      </w:r>
      <w:proofErr w:type="spellStart"/>
      <w:r>
        <w:rPr>
          <w:color w:val="000000"/>
        </w:rPr>
        <w:t>Neuro-Psiquiatria</w:t>
      </w:r>
      <w:proofErr w:type="spellEnd"/>
      <w:r>
        <w:rPr>
          <w:color w:val="000000"/>
        </w:rPr>
        <w:t>, v. 58, n. 3B, p. 836–842, set. 2000.</w:t>
      </w:r>
    </w:p>
    <w:p w:rsidR="00F3346A" w:rsidRDefault="00F3346A" w:rsidP="00F3346A">
      <w:pPr>
        <w:pStyle w:val="NormalWeb"/>
        <w:spacing w:before="240" w:beforeAutospacing="0" w:after="240" w:afterAutospacing="0"/>
      </w:pPr>
      <w:r>
        <w:rPr>
          <w:color w:val="000000"/>
        </w:rPr>
        <w:t xml:space="preserve">‌CLARA, A. </w:t>
      </w:r>
      <w:r>
        <w:rPr>
          <w:i/>
          <w:iCs/>
          <w:color w:val="000000"/>
        </w:rPr>
        <w:t>et al</w:t>
      </w:r>
      <w:r>
        <w:rPr>
          <w:color w:val="000000"/>
        </w:rPr>
        <w:t xml:space="preserve">. Internações por meningite viral no Brasil em crianças: estudo ecológico. </w:t>
      </w:r>
      <w:r>
        <w:rPr>
          <w:b/>
          <w:bCs/>
          <w:i/>
          <w:iCs/>
          <w:color w:val="000000"/>
        </w:rPr>
        <w:t xml:space="preserve">The </w:t>
      </w:r>
      <w:proofErr w:type="spellStart"/>
      <w:r>
        <w:rPr>
          <w:b/>
          <w:bCs/>
          <w:i/>
          <w:iCs/>
          <w:color w:val="000000"/>
        </w:rPr>
        <w:t>Brazilian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Journal</w:t>
      </w:r>
      <w:proofErr w:type="spellEnd"/>
      <w:r>
        <w:rPr>
          <w:b/>
          <w:bCs/>
          <w:i/>
          <w:iCs/>
          <w:color w:val="000000"/>
        </w:rPr>
        <w:t xml:space="preserve"> of </w:t>
      </w:r>
      <w:proofErr w:type="spellStart"/>
      <w:r>
        <w:rPr>
          <w:b/>
          <w:bCs/>
          <w:i/>
          <w:iCs/>
          <w:color w:val="000000"/>
        </w:rPr>
        <w:t>Infectious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Diseases</w:t>
      </w:r>
      <w:proofErr w:type="spellEnd"/>
      <w:r>
        <w:rPr>
          <w:color w:val="000000"/>
        </w:rPr>
        <w:t>, v. 27, p. 103463–103463, 1 out. 2023.</w:t>
      </w:r>
    </w:p>
    <w:p w:rsidR="00F3346A" w:rsidRDefault="00F3346A" w:rsidP="00F3346A">
      <w:pPr>
        <w:pStyle w:val="NormalWeb"/>
        <w:spacing w:before="0" w:beforeAutospacing="0" w:after="240" w:afterAutospacing="0"/>
      </w:pPr>
      <w:r>
        <w:rPr>
          <w:color w:val="000000"/>
        </w:rPr>
        <w:t xml:space="preserve">DE ROSE, D. U. </w:t>
      </w:r>
      <w:r>
        <w:rPr>
          <w:i/>
          <w:iCs/>
          <w:color w:val="000000"/>
        </w:rPr>
        <w:t>et al</w:t>
      </w:r>
      <w:r>
        <w:rPr>
          <w:color w:val="000000"/>
        </w:rPr>
        <w:t xml:space="preserve">. Neonatal herpes simplex </w:t>
      </w:r>
      <w:proofErr w:type="spellStart"/>
      <w:r>
        <w:rPr>
          <w:color w:val="000000"/>
        </w:rPr>
        <w:t>virus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infection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maternal </w:t>
      </w:r>
      <w:proofErr w:type="spellStart"/>
      <w:r>
        <w:rPr>
          <w:color w:val="000000"/>
        </w:rPr>
        <w:t>infection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outcome</w:t>
      </w:r>
      <w:proofErr w:type="spellEnd"/>
      <w:r>
        <w:rPr>
          <w:color w:val="000000"/>
        </w:rPr>
        <w:t xml:space="preserve">. </w:t>
      </w:r>
      <w:proofErr w:type="spellStart"/>
      <w:r>
        <w:rPr>
          <w:b/>
          <w:bCs/>
          <w:i/>
          <w:iCs/>
          <w:color w:val="000000"/>
        </w:rPr>
        <w:t>Journal</w:t>
      </w:r>
      <w:proofErr w:type="spellEnd"/>
      <w:r>
        <w:rPr>
          <w:b/>
          <w:bCs/>
          <w:i/>
          <w:iCs/>
          <w:color w:val="000000"/>
        </w:rPr>
        <w:t xml:space="preserve"> of Medical </w:t>
      </w:r>
      <w:proofErr w:type="spellStart"/>
      <w:r>
        <w:rPr>
          <w:b/>
          <w:bCs/>
          <w:i/>
          <w:iCs/>
          <w:color w:val="000000"/>
        </w:rPr>
        <w:t>Virology</w:t>
      </w:r>
      <w:proofErr w:type="spellEnd"/>
      <w:r>
        <w:rPr>
          <w:color w:val="000000"/>
        </w:rPr>
        <w:t>, v. 95, n. 8, 1 ago. 2023.</w:t>
      </w:r>
    </w:p>
    <w:p w:rsidR="00F3346A" w:rsidRDefault="00F3346A" w:rsidP="00F3346A">
      <w:pPr>
        <w:pStyle w:val="NormalWeb"/>
        <w:spacing w:before="0" w:beforeAutospacing="0" w:after="240" w:afterAutospacing="0"/>
      </w:pPr>
      <w:r>
        <w:rPr>
          <w:color w:val="000000"/>
        </w:rPr>
        <w:t xml:space="preserve">DOMINGUES, R. B. et al. Diagnósticos alternativos em pacientes com suspeita de encefalite por Herpes simplex e negativos à reação em cadeia por polimerase (PCR). Arquivos de </w:t>
      </w:r>
      <w:proofErr w:type="spellStart"/>
      <w:r>
        <w:rPr>
          <w:color w:val="000000"/>
        </w:rPr>
        <w:t>Neuro-Psiquiatria</w:t>
      </w:r>
      <w:proofErr w:type="spellEnd"/>
      <w:r>
        <w:rPr>
          <w:color w:val="000000"/>
        </w:rPr>
        <w:t xml:space="preserve">, v. 58, n. 4, p. 1073–1080, 1 dez. </w:t>
      </w:r>
      <w:proofErr w:type="gramStart"/>
      <w:r>
        <w:rPr>
          <w:color w:val="000000"/>
        </w:rPr>
        <w:t>2000.‌</w:t>
      </w:r>
      <w:proofErr w:type="gramEnd"/>
    </w:p>
    <w:p w:rsidR="00F3346A" w:rsidRDefault="00F3346A" w:rsidP="00F3346A">
      <w:pPr>
        <w:pStyle w:val="NormalWeb"/>
        <w:spacing w:before="240" w:beforeAutospacing="0" w:after="240" w:afterAutospacing="0"/>
      </w:pPr>
      <w:r>
        <w:rPr>
          <w:color w:val="000000"/>
        </w:rPr>
        <w:lastRenderedPageBreak/>
        <w:t xml:space="preserve">DUMEZ, P. </w:t>
      </w:r>
      <w:r>
        <w:rPr>
          <w:i/>
          <w:iCs/>
          <w:color w:val="000000"/>
        </w:rPr>
        <w:t>et al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Specific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clinical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radiological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characteristics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anti-NMDA</w:t>
      </w:r>
      <w:proofErr w:type="spellEnd"/>
      <w:r>
        <w:rPr>
          <w:color w:val="000000"/>
        </w:rPr>
        <w:t xml:space="preserve"> receptor </w:t>
      </w:r>
      <w:proofErr w:type="spellStart"/>
      <w:r>
        <w:rPr>
          <w:color w:val="000000"/>
        </w:rPr>
        <w:t>autoimmune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encephalitis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following</w:t>
      </w:r>
      <w:proofErr w:type="spellEnd"/>
      <w:r>
        <w:rPr>
          <w:color w:val="000000"/>
        </w:rPr>
        <w:t xml:space="preserve"> herpes </w:t>
      </w:r>
      <w:proofErr w:type="spellStart"/>
      <w:r>
        <w:rPr>
          <w:color w:val="000000"/>
        </w:rPr>
        <w:t>encephalitis</w:t>
      </w:r>
      <w:proofErr w:type="spellEnd"/>
      <w:r>
        <w:rPr>
          <w:color w:val="000000"/>
        </w:rPr>
        <w:t xml:space="preserve">. </w:t>
      </w:r>
      <w:proofErr w:type="spellStart"/>
      <w:r>
        <w:rPr>
          <w:b/>
          <w:bCs/>
          <w:i/>
          <w:iCs/>
          <w:color w:val="000000"/>
        </w:rPr>
        <w:t>Journal</w:t>
      </w:r>
      <w:proofErr w:type="spellEnd"/>
      <w:r>
        <w:rPr>
          <w:b/>
          <w:bCs/>
          <w:i/>
          <w:iCs/>
          <w:color w:val="000000"/>
        </w:rPr>
        <w:t xml:space="preserve"> of </w:t>
      </w:r>
      <w:proofErr w:type="spellStart"/>
      <w:r>
        <w:rPr>
          <w:b/>
          <w:bCs/>
          <w:i/>
          <w:iCs/>
          <w:color w:val="000000"/>
        </w:rPr>
        <w:t>Neurology</w:t>
      </w:r>
      <w:proofErr w:type="spellEnd"/>
      <w:r>
        <w:rPr>
          <w:color w:val="000000"/>
        </w:rPr>
        <w:t xml:space="preserve">, v. 271, n. 10, p. 6692–6701, 16 </w:t>
      </w:r>
      <w:proofErr w:type="spellStart"/>
      <w:r>
        <w:rPr>
          <w:color w:val="000000"/>
        </w:rPr>
        <w:t>aug</w:t>
      </w:r>
      <w:proofErr w:type="spellEnd"/>
      <w:r>
        <w:rPr>
          <w:color w:val="000000"/>
        </w:rPr>
        <w:t>. 2024.</w:t>
      </w:r>
    </w:p>
    <w:p w:rsidR="00F3346A" w:rsidRDefault="00F3346A" w:rsidP="00F3346A">
      <w:pPr>
        <w:pStyle w:val="NormalWeb"/>
        <w:spacing w:before="0" w:beforeAutospacing="0" w:after="0" w:afterAutospacing="0"/>
      </w:pPr>
      <w:r>
        <w:rPr>
          <w:color w:val="000000"/>
        </w:rPr>
        <w:t xml:space="preserve">JOHNSTON, C; </w:t>
      </w:r>
      <w:r>
        <w:rPr>
          <w:i/>
          <w:iCs/>
          <w:color w:val="000000"/>
        </w:rPr>
        <w:t>et al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Epidemiology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clinical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manifestations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diagnosis</w:t>
      </w:r>
      <w:proofErr w:type="spellEnd"/>
      <w:r>
        <w:rPr>
          <w:color w:val="000000"/>
        </w:rPr>
        <w:t xml:space="preserve"> of herpes simplex </w:t>
      </w:r>
      <w:proofErr w:type="spellStart"/>
      <w:r>
        <w:rPr>
          <w:color w:val="000000"/>
        </w:rPr>
        <w:t>virus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type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infection</w:t>
      </w:r>
      <w:proofErr w:type="spellEnd"/>
      <w:r>
        <w:rPr>
          <w:color w:val="000000"/>
        </w:rPr>
        <w:t xml:space="preserve">. </w:t>
      </w:r>
      <w:proofErr w:type="spellStart"/>
      <w:r>
        <w:rPr>
          <w:b/>
          <w:bCs/>
          <w:i/>
          <w:iCs/>
          <w:color w:val="000000"/>
        </w:rPr>
        <w:t>Uptodate</w:t>
      </w:r>
      <w:proofErr w:type="spellEnd"/>
      <w:r>
        <w:rPr>
          <w:color w:val="000000"/>
        </w:rPr>
        <w:t>, 21 jul. 2023.</w:t>
      </w:r>
    </w:p>
    <w:p w:rsidR="00F3346A" w:rsidRDefault="00F3346A" w:rsidP="00F3346A">
      <w:pPr>
        <w:pStyle w:val="NormalWeb"/>
        <w:spacing w:before="240" w:beforeAutospacing="0" w:after="240" w:afterAutospacing="0"/>
      </w:pPr>
      <w:r>
        <w:rPr>
          <w:color w:val="000000"/>
        </w:rPr>
        <w:t xml:space="preserve">PINTO, I. M. Análise epidemiológica de crianças e adolescentes com encefalite viral no Brasil entre 2018 e 2022. </w:t>
      </w:r>
      <w:r>
        <w:rPr>
          <w:b/>
          <w:bCs/>
          <w:i/>
          <w:iCs/>
          <w:color w:val="000000"/>
        </w:rPr>
        <w:t xml:space="preserve">The </w:t>
      </w:r>
      <w:proofErr w:type="spellStart"/>
      <w:r>
        <w:rPr>
          <w:b/>
          <w:bCs/>
          <w:i/>
          <w:iCs/>
          <w:color w:val="000000"/>
        </w:rPr>
        <w:t>Brazilian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Journal</w:t>
      </w:r>
      <w:proofErr w:type="spellEnd"/>
      <w:r>
        <w:rPr>
          <w:b/>
          <w:bCs/>
          <w:i/>
          <w:iCs/>
          <w:color w:val="000000"/>
        </w:rPr>
        <w:t xml:space="preserve"> of </w:t>
      </w:r>
      <w:proofErr w:type="spellStart"/>
      <w:r>
        <w:rPr>
          <w:b/>
          <w:bCs/>
          <w:i/>
          <w:iCs/>
          <w:color w:val="000000"/>
        </w:rPr>
        <w:t>Infectious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Diseases</w:t>
      </w:r>
      <w:proofErr w:type="spellEnd"/>
      <w:r>
        <w:rPr>
          <w:color w:val="000000"/>
        </w:rPr>
        <w:t>, v. 27, p. 103433–103433, 1 out. 2023.</w:t>
      </w:r>
    </w:p>
    <w:p w:rsidR="00F3346A" w:rsidRDefault="00F3346A" w:rsidP="00F3346A">
      <w:pPr>
        <w:pStyle w:val="NormalWeb"/>
        <w:spacing w:before="240" w:beforeAutospacing="0" w:after="240" w:afterAutospacing="0"/>
      </w:pPr>
      <w:r>
        <w:rPr>
          <w:color w:val="000000"/>
        </w:rPr>
        <w:t xml:space="preserve">PRESTES, A. R. Protocolo para manejo de meningite e encefalite na emergência pediátrica. </w:t>
      </w:r>
      <w:r>
        <w:rPr>
          <w:b/>
          <w:bCs/>
          <w:color w:val="000000"/>
        </w:rPr>
        <w:t>LUME UFRGS</w:t>
      </w:r>
      <w:r>
        <w:rPr>
          <w:color w:val="000000"/>
        </w:rPr>
        <w:t>, 2025.</w:t>
      </w:r>
    </w:p>
    <w:p w:rsidR="00F3346A" w:rsidRDefault="00F3346A" w:rsidP="00F3346A">
      <w:pPr>
        <w:pStyle w:val="NormalWeb"/>
        <w:spacing w:before="240" w:beforeAutospacing="0" w:after="240" w:afterAutospacing="0"/>
      </w:pPr>
      <w:r>
        <w:rPr>
          <w:color w:val="000000"/>
        </w:rPr>
        <w:t xml:space="preserve">SLUTSKER, J. S.; SCHILLINGER, J. A. </w:t>
      </w:r>
      <w:proofErr w:type="spellStart"/>
      <w:r>
        <w:rPr>
          <w:color w:val="000000"/>
        </w:rPr>
        <w:t>Assessing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burden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infant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deaths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herpes simplex </w:t>
      </w:r>
      <w:proofErr w:type="spellStart"/>
      <w:r>
        <w:rPr>
          <w:color w:val="000000"/>
        </w:rPr>
        <w:t>virus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human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immunodeficiency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virus</w:t>
      </w:r>
      <w:proofErr w:type="spellEnd"/>
      <w:r>
        <w:rPr>
          <w:color w:val="000000"/>
        </w:rPr>
        <w:t xml:space="preserve">, and congenital </w:t>
      </w:r>
      <w:proofErr w:type="spellStart"/>
      <w:r>
        <w:rPr>
          <w:color w:val="000000"/>
        </w:rPr>
        <w:t>syphilis</w:t>
      </w:r>
      <w:proofErr w:type="spellEnd"/>
      <w:r>
        <w:rPr>
          <w:color w:val="000000"/>
        </w:rPr>
        <w:t xml:space="preserve">: United </w:t>
      </w:r>
      <w:proofErr w:type="spellStart"/>
      <w:r>
        <w:rPr>
          <w:color w:val="000000"/>
        </w:rPr>
        <w:t>States</w:t>
      </w:r>
      <w:proofErr w:type="spellEnd"/>
      <w:r>
        <w:rPr>
          <w:color w:val="000000"/>
        </w:rPr>
        <w:t xml:space="preserve">, 1995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2017. </w:t>
      </w:r>
      <w:proofErr w:type="spellStart"/>
      <w:r>
        <w:rPr>
          <w:b/>
          <w:bCs/>
          <w:i/>
          <w:iCs/>
          <w:color w:val="000000"/>
        </w:rPr>
        <w:t>Journal</w:t>
      </w:r>
      <w:proofErr w:type="spellEnd"/>
      <w:r>
        <w:rPr>
          <w:b/>
          <w:bCs/>
          <w:i/>
          <w:iCs/>
          <w:color w:val="000000"/>
        </w:rPr>
        <w:t xml:space="preserve"> of </w:t>
      </w:r>
      <w:proofErr w:type="spellStart"/>
      <w:r>
        <w:rPr>
          <w:b/>
          <w:bCs/>
          <w:i/>
          <w:iCs/>
          <w:color w:val="000000"/>
        </w:rPr>
        <w:t>the</w:t>
      </w:r>
      <w:proofErr w:type="spellEnd"/>
      <w:r>
        <w:rPr>
          <w:b/>
          <w:bCs/>
          <w:i/>
          <w:iCs/>
          <w:color w:val="000000"/>
        </w:rPr>
        <w:t xml:space="preserve"> American </w:t>
      </w:r>
      <w:proofErr w:type="spellStart"/>
      <w:r>
        <w:rPr>
          <w:b/>
          <w:bCs/>
          <w:i/>
          <w:iCs/>
          <w:color w:val="000000"/>
        </w:rPr>
        <w:t>Sexually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Transmitted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Diseases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Association</w:t>
      </w:r>
      <w:proofErr w:type="spellEnd"/>
      <w:r>
        <w:rPr>
          <w:color w:val="000000"/>
        </w:rPr>
        <w:t xml:space="preserve">, v. 48, n. 8S, p. S4–S10, 1 </w:t>
      </w:r>
      <w:proofErr w:type="spellStart"/>
      <w:r>
        <w:rPr>
          <w:color w:val="000000"/>
        </w:rPr>
        <w:t>aug</w:t>
      </w:r>
      <w:proofErr w:type="spellEnd"/>
      <w:r>
        <w:rPr>
          <w:color w:val="000000"/>
        </w:rPr>
        <w:t>. 2021.</w:t>
      </w:r>
    </w:p>
    <w:p w:rsidR="00F3346A" w:rsidRDefault="00F3346A" w:rsidP="00F3346A">
      <w:pPr>
        <w:pStyle w:val="NormalWeb"/>
        <w:spacing w:before="240" w:beforeAutospacing="0" w:after="240" w:afterAutospacing="0"/>
      </w:pPr>
      <w:r>
        <w:rPr>
          <w:color w:val="000000"/>
        </w:rPr>
        <w:t xml:space="preserve">TORRES, L. G. S. </w:t>
      </w:r>
      <w:r>
        <w:rPr>
          <w:i/>
          <w:iCs/>
          <w:color w:val="000000"/>
        </w:rPr>
        <w:t>et al</w:t>
      </w:r>
      <w:r>
        <w:rPr>
          <w:color w:val="000000"/>
        </w:rPr>
        <w:t xml:space="preserve">. Consequências da herpes tipo 1 no desenvolvimento </w:t>
      </w:r>
      <w:proofErr w:type="spellStart"/>
      <w:r>
        <w:rPr>
          <w:color w:val="000000"/>
        </w:rPr>
        <w:t>neuropsicomotor</w:t>
      </w:r>
      <w:proofErr w:type="spellEnd"/>
      <w:r>
        <w:rPr>
          <w:color w:val="000000"/>
        </w:rPr>
        <w:t xml:space="preserve">. </w:t>
      </w:r>
      <w:r>
        <w:rPr>
          <w:b/>
          <w:bCs/>
          <w:i/>
          <w:iCs/>
          <w:color w:val="000000"/>
        </w:rPr>
        <w:t>Arquivos de Ciências da Saúde da UNIPAR</w:t>
      </w:r>
      <w:r>
        <w:rPr>
          <w:color w:val="000000"/>
        </w:rPr>
        <w:t xml:space="preserve">, v. 27, n. 1, p. 17-27, </w:t>
      </w:r>
      <w:proofErr w:type="spellStart"/>
      <w:r>
        <w:rPr>
          <w:color w:val="000000"/>
        </w:rPr>
        <w:t>jan</w:t>
      </w:r>
      <w:proofErr w:type="spellEnd"/>
      <w:r>
        <w:rPr>
          <w:color w:val="000000"/>
        </w:rPr>
        <w:t>-abr. 2023.</w:t>
      </w:r>
    </w:p>
    <w:p w:rsidR="00F3346A" w:rsidRDefault="00F3346A" w:rsidP="00F3346A">
      <w:pPr>
        <w:pStyle w:val="NormalWeb"/>
        <w:spacing w:before="240" w:beforeAutospacing="0" w:after="240" w:afterAutospacing="0"/>
      </w:pPr>
      <w:r>
        <w:rPr>
          <w:color w:val="000000"/>
        </w:rPr>
        <w:t xml:space="preserve">VALE BEDE, P; SILVA, R; GIANNASI SEVERINI, A. E; ALMEIDA SUKYS, G; Guia do episódio de cuidado: meningoencefalite viral em crianças e adolescentes. </w:t>
      </w:r>
      <w:r>
        <w:rPr>
          <w:b/>
          <w:bCs/>
          <w:i/>
          <w:iCs/>
          <w:color w:val="000000"/>
        </w:rPr>
        <w:t>Hospital Israelita Albert Einstein</w:t>
      </w:r>
      <w:r>
        <w:rPr>
          <w:color w:val="000000"/>
        </w:rPr>
        <w:t>, 11 dez. 2023.</w:t>
      </w:r>
    </w:p>
    <w:p w:rsidR="00F3346A" w:rsidRDefault="00F3346A" w:rsidP="00F3346A">
      <w:pPr>
        <w:pStyle w:val="NormalWeb"/>
        <w:spacing w:before="240" w:beforeAutospacing="0" w:after="240" w:afterAutospacing="0"/>
      </w:pPr>
      <w:r>
        <w:rPr>
          <w:color w:val="000000"/>
        </w:rPr>
        <w:t xml:space="preserve">WANIGASINGHE, J.; JAYAWICKRAMA, A.; SUMANASEKERA, N. Herpes simplex virus-2 </w:t>
      </w:r>
      <w:proofErr w:type="spellStart"/>
      <w:r>
        <w:rPr>
          <w:color w:val="000000"/>
        </w:rPr>
        <w:t>encephalitis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complicated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multiple</w:t>
      </w:r>
      <w:proofErr w:type="spellEnd"/>
      <w:r>
        <w:rPr>
          <w:color w:val="000000"/>
        </w:rPr>
        <w:t xml:space="preserve"> cranial </w:t>
      </w:r>
      <w:proofErr w:type="spellStart"/>
      <w:r>
        <w:rPr>
          <w:color w:val="000000"/>
        </w:rPr>
        <w:t>neuritis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dysautonomia</w:t>
      </w:r>
      <w:proofErr w:type="spellEnd"/>
      <w:r>
        <w:rPr>
          <w:color w:val="000000"/>
        </w:rPr>
        <w:t xml:space="preserve">. </w:t>
      </w:r>
      <w:proofErr w:type="spellStart"/>
      <w:r>
        <w:rPr>
          <w:b/>
          <w:bCs/>
          <w:i/>
          <w:iCs/>
          <w:color w:val="000000"/>
        </w:rPr>
        <w:t>Journal</w:t>
      </w:r>
      <w:proofErr w:type="spellEnd"/>
      <w:r>
        <w:rPr>
          <w:b/>
          <w:bCs/>
          <w:i/>
          <w:iCs/>
          <w:color w:val="000000"/>
        </w:rPr>
        <w:t xml:space="preserve"> of </w:t>
      </w:r>
      <w:proofErr w:type="spellStart"/>
      <w:r>
        <w:rPr>
          <w:b/>
          <w:bCs/>
          <w:i/>
          <w:iCs/>
          <w:color w:val="000000"/>
        </w:rPr>
        <w:t>Pediatric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Neurosciences</w:t>
      </w:r>
      <w:proofErr w:type="spellEnd"/>
      <w:r>
        <w:rPr>
          <w:color w:val="000000"/>
        </w:rPr>
        <w:t xml:space="preserve">, v. 16, n. 4, p. 344–346, </w:t>
      </w:r>
      <w:proofErr w:type="spellStart"/>
      <w:r>
        <w:rPr>
          <w:color w:val="000000"/>
        </w:rPr>
        <w:t>oct</w:t>
      </w:r>
      <w:proofErr w:type="spellEnd"/>
      <w:r>
        <w:rPr>
          <w:color w:val="000000"/>
        </w:rPr>
        <w:t>-dec. 2021.</w:t>
      </w:r>
    </w:p>
    <w:p w:rsidR="00F3346A" w:rsidRDefault="00F3346A" w:rsidP="00F3346A">
      <w:pPr>
        <w:pStyle w:val="NormalWeb"/>
        <w:spacing w:before="0" w:beforeAutospacing="0" w:after="240" w:afterAutospacing="0"/>
      </w:pPr>
      <w:r>
        <w:rPr>
          <w:color w:val="000000"/>
        </w:rPr>
        <w:t xml:space="preserve">WOUK, J.; MALFATTI, C. R. M.; FACCIN-GALHARDI, L. C. Herpes Simplex: uma epidemia viral persistente. </w:t>
      </w:r>
      <w:r>
        <w:rPr>
          <w:b/>
          <w:bCs/>
          <w:i/>
          <w:iCs/>
          <w:color w:val="000000"/>
        </w:rPr>
        <w:t>Infectologia: bases epidemiológicas e clínicas</w:t>
      </w:r>
      <w:r>
        <w:rPr>
          <w:color w:val="000000"/>
        </w:rPr>
        <w:t>,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p. 98–117, 6 </w:t>
      </w:r>
      <w:proofErr w:type="spellStart"/>
      <w:r>
        <w:rPr>
          <w:color w:val="000000"/>
        </w:rPr>
        <w:t>may</w:t>
      </w:r>
      <w:proofErr w:type="spellEnd"/>
      <w:r>
        <w:rPr>
          <w:color w:val="000000"/>
        </w:rPr>
        <w:t xml:space="preserve"> 2021. </w:t>
      </w:r>
    </w:p>
    <w:p w:rsidR="00F3346A" w:rsidRDefault="00F3346A" w:rsidP="00F3346A">
      <w:pPr>
        <w:pStyle w:val="NormalWeb"/>
        <w:spacing w:before="0" w:beforeAutospacing="0" w:after="240" w:afterAutospacing="0"/>
      </w:pPr>
      <w:r>
        <w:rPr>
          <w:color w:val="000000"/>
        </w:rPr>
        <w:t xml:space="preserve">ZHU, S.; VIEJO-BORBOLLA, A. </w:t>
      </w:r>
      <w:proofErr w:type="spellStart"/>
      <w:r>
        <w:rPr>
          <w:color w:val="000000"/>
        </w:rPr>
        <w:t>Pathogenesis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virulence</w:t>
      </w:r>
      <w:proofErr w:type="spellEnd"/>
      <w:r>
        <w:rPr>
          <w:color w:val="000000"/>
        </w:rPr>
        <w:t xml:space="preserve"> of herpes simplex </w:t>
      </w:r>
      <w:proofErr w:type="spellStart"/>
      <w:r>
        <w:rPr>
          <w:color w:val="000000"/>
        </w:rPr>
        <w:t>virus</w:t>
      </w:r>
      <w:proofErr w:type="spellEnd"/>
      <w:r>
        <w:rPr>
          <w:color w:val="000000"/>
        </w:rPr>
        <w:t xml:space="preserve">. </w:t>
      </w:r>
      <w:proofErr w:type="spellStart"/>
      <w:r>
        <w:rPr>
          <w:b/>
          <w:bCs/>
          <w:i/>
          <w:iCs/>
          <w:color w:val="000000"/>
        </w:rPr>
        <w:t>Virulence</w:t>
      </w:r>
      <w:proofErr w:type="spellEnd"/>
      <w:r>
        <w:rPr>
          <w:color w:val="000000"/>
        </w:rPr>
        <w:t>, v. 12, n. 1, p. 2670–2702, 1 jan. 2021.</w:t>
      </w:r>
    </w:p>
    <w:p w:rsidR="00542D81" w:rsidRDefault="00EA38D1">
      <w:pPr>
        <w:rPr>
          <w:sz w:val="24"/>
          <w:szCs w:val="24"/>
        </w:rPr>
      </w:pPr>
      <w:r>
        <w:rPr>
          <w:sz w:val="24"/>
          <w:szCs w:val="24"/>
        </w:rPr>
        <w:t xml:space="preserve">PEREIRA, Ana L.; SOUSA, Marcos R. </w:t>
      </w:r>
      <w:r>
        <w:rPr>
          <w:b/>
          <w:sz w:val="24"/>
          <w:szCs w:val="24"/>
        </w:rPr>
        <w:t>A importância da atividade física na saúde mental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Revista Brasileira de Educação Física e Esporte</w:t>
      </w:r>
      <w:r>
        <w:rPr>
          <w:sz w:val="24"/>
          <w:szCs w:val="24"/>
        </w:rPr>
        <w:t>, v. 34, n. 2, p. 123-135, 2021.</w:t>
      </w:r>
    </w:p>
    <w:p w:rsidR="00542D81" w:rsidRDefault="00542D81">
      <w:pPr>
        <w:rPr>
          <w:sz w:val="24"/>
          <w:szCs w:val="24"/>
        </w:rPr>
      </w:pPr>
    </w:p>
    <w:p w:rsidR="00542D81" w:rsidRDefault="00EA38D1">
      <w:pPr>
        <w:rPr>
          <w:sz w:val="24"/>
          <w:szCs w:val="24"/>
        </w:rPr>
      </w:pPr>
      <w:r>
        <w:rPr>
          <w:sz w:val="24"/>
          <w:szCs w:val="24"/>
        </w:rPr>
        <w:t xml:space="preserve">SILVA, João. </w:t>
      </w:r>
      <w:r>
        <w:rPr>
          <w:b/>
          <w:sz w:val="24"/>
          <w:szCs w:val="24"/>
        </w:rPr>
        <w:t>Educação e inclusão social: desafios do século XXI</w:t>
      </w:r>
      <w:r>
        <w:rPr>
          <w:sz w:val="24"/>
          <w:szCs w:val="24"/>
        </w:rPr>
        <w:t>. São Paulo: Editora Acadêmica, 2020.</w:t>
      </w:r>
    </w:p>
    <w:sectPr w:rsidR="00542D81" w:rsidSect="00B4102A">
      <w:pgSz w:w="11910" w:h="16845"/>
      <w:pgMar w:top="0" w:right="1122" w:bottom="1254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81"/>
    <w:rsid w:val="004962D9"/>
    <w:rsid w:val="00542D81"/>
    <w:rsid w:val="00562685"/>
    <w:rsid w:val="00B4102A"/>
    <w:rsid w:val="00CE1C9B"/>
    <w:rsid w:val="00D62AC5"/>
    <w:rsid w:val="00EA38D1"/>
    <w:rsid w:val="00F3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7F0A3-2770-48C6-973E-630BBA9C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4102A"/>
  </w:style>
  <w:style w:type="paragraph" w:styleId="Ttulo1">
    <w:name w:val="heading 1"/>
    <w:basedOn w:val="Normal"/>
    <w:next w:val="Normal"/>
    <w:rsid w:val="00B4102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B4102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B4102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B4102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B4102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B4102A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B410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B4102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B4102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B410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B4102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3346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Ha43prSc7peSVpH2SvXNhv/4iA==">CgMxLjA4AHIhMVlGX3F1NlBRZ0N4MDJOS0VIejh6b2hHYjk3UWhTWUJi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4408</Words>
  <Characters>23805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Mel</cp:lastModifiedBy>
  <cp:revision>3</cp:revision>
  <dcterms:created xsi:type="dcterms:W3CDTF">2025-04-13T17:38:00Z</dcterms:created>
  <dcterms:modified xsi:type="dcterms:W3CDTF">2025-04-19T01:53:00Z</dcterms:modified>
</cp:coreProperties>
</file>