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82F70">
      <w:pPr>
        <w:spacing w:before="120" w:after="120" w:line="336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3175</wp:posOffset>
            </wp:positionV>
            <wp:extent cx="7543800" cy="106699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0DE83">
      <w:pPr>
        <w:spacing w:before="120" w:after="120" w:line="336" w:lineRule="auto"/>
      </w:pPr>
    </w:p>
    <w:p w14:paraId="18C52720">
      <w:pPr>
        <w:spacing w:before="120" w:after="120" w:line="336" w:lineRule="auto"/>
      </w:pPr>
    </w:p>
    <w:p w14:paraId="5E7AC0CD">
      <w:pPr>
        <w:spacing w:before="120" w:after="120" w:line="336" w:lineRule="auto"/>
      </w:pPr>
    </w:p>
    <w:p w14:paraId="264371EF">
      <w:pPr>
        <w:spacing w:before="120" w:after="120" w:line="336" w:lineRule="auto"/>
      </w:pPr>
    </w:p>
    <w:p w14:paraId="0476A22A">
      <w:pPr>
        <w:spacing w:before="120" w:after="120" w:line="336" w:lineRule="auto"/>
      </w:pPr>
    </w:p>
    <w:p w14:paraId="5637CB8C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TRANSTORNO DO DÉFICT DE ATENÇÃO COM HIPERATIVIDADE (TDAH): ABORDAGENS DIAGNÓSTICAS E TERAPÊUTICAS.</w:t>
      </w:r>
    </w:p>
    <w:p w14:paraId="35888CB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Saúde Mental em Crianças.  </w:t>
      </w:r>
    </w:p>
    <w:p w14:paraId="528BB7BA">
      <w:pPr>
        <w:widowControl w:val="0"/>
        <w:rPr>
          <w:b/>
        </w:rPr>
      </w:pPr>
    </w:p>
    <w:p w14:paraId="55143396">
      <w:pPr>
        <w:widowControl w:val="0"/>
        <w:rPr>
          <w:b/>
        </w:rPr>
      </w:pPr>
      <w:r>
        <w:rPr>
          <w:b/>
        </w:rPr>
        <w:t>Maria Fernanda Viana Araújo</w:t>
      </w:r>
    </w:p>
    <w:p w14:paraId="030BD33E">
      <w:pPr>
        <w:widowControl w:val="0"/>
        <w:rPr>
          <w:bCs/>
          <w:sz w:val="16"/>
          <w:szCs w:val="16"/>
        </w:rPr>
      </w:pPr>
      <w:r>
        <w:rPr>
          <w:bCs/>
          <w:sz w:val="16"/>
          <w:szCs w:val="16"/>
        </w:rPr>
        <w:t>Graduanda em Enfermagem pelo Centro Universitário Planalto Do Distrito Federal, Maranhão.</w:t>
      </w:r>
    </w:p>
    <w:p w14:paraId="77B3AB84">
      <w:pPr>
        <w:ind w:right="142"/>
        <w:jc w:val="both"/>
        <w:rPr>
          <w:b/>
        </w:rPr>
      </w:pPr>
      <w:r>
        <w:rPr>
          <w:b/>
        </w:rPr>
        <w:t>Bárbara de Abreu Albuquerque</w:t>
      </w:r>
    </w:p>
    <w:p w14:paraId="42C7D76C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Universitário Facol, Pernambuco</w:t>
      </w:r>
    </w:p>
    <w:p w14:paraId="07A02D5E">
      <w:pPr>
        <w:ind w:right="142"/>
        <w:jc w:val="both"/>
        <w:rPr>
          <w:b/>
          <w:sz w:val="24"/>
          <w:szCs w:val="24"/>
        </w:rPr>
      </w:pPr>
      <w:r>
        <w:rPr>
          <w:b/>
        </w:rPr>
        <w:t>Pâmela da Silva</w:t>
      </w:r>
    </w:p>
    <w:p w14:paraId="26F92E8A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Universitário Univel, Paraná.</w:t>
      </w:r>
    </w:p>
    <w:p w14:paraId="407B313C">
      <w:pPr>
        <w:ind w:right="142"/>
        <w:jc w:val="both"/>
        <w:rPr>
          <w:b/>
          <w:sz w:val="24"/>
          <w:szCs w:val="24"/>
        </w:rPr>
      </w:pPr>
      <w:r>
        <w:rPr>
          <w:b/>
        </w:rPr>
        <w:t>Ellen Renata Gomes Silva</w:t>
      </w:r>
    </w:p>
    <w:p w14:paraId="511CA11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Graduada em enfermagem pela Universidade Federal de Pernambuco, Pernambuco.</w:t>
      </w:r>
    </w:p>
    <w:p w14:paraId="525DB8F7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Tais Rodrigues Nogueira </w:t>
      </w:r>
    </w:p>
    <w:p w14:paraId="708DB6F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universitário Nilton Lins, Amazonas.</w:t>
      </w:r>
    </w:p>
    <w:p w14:paraId="07B21142">
      <w:pPr>
        <w:ind w:right="142"/>
        <w:jc w:val="both"/>
        <w:rPr>
          <w:b/>
          <w:sz w:val="24"/>
          <w:szCs w:val="24"/>
        </w:rPr>
      </w:pPr>
      <w:r>
        <w:rPr>
          <w:b/>
        </w:rPr>
        <w:t>Clériston Santana Pinheiro</w:t>
      </w:r>
    </w:p>
    <w:p w14:paraId="554CC281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Bacharelado Interdisciplinar em Saúde com ênfase em Medicina pela Universidade Federal do Recôncavo da Bahia, Bahia.</w:t>
      </w:r>
    </w:p>
    <w:p w14:paraId="7CCEAB2C">
      <w:pPr>
        <w:ind w:right="142"/>
        <w:jc w:val="both"/>
        <w:rPr>
          <w:b/>
          <w:sz w:val="24"/>
          <w:szCs w:val="24"/>
        </w:rPr>
      </w:pPr>
      <w:r>
        <w:rPr>
          <w:b/>
        </w:rPr>
        <w:t>Mariana Luiza Ferreira de Oliveira</w:t>
      </w:r>
    </w:p>
    <w:p w14:paraId="1F89AECC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Medicina pela Universidade de Rio Verde, Campus Goianésia, Góias.</w:t>
      </w:r>
    </w:p>
    <w:p w14:paraId="00038CAC">
      <w:pPr>
        <w:ind w:right="142"/>
        <w:jc w:val="both"/>
        <w:rPr>
          <w:b/>
          <w:sz w:val="24"/>
          <w:szCs w:val="24"/>
        </w:rPr>
      </w:pPr>
      <w:r>
        <w:rPr>
          <w:b/>
        </w:rPr>
        <w:t>Bruna Rodrigues Martins de Jesus</w:t>
      </w:r>
    </w:p>
    <w:p w14:paraId="23385DAE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Enfermeira, Especialista em Gestão da Qualidade, Docência e Saúde Pública pela UNIFOZ, Maranhão.</w:t>
      </w:r>
    </w:p>
    <w:p w14:paraId="446EA2B8">
      <w:pPr>
        <w:ind w:left="-141" w:right="142"/>
        <w:jc w:val="both"/>
        <w:rPr>
          <w:b/>
          <w:sz w:val="22"/>
          <w:szCs w:val="22"/>
        </w:rPr>
      </w:pPr>
    </w:p>
    <w:p w14:paraId="63655195">
      <w:pPr>
        <w:spacing w:before="120"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E-mail do autor: </w:t>
      </w:r>
      <w:r>
        <w:fldChar w:fldCharType="begin"/>
      </w:r>
      <w:r>
        <w:instrText xml:space="preserve"> HYPERLINK "mailto:marynanda25d01@gmail.com" </w:instrText>
      </w:r>
      <w:r>
        <w:fldChar w:fldCharType="separate"/>
      </w:r>
      <w:r>
        <w:rPr>
          <w:rStyle w:val="13"/>
          <w:bCs/>
          <w:color w:val="auto"/>
          <w:sz w:val="24"/>
          <w:szCs w:val="24"/>
          <w:u w:val="none"/>
        </w:rPr>
        <w:t>marynanda25d01@gmail.com</w:t>
      </w:r>
      <w:r>
        <w:rPr>
          <w:rStyle w:val="13"/>
          <w:bCs/>
          <w:color w:val="auto"/>
          <w:sz w:val="24"/>
          <w:szCs w:val="24"/>
          <w:u w:val="none"/>
        </w:rPr>
        <w:fldChar w:fldCharType="end"/>
      </w:r>
    </w:p>
    <w:p w14:paraId="40F7B678">
      <w:pPr>
        <w:spacing w:beforeAutospacing="1" w:afterAutospacing="1"/>
        <w:jc w:val="both"/>
        <w:rPr>
          <w:rFonts w:hint="default" w:eastAsia="sans-serif"/>
          <w:sz w:val="24"/>
          <w:szCs w:val="24"/>
          <w:shd w:val="clear" w:color="auto" w:fill="FFFFFF"/>
          <w:lang w:val="pt-BR"/>
        </w:rPr>
      </w:pPr>
      <w:r>
        <w:rPr>
          <w:rFonts w:eastAsia="sans-serif"/>
          <w:b/>
          <w:bCs/>
          <w:sz w:val="24"/>
          <w:szCs w:val="24"/>
          <w:highlight w:val="none"/>
          <w:shd w:val="clear" w:color="auto" w:fill="FFFFFF"/>
        </w:rPr>
        <w:t>Introdução:</w:t>
      </w:r>
      <w:r>
        <w:rPr>
          <w:rFonts w:hint="default" w:eastAsia="sans-serif"/>
          <w:b/>
          <w:bCs/>
          <w:sz w:val="24"/>
          <w:szCs w:val="24"/>
          <w:highlight w:val="none"/>
          <w:shd w:val="clear" w:color="auto" w:fill="FFFFFF"/>
          <w:lang w:val="pt-BR"/>
        </w:rPr>
        <w:t xml:space="preserve"> 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</w:rPr>
        <w:t>O Transtorno do Déficit de Atenção com Hiperatividade (TDAH) é uma condição neuropsiquiátrica prevalente na infância, caracterizada por um padrão persistente de desatenção, hiperatividade e impulsividade que interfere no funcionamento ou desenvolvimento do indivíduo. A prevalência do TDAH tem aumentado nas últimas décadas, refletindo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</w:rPr>
        <w:t>uma maior conscientização sobre o transtorno, a evolução das definições diagnósticas e dos critérios utilizados para sua identificação. Uma característica fundamental do TDAH é sua heterogeneidade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  <w:lang w:val="pt-BR"/>
        </w:rPr>
        <w:t>.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</w:rPr>
        <w:t xml:space="preserve"> No contexto do diagnóstico, a utilização de escalas de avaliação padronizadas é </w:t>
      </w:r>
      <w:bookmarkStart w:id="0" w:name="_GoBack"/>
      <w:bookmarkEnd w:id="0"/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</w:rPr>
        <w:t>essencial para a identificação precisa do TDAH. Exemplos comuns dessas ferramentas incluem a SNAP-IV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</w:rPr>
        <w:t>e a Escala de Conners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  <w:lang w:val="pt-BR"/>
        </w:rPr>
        <w:t>.</w:t>
      </w:r>
      <w:r>
        <w:rPr>
          <w:rFonts w:hint="default" w:eastAsia="sans-serif"/>
          <w:b/>
          <w:bCs/>
          <w:sz w:val="24"/>
          <w:szCs w:val="24"/>
          <w:shd w:val="clear" w:color="auto" w:fill="FFFFFF"/>
          <w:lang w:val="pt-BR"/>
        </w:rPr>
        <w:t xml:space="preserve"> Objetivo: </w:t>
      </w:r>
      <w:r>
        <w:rPr>
          <w:rFonts w:hint="default" w:eastAsia="sans-serif"/>
          <w:b w:val="0"/>
          <w:bCs w:val="0"/>
          <w:sz w:val="24"/>
          <w:szCs w:val="24"/>
          <w:shd w:val="clear" w:color="auto" w:fill="FFFFFF"/>
          <w:lang w:val="pt-BR"/>
        </w:rPr>
        <w:t>Revisar as principais abordagens diagnósticas e terapêuticas do TDAH é o que este trabalho visa, destacando a importância de um diagnóstico preciso e de intervenções adequadas para melhorar a qualidade de vida dos indivíduos afetados.</w:t>
      </w:r>
      <w:r>
        <w:rPr>
          <w:rFonts w:hint="default" w:eastAsia="sans-serif"/>
          <w:b/>
          <w:bCs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eastAsia="sans-serif"/>
          <w:b/>
          <w:bCs/>
          <w:sz w:val="24"/>
          <w:szCs w:val="24"/>
          <w:shd w:val="clear" w:color="auto" w:fill="FFFFFF"/>
        </w:rPr>
        <w:t>Metodologia:</w:t>
      </w:r>
      <w:r>
        <w:rPr>
          <w:rFonts w:eastAsia="sans-serif"/>
          <w:sz w:val="24"/>
          <w:szCs w:val="24"/>
          <w:shd w:val="clear" w:color="auto" w:fill="FFFFFF"/>
        </w:rPr>
        <w:t xml:space="preserve"> Foi realizada uma revisão da literatura em bases de dados como PubMed, Scielo e Google Scholar, utilizando palavras-chave como "TDAH", "diagnóstico" e "tratamento". Foram selecionados 7 artigos publicados nos últimos dez anos que abordam as diretrizes diagnósticas e as opções terapêuticas disponíveis. Dos critérios de exclusão, o principal foram artigos antigos, com mais de 10 anos de publicação. Já dos critérios de inclusão, foram utilizados artigos que tivessem fundamentos científicos claros e confiáveis para a análise.</w:t>
      </w:r>
      <w:r>
        <w:rPr>
          <w:rFonts w:eastAsia="sans-serif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eastAsia="sans-serif"/>
          <w:b/>
          <w:bCs/>
          <w:sz w:val="24"/>
          <w:szCs w:val="24"/>
          <w:highlight w:val="none"/>
          <w:shd w:val="clear" w:color="auto" w:fill="FFFFFF"/>
        </w:rPr>
        <w:t>Resultados e Discussões:</w:t>
      </w:r>
      <w:r>
        <w:rPr>
          <w:rFonts w:eastAsia="sans-serif"/>
          <w:sz w:val="24"/>
          <w:szCs w:val="24"/>
          <w:shd w:val="clear" w:color="auto" w:fill="FFFFFF"/>
        </w:rPr>
        <w:t> A avaliação do TDAH deve incluir entrevistas clínicas, escalas de avaliação padronizadas e observações comportamentais. As diretrizes atuais enfatizam a importância de um diagnóstico multidimensional. As opções terapêuticas incluem intervenções psicossociais, como terapia cognitivo-comportamental, e farmacológicas, sendo os estimulantes (como metilfenidato e anfetaminas) os mais utilizados. Estudos demonstram que a combinação de terapia comportamental e medicação pode ser mais eficaz do que qualquer abordagem isolada. No entanto, ainda existem desafios relacionados</w:t>
      </w:r>
      <w:r>
        <w:rPr>
          <w:rFonts w:hint="default" w:eastAsia="sans-serif"/>
          <w:sz w:val="24"/>
          <w:szCs w:val="24"/>
          <w:shd w:val="clear" w:color="auto" w:fill="FFFFFF"/>
          <w:lang w:val="pt-BR"/>
        </w:rPr>
        <w:t>, como a</w:t>
      </w:r>
      <w:r>
        <w:rPr>
          <w:rFonts w:eastAsia="sans-serif"/>
          <w:sz w:val="24"/>
          <w:szCs w:val="24"/>
          <w:shd w:val="clear" w:color="auto" w:fill="FFFFFF"/>
        </w:rPr>
        <w:t xml:space="preserve"> falta de formação adequada de profissionais</w:t>
      </w:r>
      <w:r>
        <w:rPr>
          <w:rFonts w:hint="default" w:eastAsia="sans-serif"/>
          <w:sz w:val="24"/>
          <w:szCs w:val="24"/>
          <w:shd w:val="clear" w:color="auto" w:fill="FFFFFF"/>
          <w:lang w:val="pt-BR"/>
        </w:rPr>
        <w:t>,</w:t>
      </w:r>
      <w:r>
        <w:rPr>
          <w:rFonts w:hint="default" w:ascii="Times New Roman" w:hAnsi="Times New Roman" w:eastAsia="sans-serif" w:cs="Times New Roman"/>
          <w:color w:val="auto"/>
          <w:sz w:val="24"/>
          <w:szCs w:val="24"/>
          <w:shd w:val="clear" w:color="auto" w:fill="FFFFFF"/>
          <w:lang w:val="pt-BR"/>
        </w:rPr>
        <w:t xml:space="preserve"> pois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p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rofissionais mal informados podem subestimar a gravidade dos sintomas ou confundir o TDAH com outras condições, resultando em diagnósticos errôneos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.</w:t>
      </w:r>
      <w:r>
        <w:rPr>
          <w:rFonts w:eastAsia="sans-serif"/>
          <w:sz w:val="24"/>
          <w:szCs w:val="24"/>
          <w:shd w:val="clear" w:color="auto" w:fill="FFFFFF"/>
        </w:rPr>
        <w:t xml:space="preserve"> </w:t>
      </w:r>
      <w:r>
        <w:rPr>
          <w:rFonts w:hint="default" w:eastAsia="sans-serif"/>
          <w:sz w:val="24"/>
          <w:szCs w:val="24"/>
          <w:shd w:val="clear" w:color="auto" w:fill="FFFFFF"/>
          <w:lang w:val="pt-BR"/>
        </w:rPr>
        <w:t>Outro e</w:t>
      </w:r>
      <w:r>
        <w:rPr>
          <w:rFonts w:eastAsia="sans-serif"/>
          <w:sz w:val="24"/>
          <w:szCs w:val="24"/>
          <w:shd w:val="clear" w:color="auto" w:fill="FFFFFF"/>
        </w:rPr>
        <w:t>xemplo deste</w:t>
      </w:r>
      <w:r>
        <w:rPr>
          <w:rFonts w:hint="default" w:eastAsia="sans-serif"/>
          <w:sz w:val="24"/>
          <w:szCs w:val="24"/>
          <w:shd w:val="clear" w:color="auto" w:fill="FFFFFF"/>
          <w:lang w:val="pt-BR"/>
        </w:rPr>
        <w:t>s</w:t>
      </w:r>
      <w:r>
        <w:rPr>
          <w:rFonts w:eastAsia="sans-serif"/>
          <w:sz w:val="24"/>
          <w:szCs w:val="24"/>
          <w:shd w:val="clear" w:color="auto" w:fill="FFFFFF"/>
        </w:rPr>
        <w:t xml:space="preserve"> desafios </w:t>
      </w:r>
      <w:r>
        <w:rPr>
          <w:rFonts w:hint="default" w:eastAsia="sans-serif"/>
          <w:sz w:val="24"/>
          <w:szCs w:val="24"/>
          <w:shd w:val="clear" w:color="auto" w:fill="FFFFFF"/>
          <w:lang w:val="pt-BR"/>
        </w:rPr>
        <w:t>é</w:t>
      </w:r>
      <w:r>
        <w:rPr>
          <w:rFonts w:eastAsia="sans-serif"/>
          <w:sz w:val="24"/>
          <w:szCs w:val="24"/>
          <w:shd w:val="clear" w:color="auto" w:fill="FFFFFF"/>
        </w:rPr>
        <w:t xml:space="preserve"> a e</w:t>
      </w:r>
      <w:r>
        <w:rPr>
          <w:rStyle w:val="10"/>
          <w:rFonts w:eastAsia="sans-serif"/>
          <w:b w:val="0"/>
          <w:bCs w:val="0"/>
          <w:sz w:val="24"/>
          <w:szCs w:val="24"/>
          <w:shd w:val="clear" w:color="auto" w:fill="FFFFFF"/>
        </w:rPr>
        <w:t>stigmatização social de que</w:t>
      </w:r>
      <w:r>
        <w:rPr>
          <w:rFonts w:eastAsia="sans-serif"/>
          <w:sz w:val="24"/>
          <w:szCs w:val="24"/>
          <w:shd w:val="clear" w:color="auto" w:fill="FFFFFF"/>
        </w:rPr>
        <w:t> crianças com TDAH podem ser rotuladas como "desobedientes" ou "preguiçosas", de modo a perpetuar preconceitos por parte de colegas e adultos</w:t>
      </w:r>
      <w:r>
        <w:rPr>
          <w:rFonts w:hint="default" w:eastAsia="sans-serif"/>
          <w:sz w:val="24"/>
          <w:szCs w:val="24"/>
          <w:shd w:val="clear" w:color="auto" w:fill="FFFFFF"/>
          <w:lang w:val="pt-BR"/>
        </w:rPr>
        <w:t>.</w:t>
      </w:r>
      <w:r>
        <w:rPr>
          <w:rFonts w:hint="default" w:eastAsia="sans-serif"/>
          <w:sz w:val="24"/>
          <w:szCs w:val="24"/>
          <w:highlight w:val="none"/>
          <w:shd w:val="clear" w:color="auto" w:fill="FFFFFF"/>
          <w:lang w:val="pt-BR"/>
        </w:rPr>
        <w:t xml:space="preserve"> </w:t>
      </w:r>
      <w:r>
        <w:rPr>
          <w:rFonts w:eastAsia="sans-serif"/>
          <w:b/>
          <w:bCs/>
          <w:sz w:val="24"/>
          <w:szCs w:val="24"/>
          <w:highlight w:val="none"/>
          <w:shd w:val="clear" w:color="auto" w:fill="FFFFFF"/>
        </w:rPr>
        <w:t>Considerações Finais:</w:t>
      </w:r>
      <w:r>
        <w:rPr>
          <w:rFonts w:eastAsia="sans-serif"/>
          <w:sz w:val="24"/>
          <w:szCs w:val="24"/>
          <w:highlight w:val="none"/>
          <w:shd w:val="clear" w:color="auto" w:fill="FFFFFF"/>
        </w:rPr>
        <w:t> </w:t>
      </w:r>
      <w:r>
        <w:rPr>
          <w:rFonts w:hint="default" w:eastAsia="sans-serif"/>
          <w:sz w:val="24"/>
          <w:szCs w:val="24"/>
          <w:shd w:val="clear" w:color="auto" w:fill="FFFFFF"/>
        </w:rPr>
        <w:t>A abordagem integrada e personalizada para o diagnóstico e tratamento do Transtorno do Déficit de Atenção com Hiperatividade (TDAH) é crucial para otimizar os resultados clínicos e sociais das crianças afetadas, superando desafios como o estigma social e a variabilidade diagnóstica. A colaboração entre profissionais de saúde, educadores e famílias promove uma compreensão mais profunda da condição, reduzindo preconceitos e criando um ambiente acolhedor. Além disso, a personalização do tratamento, considerando as características individuais de cada paciente e utilizando escalas de avaliação padronizadas, permite intervenções ajustadas às necessidades específicas da criança.</w:t>
      </w:r>
    </w:p>
    <w:p w14:paraId="7A1FDE4D">
      <w:pPr>
        <w:pStyle w:val="16"/>
        <w:shd w:val="clear" w:color="auto" w:fill="FFFFFF"/>
        <w:jc w:val="both"/>
        <w:rPr>
          <w:rFonts w:eastAsia="sans-serif"/>
          <w:b/>
          <w:bCs/>
          <w:sz w:val="24"/>
          <w:shd w:val="clear" w:color="auto" w:fill="FFFFFF"/>
          <w:lang w:val="pt-BR"/>
        </w:rPr>
      </w:pPr>
      <w:r>
        <w:rPr>
          <w:rFonts w:eastAsia="sans-serif"/>
          <w:b/>
          <w:bCs/>
          <w:sz w:val="24"/>
          <w:shd w:val="clear" w:color="auto" w:fill="FFFFFF"/>
          <w:lang w:val="pt-BR"/>
        </w:rPr>
        <w:t xml:space="preserve">Palavras-Chave: </w:t>
      </w:r>
      <w:r>
        <w:rPr>
          <w:rFonts w:eastAsia="sans-serif"/>
          <w:sz w:val="24"/>
          <w:shd w:val="clear" w:color="auto" w:fill="FFFFFF"/>
          <w:lang w:val="pt-BR"/>
        </w:rPr>
        <w:t>Conscientização; Diagnóstico; Terapêutica; Transtorno do Déficit de Atenção com Hiperatividade.</w:t>
      </w:r>
    </w:p>
    <w:p w14:paraId="33A01F78">
      <w:pPr>
        <w:pStyle w:val="16"/>
        <w:shd w:val="clear" w:color="auto" w:fill="FFFFFF"/>
        <w:jc w:val="both"/>
        <w:rPr>
          <w:rFonts w:eastAsia="sans-serif"/>
          <w:sz w:val="24"/>
        </w:rPr>
      </w:pPr>
      <w:r>
        <w:rPr>
          <w:rStyle w:val="10"/>
          <w:rFonts w:eastAsia="sans-serif"/>
          <w:sz w:val="24"/>
          <w:shd w:val="clear" w:color="auto" w:fill="FFFFFF"/>
        </w:rPr>
        <w:t>Referências:</w:t>
      </w:r>
    </w:p>
    <w:p w14:paraId="20E3FCDD">
      <w:pPr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American Psychiatric Association. (2013). </w:t>
      </w:r>
      <w:r>
        <w:rPr>
          <w:rStyle w:val="12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Diagnostic and Statistical Manual of Mental Disorders</w:t>
      </w:r>
      <w:r>
        <w:rPr>
          <w:rFonts w:eastAsia="sans-serif"/>
          <w:sz w:val="24"/>
          <w:szCs w:val="24"/>
          <w:shd w:val="clear" w:color="auto" w:fill="FFFFFF"/>
        </w:rPr>
        <w:t> (5ª ed.). Arlington, VA: Author.</w:t>
      </w:r>
    </w:p>
    <w:p w14:paraId="65685B96">
      <w:pPr>
        <w:spacing w:beforeAutospacing="1" w:afterAutospacing="1"/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Silva, A. G., &amp; Lima, L. R. (2020). Transtorno do déficit de atenção com hiperatividade: uma revisão sobre diagnóstico e tratamento. </w:t>
      </w:r>
      <w:r>
        <w:rPr>
          <w:rStyle w:val="12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Revista Brasileira de Terapias Cognitivas</w:t>
      </w:r>
      <w:r>
        <w:rPr>
          <w:rFonts w:eastAsia="sans-serif"/>
          <w:sz w:val="24"/>
          <w:szCs w:val="24"/>
          <w:shd w:val="clear" w:color="auto" w:fill="FFFFFF"/>
        </w:rPr>
        <w:t>, 16(1), 45-52.</w:t>
      </w:r>
    </w:p>
    <w:p w14:paraId="6F8E7742">
      <w:pPr>
        <w:spacing w:beforeAutospacing="1" w:afterAutospacing="1"/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Pires, M. M., &amp; Almeida, R. M. (2019). Eficácia do tratamento combinado no TDAH: uma revisão sistemática. </w:t>
      </w:r>
      <w:r>
        <w:rPr>
          <w:rStyle w:val="12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Jornal Brasileiro de Psiquiatria</w:t>
      </w:r>
      <w:r>
        <w:rPr>
          <w:rFonts w:eastAsia="sans-serif"/>
          <w:sz w:val="24"/>
          <w:szCs w:val="24"/>
          <w:shd w:val="clear" w:color="auto" w:fill="FFFFFF"/>
        </w:rPr>
        <w:t>, 68(4), 215-222.</w:t>
      </w:r>
    </w:p>
    <w:p w14:paraId="47822326">
      <w:pPr>
        <w:spacing w:beforeAutospacing="1" w:afterAutospacing="1"/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Santos, J. A., &amp; Ferreira, C. S. (2021). </w:t>
      </w:r>
      <w:r>
        <w:rPr>
          <w:rFonts w:eastAsia="sans-serif"/>
          <w:b/>
          <w:bCs/>
          <w:sz w:val="24"/>
          <w:szCs w:val="24"/>
          <w:shd w:val="clear" w:color="auto" w:fill="FFFFFF"/>
        </w:rPr>
        <w:t>Abordagens terapêuticas no TDAH: uma análise crítica. </w:t>
      </w:r>
      <w:r>
        <w:rPr>
          <w:rStyle w:val="12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Psicologia em Estudo</w:t>
      </w:r>
      <w:r>
        <w:rPr>
          <w:rFonts w:eastAsia="sans-serif"/>
          <w:sz w:val="24"/>
          <w:szCs w:val="24"/>
          <w:shd w:val="clear" w:color="auto" w:fill="FFFFFF"/>
        </w:rPr>
        <w:t>, 26(2), 345-356.</w:t>
      </w:r>
    </w:p>
    <w:p w14:paraId="668B5287">
      <w:pPr>
        <w:spacing w:beforeAutospacing="1" w:afterAutospacing="1"/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Oliveira, D. C., &amp; Costa, A. M. (2018). O papel da família no manejo do TDAH: implicações para a prática clínica.</w:t>
      </w:r>
      <w:r>
        <w:rPr>
          <w:rFonts w:eastAsia="sans-serif"/>
          <w:b/>
          <w:bCs/>
          <w:sz w:val="24"/>
          <w:szCs w:val="24"/>
          <w:shd w:val="clear" w:color="auto" w:fill="FFFFFF"/>
        </w:rPr>
        <w:t> </w:t>
      </w:r>
      <w:r>
        <w:rPr>
          <w:rStyle w:val="12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Revista de Saúde Pública</w:t>
      </w:r>
      <w:r>
        <w:rPr>
          <w:rFonts w:eastAsia="sans-serif"/>
          <w:sz w:val="24"/>
          <w:szCs w:val="24"/>
          <w:shd w:val="clear" w:color="auto" w:fill="FFFFFF"/>
        </w:rPr>
        <w:t>, 52, 1-10.</w:t>
      </w:r>
    </w:p>
    <w:p w14:paraId="09E9EA33">
      <w:pPr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American Psychiatric Association. Diagnostic and Statistical Manual of Mental Disorders (5th ed.). Arlington, </w:t>
      </w:r>
      <w:r>
        <w:rPr>
          <w:b/>
          <w:bCs/>
          <w:sz w:val="24"/>
          <w:szCs w:val="24"/>
        </w:rPr>
        <w:t>VA: American Psychiatric Association</w:t>
      </w:r>
      <w:r>
        <w:rPr>
          <w:sz w:val="24"/>
          <w:szCs w:val="24"/>
        </w:rPr>
        <w:t>; 2013.</w:t>
      </w:r>
    </w:p>
    <w:p w14:paraId="6DCA623E">
      <w:pPr>
        <w:spacing w:beforeAutospacing="1" w:afterAutospacing="1"/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Oliveira, D. C., &amp; Costa, A. M. (2018). O papel da família no manejo do TDAH: implicações para a prática clínica. </w:t>
      </w:r>
      <w:r>
        <w:rPr>
          <w:rStyle w:val="12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Revista de Saúde Pública</w:t>
      </w:r>
      <w:r>
        <w:rPr>
          <w:rFonts w:eastAsia="sans-serif"/>
          <w:sz w:val="24"/>
          <w:szCs w:val="24"/>
          <w:shd w:val="clear" w:color="auto" w:fill="FFFFFF"/>
        </w:rPr>
        <w:t>, 52, 1-10.</w:t>
      </w:r>
    </w:p>
    <w:p w14:paraId="0827DBD0">
      <w:pPr>
        <w:spacing w:beforeAutospacing="1" w:afterAutospacing="1"/>
        <w:jc w:val="both"/>
        <w:rPr>
          <w:sz w:val="24"/>
          <w:szCs w:val="24"/>
        </w:rPr>
      </w:pPr>
    </w:p>
    <w:sectPr>
      <w:pgSz w:w="11910" w:h="16845"/>
      <w:pgMar w:top="0" w:right="1122" w:bottom="0" w:left="1440" w:header="360" w:footer="3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96"/>
    <w:rsid w:val="004A26B8"/>
    <w:rsid w:val="00571796"/>
    <w:rsid w:val="00B70DF7"/>
    <w:rsid w:val="05762513"/>
    <w:rsid w:val="20740761"/>
    <w:rsid w:val="25DC2186"/>
    <w:rsid w:val="27AE07B2"/>
    <w:rsid w:val="2D0C2A01"/>
    <w:rsid w:val="2E951D1B"/>
    <w:rsid w:val="4D9B0602"/>
    <w:rsid w:val="51815AD1"/>
    <w:rsid w:val="739142CF"/>
    <w:rsid w:val="7D6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annotation reference"/>
    <w:basedOn w:val="8"/>
    <w:qFormat/>
    <w:uiPriority w:val="0"/>
    <w:rPr>
      <w:sz w:val="16"/>
      <w:szCs w:val="16"/>
    </w:rPr>
  </w:style>
  <w:style w:type="character" w:styleId="12">
    <w:name w:val="Emphasis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0000FF"/>
      <w:u w:val="single"/>
    </w:rPr>
  </w:style>
  <w:style w:type="paragraph" w:styleId="14">
    <w:name w:val="annotation text"/>
    <w:basedOn w:val="1"/>
    <w:link w:val="20"/>
    <w:qFormat/>
    <w:uiPriority w:val="0"/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7">
    <w:name w:val="annotation subject"/>
    <w:basedOn w:val="14"/>
    <w:next w:val="14"/>
    <w:link w:val="21"/>
    <w:qFormat/>
    <w:uiPriority w:val="0"/>
    <w:rPr>
      <w:b/>
      <w:bCs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Texto de comentário Char"/>
    <w:basedOn w:val="8"/>
    <w:link w:val="14"/>
    <w:qFormat/>
    <w:uiPriority w:val="0"/>
  </w:style>
  <w:style w:type="character" w:customStyle="1" w:styleId="21">
    <w:name w:val="Assunto do comentário Char"/>
    <w:basedOn w:val="20"/>
    <w:link w:val="1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853</Words>
  <Characters>4610</Characters>
  <Lines>38</Lines>
  <Paragraphs>10</Paragraphs>
  <TotalTime>274</TotalTime>
  <ScaleCrop>false</ScaleCrop>
  <LinksUpToDate>false</LinksUpToDate>
  <CharactersWithSpaces>5453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  <cp:lastModifiedBy>Maria Fernanda</cp:lastModifiedBy>
  <dcterms:modified xsi:type="dcterms:W3CDTF">2025-04-13T00:41:42Z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60FFE054548B45079D4EEC124A871E78_13</vt:lpwstr>
  </property>
</Properties>
</file>