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E6A3" w14:textId="59AE2EB0" w:rsidR="00AB2982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66EC2" w:rsidRPr="00E66EC2">
        <w:rPr>
          <w:rFonts w:ascii="Times New Roman" w:eastAsia="Times New Roman" w:hAnsi="Times New Roman" w:cs="Times New Roman"/>
          <w:b/>
          <w:sz w:val="28"/>
          <w:szCs w:val="28"/>
        </w:rPr>
        <w:t>ASSOCIAÇÃO ENTRE POLIMORFISMOS GENÉTICOS E PERIODONTITE AGRESSIVA</w:t>
      </w:r>
    </w:p>
    <w:p w14:paraId="399AF69F" w14:textId="77777777" w:rsidR="00AB2982" w:rsidRDefault="00AB2982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F59C2" w14:textId="4C4D443A" w:rsidR="00AB2982" w:rsidRDefault="00E66EC2" w:rsidP="00E66EC2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 w:rsidRPr="00E66EC2">
        <w:rPr>
          <w:rFonts w:ascii="Times New Roman" w:eastAsia="Times New Roman" w:hAnsi="Times New Roman" w:cs="Times New Roman"/>
        </w:rPr>
        <w:t>Maria Beatriz Jeronimo Bezerra Ataíde Silva¹; Raquel Egito da Mota²; Maria Laura de Oliveira Silva²; Alícia Maria Diniz Cavalcanti²; Raimundo Rômulo Martins Júnior³</w:t>
      </w:r>
      <w:r>
        <w:rPr>
          <w:rFonts w:ascii="Times New Roman" w:eastAsia="Times New Roman" w:hAnsi="Times New Roman" w:cs="Times New Roman"/>
        </w:rPr>
        <w:t>.</w:t>
      </w:r>
    </w:p>
    <w:p w14:paraId="1A91848A" w14:textId="77777777" w:rsidR="00E66EC2" w:rsidRDefault="00E66EC2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303199A" w14:textId="77777777" w:rsidR="00AB2982" w:rsidRDefault="00000000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Maurício de Nassau - UNINASSAU Graças, Recife, Pernambuco;</w:t>
      </w:r>
    </w:p>
    <w:p w14:paraId="08FA16A5" w14:textId="77777777" w:rsidR="00AB2982" w:rsidRDefault="00000000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Centro Universitário Maurício de Nassau - UNINASSAU Graças, Recife, Pernambuco;</w:t>
      </w:r>
    </w:p>
    <w:p w14:paraId="7D43686B" w14:textId="4005C173" w:rsidR="00AB2982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E66EC2">
        <w:rPr>
          <w:rFonts w:ascii="Times New Roman" w:eastAsia="Times New Roman" w:hAnsi="Times New Roman" w:cs="Times New Roman"/>
        </w:rPr>
        <w:t>Centro Universitário Maurício de Nassau - UNINASSAU Graças, Recife, Pernambuco</w:t>
      </w:r>
      <w:r>
        <w:rPr>
          <w:rFonts w:ascii="Times New Roman" w:eastAsia="Times New Roman" w:hAnsi="Times New Roman" w:cs="Times New Roman"/>
        </w:rPr>
        <w:t>.</w:t>
      </w:r>
    </w:p>
    <w:p w14:paraId="1E09BEB8" w14:textId="77777777" w:rsidR="00AB2982" w:rsidRDefault="00AB2982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76E65768" w14:textId="7E882336" w:rsidR="00AB2982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E66EC2" w:rsidRPr="00E66EC2">
        <w:rPr>
          <w:rFonts w:ascii="Times New Roman" w:eastAsia="Times New Roman" w:hAnsi="Times New Roman" w:cs="Times New Roman"/>
          <w:u w:val="single"/>
        </w:rPr>
        <w:t>beatriz.mbj@gmail.com</w:t>
      </w:r>
    </w:p>
    <w:p w14:paraId="7DB42451" w14:textId="77777777" w:rsidR="00AB2982" w:rsidRDefault="00AB2982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2E23B3B" w14:textId="77777777" w:rsidR="00AB2982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3C06E707" w14:textId="7FD3626F" w:rsidR="00AB2982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A periodontite é uma doença inflamatória crônica que compromete os tecidos de suporte dos dentes, podendo levar à reabsorção óssea e à perda dentária se não for tratada. Dentre suas classificações, destaca-se a periodontite agressiva, caracterizada por rápida progressão e acometendo jovens saudáveis, sem fatores sistêmicos de risco evidentes. A etiologia envolve fatores genéticos, microbiológicos e imunológicos, sendo o biofilme bacteriano patogênico, com espécies como Porphyromonas gingivalis, Tannerella forsythia e Treponema denticola, o principal agente da doença. Polimorfismos de nucleotídeo único (SNPs) influenciam a resposta inflamatória e a destruição óssea, aumentando a suscetibilidade à periodontite agressiva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Revisar a associação entre polimorfismos genéticos e periodontite agressiva, identificando os principais genes envolvidos e seu impacto na predisposição à doença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Foi realizada uma pesquisa em bases como Google Acadêmico, PubMed e Scielo utilizando os seguintes descritores: Periodontite Agressiva e Polimorfismo Genético, selecionando estudos entre 2010 à 2022 que abordam a influência de SNPs em genes da resposta inflamatória e do metabolismo ósseo na periodontite agressiva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Genes como IL-1, IL-6, TNF-α e FCGR2A estão associados a uma resposta inflamatória exacerbada na periodontite agressiva. Além disso, genes envolvidos na reabsorção óssea, como RANK, RANKL e OPG, podem influenciar a severidade da destruição periodontal. A interação entre fatores genéticos e ambientais potencializa a progressão da doença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 xml:space="preserve">Polimorfismos genéticos desempenham um papel importante na predisposição à periodontite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lastRenderedPageBreak/>
        <w:t>agressiva, mas sua manifestação depende de fatores ambientais e imunológicos. A identificação desses marcadores genéticos pode auxiliar no diagnóstico precoce e em terapias personalizadas. Mais estudos são necessários para aprofundar o entendimento dessa relação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D9D1E8" w14:textId="77777777" w:rsidR="00AB2982" w:rsidRDefault="00AB2982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6A460" w14:textId="22164CC9" w:rsidR="00AB2982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Polimorfismos</w:t>
      </w:r>
      <w:r w:rsidR="00E66EC2">
        <w:rPr>
          <w:rFonts w:ascii="Times New Roman" w:eastAsia="Times New Roman" w:hAnsi="Times New Roman" w:cs="Times New Roman"/>
          <w:sz w:val="24"/>
          <w:szCs w:val="24"/>
        </w:rPr>
        <w:t xml:space="preserve"> genéticos. Periodontite agressiva.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Suscetibilidade genética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CAA5A" w14:textId="77777777" w:rsidR="00AB2982" w:rsidRDefault="00AB2982">
      <w:pPr>
        <w:spacing w:line="36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3250105E" w14:textId="3A4E236E" w:rsidR="00AB2982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EC2">
        <w:rPr>
          <w:rFonts w:ascii="Times New Roman" w:eastAsia="Times New Roman" w:hAnsi="Times New Roman" w:cs="Times New Roman"/>
          <w:sz w:val="24"/>
          <w:szCs w:val="24"/>
        </w:rPr>
        <w:t xml:space="preserve">Eixo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E66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EC2" w:rsidRPr="00E66EC2">
        <w:rPr>
          <w:rFonts w:ascii="Times New Roman" w:eastAsia="Times New Roman" w:hAnsi="Times New Roman" w:cs="Times New Roman"/>
          <w:sz w:val="24"/>
          <w:szCs w:val="24"/>
        </w:rPr>
        <w:t>- Periodontia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90BF8A" w14:textId="77777777" w:rsidR="00AB2982" w:rsidRDefault="00AB2982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B2982">
      <w:headerReference w:type="default" r:id="rId6"/>
      <w:footerReference w:type="default" r:id="rId7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7C08" w14:textId="77777777" w:rsidR="008022B9" w:rsidRDefault="008022B9">
      <w:pPr>
        <w:spacing w:line="240" w:lineRule="auto"/>
      </w:pPr>
      <w:r>
        <w:separator/>
      </w:r>
    </w:p>
  </w:endnote>
  <w:endnote w:type="continuationSeparator" w:id="0">
    <w:p w14:paraId="21763148" w14:textId="77777777" w:rsidR="008022B9" w:rsidRDefault="00802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175E" w14:textId="77777777" w:rsidR="00AB2982" w:rsidRDefault="00000000">
    <w:pPr>
      <w:ind w:left="-1695"/>
    </w:pPr>
    <w:r>
      <w:rPr>
        <w:noProof/>
      </w:rPr>
      <w:drawing>
        <wp:inline distT="114300" distB="114300" distL="114300" distR="114300" wp14:anchorId="77FD7AE0" wp14:editId="525FEA52">
          <wp:extent cx="7705456" cy="7202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C14A" w14:textId="77777777" w:rsidR="008022B9" w:rsidRDefault="008022B9">
      <w:pPr>
        <w:spacing w:line="240" w:lineRule="auto"/>
      </w:pPr>
      <w:r>
        <w:separator/>
      </w:r>
    </w:p>
  </w:footnote>
  <w:footnote w:type="continuationSeparator" w:id="0">
    <w:p w14:paraId="1EADB5DC" w14:textId="77777777" w:rsidR="008022B9" w:rsidRDefault="00802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B6AE" w14:textId="77777777" w:rsidR="00AB29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B21CCA1" wp14:editId="4AB40A57">
          <wp:extent cx="7515225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2"/>
    <w:rsid w:val="00637A7A"/>
    <w:rsid w:val="008022B9"/>
    <w:rsid w:val="00AB2982"/>
    <w:rsid w:val="00E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9A1C"/>
  <w15:docId w15:val="{DBFE452F-BC3E-4E4F-89DA-9DD8706A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Laura</cp:lastModifiedBy>
  <cp:revision>3</cp:revision>
  <dcterms:created xsi:type="dcterms:W3CDTF">2025-04-04T14:38:00Z</dcterms:created>
  <dcterms:modified xsi:type="dcterms:W3CDTF">2025-04-04T14:43:00Z</dcterms:modified>
</cp:coreProperties>
</file>