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40"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REABILITAÇÃO ESTÉTICA DAS RECESSÕES GENGIVAIS: RELAÇÃO DENTÍSTICA-PERIODONTIA NO RECOBRIMENTO RADICULAR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after="0" w:before="0" w:line="276" w:lineRule="auto"/>
        <w:ind w:left="0" w:right="1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Eduarda de Souza Ferreira Cysneiros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¹; Ana Karolina Marques de Barros²; Eloize Alanna da Silva²; Marina Rodrigues de Souza Oliveira²; Tereza Cristina Correia³. </w:t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Recife, Pernambuco;</w:t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Recife, Pernambuco.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dudaduta@gmail.com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pacing w:line="360" w:lineRule="auto"/>
        <w:ind w:right="640"/>
        <w:jc w:val="both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recessões gengivais se apresentam através do deslocamento da margem gengival em direção apical, sua progressão pode expor a extensão radicular e gerar sensibilidade. Ademais, podem apresentar-se no formato de Defeito combinado, quando associadas às Lesões Cervicais Não Cariosas (LCNCs), alterações em concha ou cunha na Junção Cemento-Esmalte (CEJ)  que envolvem a perda de tecido mineralizado sem influência da cárie dentária. Tais alterações representam grande preocupação estética no consultório odontológico.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a abordagem multidisciplinar na reabilitação de recessões gengivais, integrando funcionalidade e estética.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buscas foram feitas nas bases de dados PubMed e BVS, utilizando os descritores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Root coverage”, “Gingival recession”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"Dentistry",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combinados com o operador booleano “AND”. Os critérios de inclusão foram: o período de publicação entre 2020 a 2025; idiomas português e inglês; e estudos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relatassem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correlação da dentística e periodontia no recobrimento radicular em casos de recessões gengivais.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Observou-se que em casos de Defeito Combinado, a associação entre a restauração das LCNCs e procedimentos cirúrgicos como retalho coronariamente avançado (CAF) ou o enxerto de tecido conjuntivo (CTG) repercutiram no resultado eficiente e estético a longo prazo. Avaliou-se que as restaurações na superfície radicular com uso de material restaurador biocompatível como Ionômero modificado por resina não prejudicava negativamente o resultado do recobrimento radicular mas auxiliava na estabilidade do enxerto entre a dentina radicular e reduzia consideravelmente a Hipersensibilidade dentinária. Não há consenso entre os autores sobre a extensão adequada da restauração assim como na estética dos materiais restauradores com o passar do tempo.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as evidências apontam que a abordagem profissional corresponde à demanda estética do paciente e as restaurações  nas recessões gengivais em conjunto com as estratégias cirúrgicas corresponderam à redução das queixas estéticas e de sensibilidade dentinária, promovendo bom prognóstico.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Estética Dentária. Retração Gengival. Odontologia. </w:t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</w:t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udaduta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Um6JUzIFa8XFt7Q93NZ/DJiqJw==">CgMxLjA4AHIhMVhKdXo4RzZnbWQzWG9xQWt2R2lneGZWTzhfYXItVks5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