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right="1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UTILIZAÇÃO DE FITOTERAPIA: BENEFÍCIOS NA ODONTOLOGIA: REVISÃO DE LITERATURA</w:t>
      </w:r>
    </w:p>
    <w:p w:rsidR="00000000" w:rsidDel="00000000" w:rsidP="00000000" w:rsidRDefault="00000000" w:rsidRPr="00000000" w14:paraId="00000002">
      <w:pPr>
        <w:spacing w:line="360" w:lineRule="auto"/>
        <w:ind w:left="120" w:right="140" w:firstLine="1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keepNext w:val="1"/>
        <w:widowControl w:val="0"/>
        <w:ind w:left="120" w:right="140" w:firstLine="1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Willyane Lúcio da Silva </w:t>
      </w:r>
      <w:r w:rsidDel="00000000" w:rsidR="00000000" w:rsidRPr="00000000">
        <w:rPr>
          <w:rFonts w:ascii="Times New Roman" w:cs="Times New Roman" w:eastAsia="Times New Roman" w:hAnsi="Times New Roman"/>
          <w:rtl w:val="0"/>
        </w:rPr>
        <w:t xml:space="preserve">Araújo¹</w:t>
      </w:r>
      <w:r w:rsidDel="00000000" w:rsidR="00000000" w:rsidRPr="00000000">
        <w:rPr>
          <w:rFonts w:ascii="Times New Roman" w:cs="Times New Roman" w:eastAsia="Times New Roman" w:hAnsi="Times New Roman"/>
          <w:rtl w:val="0"/>
        </w:rPr>
        <w:t xml:space="preserve">; Ana Beatriz Barbosa de </w:t>
      </w:r>
      <w:r w:rsidDel="00000000" w:rsidR="00000000" w:rsidRPr="00000000">
        <w:rPr>
          <w:rFonts w:ascii="Times New Roman" w:cs="Times New Roman" w:eastAsia="Times New Roman" w:hAnsi="Times New Roman"/>
          <w:rtl w:val="0"/>
        </w:rPr>
        <w:t xml:space="preserve">Andrade²</w:t>
      </w:r>
      <w:r w:rsidDel="00000000" w:rsidR="00000000" w:rsidRPr="00000000">
        <w:rPr>
          <w:rFonts w:ascii="Times New Roman" w:cs="Times New Roman" w:eastAsia="Times New Roman" w:hAnsi="Times New Roman"/>
          <w:rtl w:val="0"/>
        </w:rPr>
        <w:t xml:space="preserve">; Thalita Grazielle da </w:t>
      </w:r>
      <w:r w:rsidDel="00000000" w:rsidR="00000000" w:rsidRPr="00000000">
        <w:rPr>
          <w:rFonts w:ascii="Times New Roman" w:cs="Times New Roman" w:eastAsia="Times New Roman" w:hAnsi="Times New Roman"/>
          <w:rtl w:val="0"/>
        </w:rPr>
        <w:t xml:space="preserve">Silva²</w:t>
      </w:r>
      <w:r w:rsidDel="00000000" w:rsidR="00000000" w:rsidRPr="00000000">
        <w:rPr>
          <w:rFonts w:ascii="Times New Roman" w:cs="Times New Roman" w:eastAsia="Times New Roman" w:hAnsi="Times New Roman"/>
          <w:rtl w:val="0"/>
        </w:rPr>
        <w:t xml:space="preserve">; Gabriela de Morais Guerra </w:t>
      </w:r>
      <w:r w:rsidDel="00000000" w:rsidR="00000000" w:rsidRPr="00000000">
        <w:rPr>
          <w:rFonts w:ascii="Times New Roman" w:cs="Times New Roman" w:eastAsia="Times New Roman" w:hAnsi="Times New Roman"/>
          <w:rtl w:val="0"/>
        </w:rPr>
        <w:t xml:space="preserve">Ferraz³</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keepNext w:val="1"/>
        <w:widowControl w:val="0"/>
        <w:ind w:left="120" w:right="140" w:firstLine="1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1"/>
        <w:widowControl w:val="0"/>
        <w:ind w:left="720" w:right="3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Universidade Maurício de Nassau, Recife-PE;</w:t>
      </w:r>
    </w:p>
    <w:p w:rsidR="00000000" w:rsidDel="00000000" w:rsidP="00000000" w:rsidRDefault="00000000" w:rsidRPr="00000000" w14:paraId="00000006">
      <w:pPr>
        <w:keepNext w:val="1"/>
        <w:widowControl w:val="0"/>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Universidade Maurício de Nassau, Recife-PE.</w:t>
      </w:r>
    </w:p>
    <w:p w:rsidR="00000000" w:rsidDel="00000000" w:rsidP="00000000" w:rsidRDefault="00000000" w:rsidRPr="00000000" w14:paraId="00000007">
      <w:pPr>
        <w:keepNext w:val="1"/>
        <w:widowControl w:val="0"/>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Universidade Maurício de Nassau, Recife-PE.</w:t>
      </w:r>
    </w:p>
    <w:p w:rsidR="00000000" w:rsidDel="00000000" w:rsidP="00000000" w:rsidRDefault="00000000" w:rsidRPr="00000000" w14:paraId="00000008">
      <w:pPr>
        <w:keepNext w:val="1"/>
        <w:widowControl w:val="0"/>
        <w:ind w:left="74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Professora da Universidade Maurício de Nassau, Recife-PE.</w:t>
      </w:r>
    </w:p>
    <w:p w:rsidR="00000000" w:rsidDel="00000000" w:rsidP="00000000" w:rsidRDefault="00000000" w:rsidRPr="00000000" w14:paraId="00000009">
      <w:pPr>
        <w:keepNext w:val="1"/>
        <w:widowControl w:val="0"/>
        <w:ind w:left="740" w:right="6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1"/>
        <w:widowControl w:val="0"/>
        <w:ind w:left="740" w:right="64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Email: </w:t>
      </w:r>
      <w:hyperlink r:id="rId6">
        <w:r w:rsidDel="00000000" w:rsidR="00000000" w:rsidRPr="00000000">
          <w:rPr>
            <w:rFonts w:ascii="Times New Roman" w:cs="Times New Roman" w:eastAsia="Times New Roman" w:hAnsi="Times New Roman"/>
            <w:color w:val="1155cc"/>
            <w:u w:val="single"/>
            <w:rtl w:val="0"/>
          </w:rPr>
          <w:t xml:space="preserve">willyanearaujo56@gmail.com</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spacing w:line="360" w:lineRule="auto"/>
        <w:ind w:left="740" w:right="64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C">
      <w:pPr>
        <w:spacing w:before="20" w:line="360" w:lineRule="auto"/>
        <w:ind w:right="6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D">
      <w:pPr>
        <w:spacing w:line="360" w:lineRule="auto"/>
        <w:ind w:right="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 fitoterapia se baseia na utilização de plantas medicinais ou medicamentos cujos constituintes ativos advêm de plantas, com finalidade terapêutica. Na odontologia, os fitoterápicos têm sido alvo de estudos devido às suas propriedades benéficas nos tratamentos como infecções periodontais, endodônticas, cáries e candidíase oral. Atualmente, a literatura aponta efeitos antimicrobianos, anti-inflamatórios e de reparação tecidual, os quais oferecem vantagens notáveis.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Este estudo investiga o uso terapêutico de plantas medicinais, abordando suas aplicações, desafios e perspectivas. Além disso, analisa o estado atual das pesquisas sobre fitoterapia na odontologia com base em evidências científicas. </w:t>
      </w:r>
      <w:r w:rsidDel="00000000" w:rsidR="00000000" w:rsidRPr="00000000">
        <w:rPr>
          <w:rFonts w:ascii="Times New Roman" w:cs="Times New Roman" w:eastAsia="Times New Roman" w:hAnsi="Times New Roman"/>
          <w:b w:val="1"/>
          <w:sz w:val="24"/>
          <w:szCs w:val="24"/>
          <w:rtl w:val="0"/>
        </w:rPr>
        <w:t xml:space="preserve">Metodologia: </w:t>
      </w:r>
      <w:r w:rsidDel="00000000" w:rsidR="00000000" w:rsidRPr="00000000">
        <w:rPr>
          <w:rFonts w:ascii="Times New Roman" w:cs="Times New Roman" w:eastAsia="Times New Roman" w:hAnsi="Times New Roman"/>
          <w:sz w:val="24"/>
          <w:szCs w:val="24"/>
          <w:rtl w:val="0"/>
        </w:rPr>
        <w:t xml:space="preserve">Foi realizada uma revisão de literatura descritiva em bases de dados como PUBMED, BVS, SciELO e Google Acadêmico, utilizando os descritores “Fitoterapia”, “Plantas medicinais” e “Fitoterápicos na odontologia”. Foram selecionados artigos publicados no período entre 2015 e 2025.</w:t>
      </w:r>
      <w:r w:rsidDel="00000000" w:rsidR="00000000" w:rsidRPr="00000000">
        <w:rPr>
          <w:rFonts w:ascii="Times New Roman" w:cs="Times New Roman" w:eastAsia="Times New Roman" w:hAnsi="Times New Roman"/>
          <w:b w:val="1"/>
          <w:sz w:val="24"/>
          <w:szCs w:val="24"/>
          <w:rtl w:val="0"/>
        </w:rPr>
        <w:t xml:space="preserve"> Resultados:</w:t>
      </w:r>
      <w:r w:rsidDel="00000000" w:rsidR="00000000" w:rsidRPr="00000000">
        <w:rPr>
          <w:rFonts w:ascii="Times New Roman" w:cs="Times New Roman" w:eastAsia="Times New Roman" w:hAnsi="Times New Roman"/>
          <w:sz w:val="24"/>
          <w:szCs w:val="24"/>
          <w:rtl w:val="0"/>
        </w:rPr>
        <w:t xml:space="preserve"> A fitoterapia tem ganhado valorização e aceitação na odontologia devido ao seu baixo custo, fácil acesso, biocompatibilidade e resultados promissores</w:t>
      </w:r>
      <w:r w:rsidDel="00000000" w:rsidR="00000000" w:rsidRPr="00000000">
        <w:rPr>
          <w:rFonts w:ascii="Times New Roman" w:cs="Times New Roman" w:eastAsia="Times New Roman" w:hAnsi="Times New Roman"/>
          <w:sz w:val="24"/>
          <w:szCs w:val="24"/>
          <w:rtl w:val="0"/>
        </w:rPr>
        <w:t xml:space="preserve">. Estudos comprovam os efeitos analgésicos, anti-inflamatórios, antioxidantes e até antitumorais. Dentre as diversas plantas medicinais empregadas sob a forma de fitoterapia, destacam-se a Babosa (</w:t>
      </w:r>
      <w:r w:rsidDel="00000000" w:rsidR="00000000" w:rsidRPr="00000000">
        <w:rPr>
          <w:rFonts w:ascii="Times New Roman" w:cs="Times New Roman" w:eastAsia="Times New Roman" w:hAnsi="Times New Roman"/>
          <w:sz w:val="24"/>
          <w:szCs w:val="24"/>
          <w:rtl w:val="0"/>
        </w:rPr>
        <w:t xml:space="preserve">Aloe</w:t>
      </w:r>
      <w:r w:rsidDel="00000000" w:rsidR="00000000" w:rsidRPr="00000000">
        <w:rPr>
          <w:rFonts w:ascii="Times New Roman" w:cs="Times New Roman" w:eastAsia="Times New Roman" w:hAnsi="Times New Roman"/>
          <w:sz w:val="24"/>
          <w:szCs w:val="24"/>
          <w:rtl w:val="0"/>
        </w:rPr>
        <w:t xml:space="preserve"> vera), Romã (Punica granatum), Cravo da índia (Syzygium aromati cun L.), Aroeira (Myracrodruon urundeuva ), Malva (Malva sylvestris) e a Camomila (Matricaria recutita L.). Sabe-se, no entanto, que os medicamentos fitoterápicos também podem apresentar efeitos colaterais como toxicidade, alergias e hipersensibilidade, que variam desde uma dermatite temporária até um choque anafilático.</w:t>
      </w:r>
      <w:r w:rsidDel="00000000" w:rsidR="00000000" w:rsidRPr="00000000">
        <w:rPr>
          <w:rFonts w:ascii="Times New Roman" w:cs="Times New Roman" w:eastAsia="Times New Roman" w:hAnsi="Times New Roman"/>
          <w:b w:val="1"/>
          <w:sz w:val="24"/>
          <w:szCs w:val="24"/>
          <w:rtl w:val="0"/>
        </w:rPr>
        <w:t xml:space="preserve"> Conclusão: </w:t>
      </w:r>
      <w:r w:rsidDel="00000000" w:rsidR="00000000" w:rsidRPr="00000000">
        <w:rPr>
          <w:rFonts w:ascii="Times New Roman" w:cs="Times New Roman" w:eastAsia="Times New Roman" w:hAnsi="Times New Roman"/>
          <w:sz w:val="24"/>
          <w:szCs w:val="24"/>
          <w:rtl w:val="0"/>
        </w:rPr>
        <w:t xml:space="preserve">A fitoterapia se mostra uma alternativa promissora para o tratamento de diversas condições bucais, devido aos seus efeitos cicatrizantes, antimicrobianos e anti-inflamatórios. Diante dos desafios enfrentados pelos cirurgiões-dentistas, como os efeitos adversos e a resistência microbiana dos medicamentos convencionais, a fitoterapia surge como uma opção eficaz, ampliando as possibilidades terapêuticas na odontologia.</w:t>
      </w:r>
    </w:p>
    <w:p w:rsidR="00000000" w:rsidDel="00000000" w:rsidP="00000000" w:rsidRDefault="00000000" w:rsidRPr="00000000" w14:paraId="0000000E">
      <w:pPr>
        <w:spacing w:line="360" w:lineRule="auto"/>
        <w:ind w:right="6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ind w:right="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Plantas medicinais, Tratamento complementar, Saúde bucal, Medicamentos.</w:t>
      </w:r>
    </w:p>
    <w:p w:rsidR="00000000" w:rsidDel="00000000" w:rsidP="00000000" w:rsidRDefault="00000000" w:rsidRPr="00000000" w14:paraId="00000010">
      <w:pPr>
        <w:spacing w:line="276" w:lineRule="auto"/>
        <w:ind w:right="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Eixo temático:</w:t>
      </w:r>
      <w:r w:rsidDel="00000000" w:rsidR="00000000" w:rsidRPr="00000000">
        <w:rPr>
          <w:rFonts w:ascii="Times New Roman" w:cs="Times New Roman" w:eastAsia="Times New Roman" w:hAnsi="Times New Roman"/>
          <w:sz w:val="24"/>
          <w:szCs w:val="24"/>
          <w:rtl w:val="0"/>
        </w:rPr>
        <w:t xml:space="preserve"> Eixo II - Estomatologia.</w:t>
      </w:r>
    </w:p>
    <w:sectPr>
      <w:headerReference r:id="rId7" w:type="default"/>
      <w:headerReference r:id="rId8" w:type="first"/>
      <w:footerReference r:id="rId9" w:type="default"/>
      <w:footerReference r:id="rId10" w:type="first"/>
      <w:pgSz w:h="16834" w:w="11909" w:orient="portrait"/>
      <w:pgMar w:bottom="1133.8582677165355" w:top="1133.8582677165355" w:left="1700.7874015748032" w:right="1700.78740157480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line="276" w:lineRule="auto"/>
      <w:ind w:left="-1695" w:firstLine="0"/>
      <w:rPr/>
    </w:pPr>
    <w:r w:rsidDel="00000000" w:rsidR="00000000" w:rsidRPr="00000000">
      <w:rPr>
        <w:rtl w:val="0"/>
      </w:rPr>
    </w:r>
  </w:p>
  <w:p w:rsidR="00000000" w:rsidDel="00000000" w:rsidP="00000000" w:rsidRDefault="00000000" w:rsidRPr="00000000" w14:paraId="00000014">
    <w:pPr>
      <w:spacing w:line="276" w:lineRule="auto"/>
      <w:ind w:left="-1695" w:firstLine="0"/>
      <w:rPr/>
    </w:pPr>
    <w:r w:rsidDel="00000000" w:rsidR="00000000" w:rsidRPr="00000000">
      <w:rPr/>
      <w:drawing>
        <wp:inline distB="114300" distT="114300" distL="114300" distR="114300">
          <wp:extent cx="7546557" cy="78468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6557" cy="78468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680"/>
        <w:tab w:val="right" w:leader="none" w:pos="9360"/>
      </w:tabs>
      <w:spacing w:line="240" w:lineRule="auto"/>
      <w:ind w:hanging="1695"/>
      <w:rPr/>
    </w:pPr>
    <w:r w:rsidDel="00000000" w:rsidR="00000000" w:rsidRPr="00000000">
      <w:rPr/>
      <w:drawing>
        <wp:inline distB="114300" distT="114300" distL="114300" distR="114300">
          <wp:extent cx="7625305" cy="7762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5305" cy="77628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willyanearaujo56@gmail.com"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