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271" w:right="44" w:firstLine="564.999999999999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ANATOMIA DOS LÁBIOS E PREENCHIMENTO LABIAL: REVISÃO DE LITERATURA</w:t>
      </w:r>
    </w:p>
    <w:p w:rsidR="00000000" w:rsidDel="00000000" w:rsidP="00000000" w:rsidRDefault="00000000" w:rsidRPr="00000000" w14:paraId="00000002">
      <w:pPr>
        <w:spacing w:line="276" w:lineRule="auto"/>
        <w:ind w:left="3102" w:right="44" w:hanging="2686"/>
        <w:jc w:val="center"/>
        <w:rPr/>
      </w:pPr>
      <w:r w:rsidDel="00000000" w:rsidR="00000000" w:rsidRPr="00000000">
        <w:rPr>
          <w:rtl w:val="0"/>
        </w:rPr>
        <w:t xml:space="preserve">Lara Isabella de Souza Lima¹; Yashmin Valente Cavalcanti Alves Figueiroa².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" w:line="276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1"/>
        </w:tabs>
        <w:spacing w:line="276" w:lineRule="auto"/>
        <w:ind w:left="1081" w:hanging="220"/>
        <w:rPr>
          <w:color w:val="000000"/>
        </w:rPr>
      </w:pPr>
      <w:r w:rsidDel="00000000" w:rsidR="00000000" w:rsidRPr="00000000">
        <w:rPr>
          <w:rtl w:val="0"/>
        </w:rPr>
        <w:t xml:space="preserve">Centro universitário Maurício de Nassau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Recife, Pernambuco.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01"/>
        </w:tabs>
        <w:spacing w:before="27" w:line="276" w:lineRule="auto"/>
        <w:ind w:left="1101" w:hanging="2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Instituto Figueirôa de Odontologia e Treinamento, Recife, Pernambuco.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"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881" w:right="44" w:firstLine="0"/>
        <w:rPr>
          <w:u w:val="single"/>
        </w:rPr>
      </w:pPr>
      <w:r w:rsidDel="00000000" w:rsidR="00000000" w:rsidRPr="00000000">
        <w:rPr>
          <w:rtl w:val="0"/>
        </w:rPr>
        <w:t xml:space="preserve">Email</w:t>
      </w:r>
      <w:r w:rsidDel="00000000" w:rsidR="00000000" w:rsidRPr="00000000">
        <w:rPr>
          <w:color w:val="000000"/>
          <w:rtl w:val="0"/>
        </w:rPr>
        <w:t xml:space="preserve">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lara.isabellasl@gmail.com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881" w:right="4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14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="360" w:lineRule="auto"/>
        <w:ind w:left="141" w:right="642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color w:val="313131"/>
          <w:sz w:val="24"/>
          <w:szCs w:val="24"/>
          <w:rtl w:val="0"/>
        </w:rPr>
        <w:t xml:space="preserve">Os lábios são formados por uma porção interna que é úmida, composta por mucosa labial e por uma porção seca, composta por zona de transição, vermelhão do lábio ou semimucosa e uma porção externa representada por pele e seus anexos. As artérias responsáveis pelo suprimento da artéria dos lábios são oriundas da artéria facial. A principal artéria que irriga o lábio superior é a artéria labial superior, enquanto o lábio inferior é suprido pela artéria labial inferior e a artéria lábio-mentoniana.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</w:t>
      </w:r>
      <w:r w:rsidDel="00000000" w:rsidR="00000000" w:rsidRPr="00000000">
        <w:rPr>
          <w:sz w:val="24"/>
          <w:szCs w:val="24"/>
          <w:rtl w:val="0"/>
        </w:rPr>
        <w:t xml:space="preserve">objetivo deste artigo é realizar uma revisão de literatura, sobre a anatomia dos lábios e o preenchimento labial, visando mostrar seu suprimento arterial dos lábios e como é um preenchimento labial.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As pesquisas foram feitas em bancos de dados científicos (PubMed e Scielo) entre os anos de 2015 a 2023, em português e inglês.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Resultados:</w:t>
      </w:r>
      <w:r w:rsidDel="00000000" w:rsidR="00000000" w:rsidRPr="00000000">
        <w:rPr>
          <w:sz w:val="24"/>
          <w:szCs w:val="24"/>
          <w:rtl w:val="0"/>
        </w:rPr>
        <w:t xml:space="preserve"> O preenchimento labial pode ser feito com dois dispositivos: cânula ou agulha. A escolha do dispositivo depende da técnica escolhido pelo profissional em cada caso. Mas, no geral: preferir microcânulas com ponta romba em áreas de maior chance de dano arterial, e mover com suavidade para evitar laceração, escolher agulhas de menor calibre, aspirar antes de injetar o produto e injetar pequenos volumes por vez.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Conclusão: </w:t>
      </w:r>
      <w:r w:rsidDel="00000000" w:rsidR="00000000" w:rsidRPr="00000000">
        <w:rPr>
          <w:sz w:val="24"/>
          <w:szCs w:val="24"/>
          <w:rtl w:val="0"/>
        </w:rPr>
        <w:t xml:space="preserve">Apesar da grande diversidade de técnicas de preenchimento, não existe um consenso sobre qual a melhor delas. Sendo assim, trabalhos bem executados serão interessantes para confirmar tais questionamentos.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1" w:right="63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Preenchedores Dérmicos.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Ácido Hialurônico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Lábio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1" w:right="639" w:firstLine="0"/>
        <w:jc w:val="both"/>
        <w:rPr>
          <w:color w:val="000000"/>
          <w:sz w:val="24"/>
          <w:szCs w:val="24"/>
        </w:rPr>
        <w:sectPr>
          <w:headerReference r:id="rId8" w:type="default"/>
          <w:footerReference r:id="rId9" w:type="default"/>
          <w:pgSz w:h="16840" w:w="11920" w:orient="portrait"/>
          <w:pgMar w:bottom="1134" w:top="1134" w:left="1701" w:right="1701" w:header="0" w:footer="970"/>
          <w:pgNumType w:start="1"/>
        </w:sectPr>
      </w:pPr>
      <w:bookmarkStart w:colFirst="0" w:colLast="0" w:name="_heading=h.awnqusmuc8ha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sz w:val="24"/>
          <w:szCs w:val="24"/>
          <w:rtl w:val="0"/>
        </w:rPr>
        <w:t xml:space="preserve">Eixo V - Harmonização Orofacial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160" w:top="1320" w:left="1559" w:right="1700" w:header="0" w:footer="97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-986782</wp:posOffset>
          </wp:positionH>
          <wp:positionV relativeFrom="paragraph">
            <wp:posOffset>0</wp:posOffset>
          </wp:positionV>
          <wp:extent cx="7566025" cy="719543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6025" cy="71954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3175</wp:posOffset>
          </wp:positionH>
          <wp:positionV relativeFrom="page">
            <wp:posOffset>0</wp:posOffset>
          </wp:positionV>
          <wp:extent cx="7512049" cy="76517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2049" cy="765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2" w:hanging="220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38" w:hanging="220"/>
      </w:pPr>
      <w:rPr/>
    </w:lvl>
    <w:lvl w:ilvl="2">
      <w:start w:val="0"/>
      <w:numFmt w:val="bullet"/>
      <w:lvlText w:val="•"/>
      <w:lvlJc w:val="left"/>
      <w:pPr>
        <w:ind w:left="2596" w:hanging="220"/>
      </w:pPr>
      <w:rPr/>
    </w:lvl>
    <w:lvl w:ilvl="3">
      <w:start w:val="0"/>
      <w:numFmt w:val="bullet"/>
      <w:lvlText w:val="•"/>
      <w:lvlJc w:val="left"/>
      <w:pPr>
        <w:ind w:left="3354" w:hanging="220"/>
      </w:pPr>
      <w:rPr/>
    </w:lvl>
    <w:lvl w:ilvl="4">
      <w:start w:val="0"/>
      <w:numFmt w:val="bullet"/>
      <w:lvlText w:val="•"/>
      <w:lvlJc w:val="left"/>
      <w:pPr>
        <w:ind w:left="4112" w:hanging="220"/>
      </w:pPr>
      <w:rPr/>
    </w:lvl>
    <w:lvl w:ilvl="5">
      <w:start w:val="0"/>
      <w:numFmt w:val="bullet"/>
      <w:lvlText w:val="•"/>
      <w:lvlJc w:val="left"/>
      <w:pPr>
        <w:ind w:left="4870" w:hanging="220"/>
      </w:pPr>
      <w:rPr/>
    </w:lvl>
    <w:lvl w:ilvl="6">
      <w:start w:val="0"/>
      <w:numFmt w:val="bullet"/>
      <w:lvlText w:val="•"/>
      <w:lvlJc w:val="left"/>
      <w:pPr>
        <w:ind w:left="5628" w:hanging="220"/>
      </w:pPr>
      <w:rPr/>
    </w:lvl>
    <w:lvl w:ilvl="7">
      <w:start w:val="0"/>
      <w:numFmt w:val="bullet"/>
      <w:lvlText w:val="•"/>
      <w:lvlJc w:val="left"/>
      <w:pPr>
        <w:ind w:left="6386" w:hanging="220"/>
      </w:pPr>
      <w:rPr/>
    </w:lvl>
    <w:lvl w:ilvl="8">
      <w:start w:val="0"/>
      <w:numFmt w:val="bullet"/>
      <w:lvlText w:val="•"/>
      <w:lvlJc w:val="left"/>
      <w:pPr>
        <w:ind w:left="7144" w:hanging="2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" w:lineRule="auto"/>
      <w:ind w:left="271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" w:lineRule="auto"/>
      <w:ind w:left="271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" w:lineRule="auto"/>
      <w:ind w:left="271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ra.isabellasl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bnVFezWF8JMF90JfrWjFxTxGw==">CgMxLjAyDmguYXducXVzbXVjOGhhOAByITFoUy1XRjQteXN6M09Xa1B1dnVzU2tmTkpGSmtfdUJvUw==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2025-02-26T00:00:00Z</vt:lpwstr>
  </property>
  <property fmtid="{D5CDD505-2E9C-101B-9397-08002B2CF9AE}" pid="3" name="Creator">
    <vt:lpwstr>Microsoft Word</vt:lpwstr>
  </property>
  <property fmtid="{D5CDD505-2E9C-101B-9397-08002B2CF9AE}" pid="4" name="LastSaved">
    <vt:lpwstr>2025-03-13T00:00:00Z</vt:lpwstr>
  </property>
</Properties>
</file>