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ind w:left="120" w:right="140" w:firstLine="1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28"/>
          <w:szCs w:val="28"/>
          <w:rtl w:val="0"/>
        </w:rPr>
        <w:t xml:space="preserve">IMPORTÂNCIA DO DIAGNÓSTICO PRECOCE E LASERTERAPIA NA MUCOSITE ORAL DE PACIENTE ONCOLÓGICO: RELATO DE CASO</w:t>
      </w:r>
    </w:p>
    <w:p w:rsidR="00000000" w:rsidDel="00000000" w:rsidP="00000000" w:rsidRDefault="00000000" w:rsidRPr="00000000" w14:paraId="00000002">
      <w:pPr>
        <w:spacing w:after="0" w:before="0" w:line="360" w:lineRule="auto"/>
        <w:ind w:left="120" w:right="140" w:firstLine="1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keepNext w:val="1"/>
        <w:widowControl w:val="0"/>
        <w:spacing w:after="0" w:before="0" w:line="276" w:lineRule="auto"/>
        <w:ind w:left="120" w:right="1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Maria Eduarda Coutinho Figueirêdo de Araújo¹; Maria Cecília Freire de Melo²; Thuanny Silva de Macêdo³.</w:t>
      </w:r>
    </w:p>
    <w:p w:rsidR="00000000" w:rsidDel="00000000" w:rsidP="00000000" w:rsidRDefault="00000000" w:rsidRPr="00000000" w14:paraId="00000004">
      <w:pPr>
        <w:keepNext w:val="1"/>
        <w:widowControl w:val="0"/>
        <w:spacing w:after="0" w:before="0" w:line="276" w:lineRule="auto"/>
        <w:ind w:left="120" w:right="140" w:firstLine="1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1"/>
        <w:widowControl w:val="0"/>
        <w:spacing w:before="0" w:line="276" w:lineRule="auto"/>
        <w:ind w:left="720" w:right="3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Centro Universitário Maurício de Nassau, Recife-PE;</w:t>
      </w:r>
    </w:p>
    <w:p w:rsidR="00000000" w:rsidDel="00000000" w:rsidP="00000000" w:rsidRDefault="00000000" w:rsidRPr="00000000" w14:paraId="00000006">
      <w:pPr>
        <w:keepNext w:val="1"/>
        <w:widowControl w:val="0"/>
        <w:spacing w:before="0" w:line="276" w:lineRule="auto"/>
        <w:ind w:left="72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Centro Universitário Estácio, Recife-PE;</w:t>
      </w:r>
    </w:p>
    <w:p w:rsidR="00000000" w:rsidDel="00000000" w:rsidP="00000000" w:rsidRDefault="00000000" w:rsidRPr="00000000" w14:paraId="00000007">
      <w:pPr>
        <w:keepNext w:val="1"/>
        <w:widowControl w:val="0"/>
        <w:spacing w:before="0" w:line="276" w:lineRule="auto"/>
        <w:ind w:left="74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Centro Universitário Maurício de Nassau, Recife-PE.</w:t>
      </w:r>
    </w:p>
    <w:p w:rsidR="00000000" w:rsidDel="00000000" w:rsidP="00000000" w:rsidRDefault="00000000" w:rsidRPr="00000000" w14:paraId="00000008">
      <w:pPr>
        <w:keepNext w:val="1"/>
        <w:widowControl w:val="0"/>
        <w:spacing w:before="0" w:line="276" w:lineRule="auto"/>
        <w:ind w:left="740" w:right="6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1"/>
        <w:widowControl w:val="0"/>
        <w:spacing w:before="0" w:line="276" w:lineRule="auto"/>
        <w:ind w:left="740" w:right="64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u w:val="single"/>
          <w:rtl w:val="0"/>
        </w:rPr>
        <w:t xml:space="preserve">odontologiamaducoutinho@gmail.com.</w:t>
      </w:r>
    </w:p>
    <w:p w:rsidR="00000000" w:rsidDel="00000000" w:rsidP="00000000" w:rsidRDefault="00000000" w:rsidRPr="00000000" w14:paraId="0000000A">
      <w:pPr>
        <w:spacing w:before="0" w:line="360" w:lineRule="auto"/>
        <w:ind w:left="740" w:right="640" w:firstLine="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B">
      <w:pPr>
        <w:spacing w:before="20" w:line="360" w:lineRule="auto"/>
        <w:ind w:left="0" w:right="6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C">
      <w:pPr>
        <w:spacing w:line="360" w:lineRule="auto"/>
        <w:ind w:right="6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O diagnóstico precoce de doenças evita prognósticos negativos devido à possível evolução dos quadros, como na mucosite oral (MO). Sendo uma inflamação da mucosa com ulcerações, ela é comum em pacientes submetidos a tratamentos oncológicos. Assim, identificar precocemente as lesões evita complicações, como aumento das ulcerações e alteração na alimentação pela sintomatologia dolorosa, que pode comprometer ciclos de quimioterapia e radioterapia. Ademais, é importante a utilização de abordagens modernas no tratamento das lesões, como a laserterapia de baixa potência, que estimula regeneração tecidual, reduz a inflamação e promove a liberação de endorfinas endógenas, proporcionando maior conforto.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Demonstrar, por meio de um relato de caso, a importância do diagnóstico precoce e da laserterapia no tratamento da MO. </w:t>
      </w:r>
      <w:r w:rsidDel="00000000" w:rsidR="00000000" w:rsidRPr="00000000">
        <w:rPr>
          <w:rFonts w:ascii="Times New Roman" w:cs="Times New Roman" w:eastAsia="Times New Roman" w:hAnsi="Times New Roman"/>
          <w:b w:val="1"/>
          <w:sz w:val="24"/>
          <w:szCs w:val="24"/>
          <w:rtl w:val="0"/>
        </w:rPr>
        <w:t xml:space="preserve">Relato de caso: </w:t>
      </w:r>
      <w:r w:rsidDel="00000000" w:rsidR="00000000" w:rsidRPr="00000000">
        <w:rPr>
          <w:rFonts w:ascii="Times New Roman" w:cs="Times New Roman" w:eastAsia="Times New Roman" w:hAnsi="Times New Roman"/>
          <w:sz w:val="24"/>
          <w:szCs w:val="24"/>
          <w:rtl w:val="0"/>
        </w:rPr>
        <w:t xml:space="preserve">Paciente do sexo feminino, com 16 anos de idade e diagnóstico de osteossarcoma em membro inferior, foi submetida ao tratamento quimioterápico com metotrexato (MTX) em altas doses. Devido à alta citotoxicidade oral do esquema empregado, a paciente recebeu acompanhamento odontológico diariamente. Cinco dias após o início do ciclo, observou-se erosão no assoalho bucal, seguida pelo surgimento de lesão ulcerada, contudo, sem alterações na alimentação, caracterizando uma MO grau II. Foi iniciado protocolo com laser vermelho (Therapy EC, DMC), com potência fixa em 100 mW, energia de 2 J por ponto e densidade de 70 J/cm² durante 20 segundos em cada ponto. Pela intervenção precoce, a MO não evoluiu para graus mais severos, nem causou maiores complicações. Após a quarta sessão, a paciente relatou ausência de dor e, no quinto dia, observou-se recuperação tecidual completa. </w:t>
      </w:r>
      <w:r w:rsidDel="00000000" w:rsidR="00000000" w:rsidRPr="00000000">
        <w:rPr>
          <w:rFonts w:ascii="Times New Roman" w:cs="Times New Roman" w:eastAsia="Times New Roman" w:hAnsi="Times New Roman"/>
          <w:b w:val="1"/>
          <w:sz w:val="24"/>
          <w:szCs w:val="24"/>
          <w:rtl w:val="0"/>
        </w:rPr>
        <w:t xml:space="preserve">Conclusão: </w:t>
      </w:r>
      <w:r w:rsidDel="00000000" w:rsidR="00000000" w:rsidRPr="00000000">
        <w:rPr>
          <w:rFonts w:ascii="Times New Roman" w:cs="Times New Roman" w:eastAsia="Times New Roman" w:hAnsi="Times New Roman"/>
          <w:sz w:val="24"/>
          <w:szCs w:val="24"/>
          <w:rtl w:val="0"/>
        </w:rPr>
        <w:t xml:space="preserve">Desse modo, este caso demonstra a importância do diagnóstico precoce de MO, destacando o impacto de métodos modernos nos tratamentos. Portanto, a laserterapia é um exemplo eficaz de manejo atualizado de MO em pacientes oncológicos, com protocolos definidos de acordo com o caso.</w:t>
      </w:r>
      <w:r w:rsidDel="00000000" w:rsidR="00000000" w:rsidRPr="00000000">
        <w:rPr>
          <w:rtl w:val="0"/>
        </w:rPr>
      </w:r>
    </w:p>
    <w:p w:rsidR="00000000" w:rsidDel="00000000" w:rsidP="00000000" w:rsidRDefault="00000000" w:rsidRPr="00000000" w14:paraId="0000000D">
      <w:pPr>
        <w:spacing w:before="0" w:line="360" w:lineRule="auto"/>
        <w:ind w:right="6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before="0" w:line="276" w:lineRule="auto"/>
        <w:ind w:right="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Mucosite Oral. Diagnóstico Precoce. Laserterapia.</w:t>
      </w:r>
    </w:p>
    <w:p w:rsidR="00000000" w:rsidDel="00000000" w:rsidP="00000000" w:rsidRDefault="00000000" w:rsidRPr="00000000" w14:paraId="0000000F">
      <w:pPr>
        <w:spacing w:before="0" w:line="276" w:lineRule="auto"/>
        <w:ind w:right="6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before="0" w:line="276" w:lineRule="auto"/>
        <w:ind w:right="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temática:</w:t>
      </w:r>
      <w:r w:rsidDel="00000000" w:rsidR="00000000" w:rsidRPr="00000000">
        <w:rPr>
          <w:rFonts w:ascii="Times New Roman" w:cs="Times New Roman" w:eastAsia="Times New Roman" w:hAnsi="Times New Roman"/>
          <w:sz w:val="24"/>
          <w:szCs w:val="24"/>
          <w:rtl w:val="0"/>
        </w:rPr>
        <w:t xml:space="preserve"> Eixo II - Estomatologia</w:t>
      </w:r>
    </w:p>
    <w:sectPr>
      <w:headerReference r:id="rId6" w:type="default"/>
      <w:footerReference r:id="rId7" w:type="default"/>
      <w:pgSz w:h="16840" w:w="11920" w:orient="portrait"/>
      <w:pgMar w:bottom="1133.8582677165355" w:top="1133.8582677165355" w:left="1700.7874015748032" w:right="1700.787401574803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ind w:left="-1695" w:firstLine="0"/>
      <w:rPr/>
    </w:pPr>
    <w:r w:rsidDel="00000000" w:rsidR="00000000" w:rsidRPr="00000000">
      <w:rPr/>
      <w:drawing>
        <wp:inline distB="114300" distT="114300" distL="114300" distR="114300">
          <wp:extent cx="7705456" cy="72026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05456" cy="72026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69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15225" cy="7667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15225" cy="7667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