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105" w:right="118" w:firstLine="0"/>
        <w:jc w:val="center"/>
        <w:rPr/>
      </w:pPr>
      <w:r w:rsidDel="00000000" w:rsidR="00000000" w:rsidRPr="00000000">
        <w:rPr>
          <w:rtl w:val="0"/>
        </w:rPr>
        <w:t xml:space="preserve">GESTÃO, VULNERABILIDADES E PRESSÕES DAS UNIDADES DE CONSERVAÇÃO DA CALHA NORTE DO PARÁ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" w:right="117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Rômulo da Costa Freitas¹, Evelyn Viana Andrade², Cleiton Santos Marçal³, Victória da Silva Dias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Denise Cristina Torres Costa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152400</wp:posOffset>
                </wp:positionV>
                <wp:extent cx="930910" cy="20066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0525" y="3679650"/>
                          <a:ext cx="930910" cy="200660"/>
                          <a:chOff x="4880525" y="3679650"/>
                          <a:chExt cx="930950" cy="200700"/>
                        </a:xfrm>
                      </wpg:grpSpPr>
                      <wpg:grpSp>
                        <wpg:cNvGrpSpPr/>
                        <wpg:grpSpPr>
                          <a:xfrm>
                            <a:off x="4880545" y="3679670"/>
                            <a:ext cx="930910" cy="200660"/>
                            <a:chOff x="4880525" y="3679650"/>
                            <a:chExt cx="930950" cy="200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880525" y="3679650"/>
                              <a:ext cx="930950" cy="20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80545" y="3679670"/>
                              <a:ext cx="930910" cy="200665"/>
                              <a:chOff x="4880525" y="3679650"/>
                              <a:chExt cx="930925" cy="20068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880525" y="3679650"/>
                                <a:ext cx="930925" cy="20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880545" y="3679670"/>
                                <a:ext cx="930900" cy="200660"/>
                                <a:chOff x="0" y="0"/>
                                <a:chExt cx="930900" cy="20066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930900" cy="20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894715" cy="200660"/>
                                </a:xfrm>
                                <a:custGeom>
                                  <a:rect b="b" l="l" r="r" t="t"/>
                                  <a:pathLst>
                                    <a:path extrusionOk="0" h="200660" w="894715">
                                      <a:moveTo>
                                        <a:pt x="894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259"/>
                                      </a:lnTo>
                                      <a:lnTo>
                                        <a:pt x="894111" y="200259"/>
                                      </a:lnTo>
                                      <a:lnTo>
                                        <a:pt x="894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100">
                                    <a:alpha val="38823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3372" y="102941"/>
                                  <a:ext cx="927100" cy="63500"/>
                                </a:xfrm>
                                <a:custGeom>
                                  <a:rect b="b" l="l" r="r" t="t"/>
                                  <a:pathLst>
                                    <a:path extrusionOk="0" h="63500" w="927100">
                                      <a:moveTo>
                                        <a:pt x="0" y="63500"/>
                                      </a:moveTo>
                                      <a:lnTo>
                                        <a:pt x="850899" y="63500"/>
                                      </a:lnTo>
                                    </a:path>
                                    <a:path extrusionOk="0" h="63500" w="927100">
                                      <a:moveTo>
                                        <a:pt x="850899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extrusionOk="0" h="63500" w="927100">
                                      <a:moveTo>
                                        <a:pt x="888999" y="63500"/>
                                      </a:moveTo>
                                      <a:lnTo>
                                        <a:pt x="927099" y="6350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152400</wp:posOffset>
                </wp:positionV>
                <wp:extent cx="930910" cy="200660"/>
                <wp:effectExtent b="0" l="0" r="0" t="0"/>
                <wp:wrapNone/>
                <wp:docPr id="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200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" w:right="117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¹Graduando em Engenharia Ambiental e Sanitária. Universidade do Estado do Pará.r</w:t>
      </w:r>
      <w:hyperlink r:id="rId7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omulofreitasg3@gmail.com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" w:right="117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²Graduanda em Engenharia Ambiental e Sanitária. Universidade do Estado do Pará.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" w:right="117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</w:t>
      </w:r>
      <w:hyperlink r:id="rId8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velyn.vandrade@gmail.com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" w:right="117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³Graduando em Engenharia Ambiental e Sanitária. Universidade do Estado do </w:t>
      </w:r>
      <w:hyperlink r:id="rId9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Pará. 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cleiton.smarcal@aluno.uepa.br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" w:right="117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Graduanda em Engenharia Ambiental e Sanitária. Universidade do Estado do </w:t>
      </w:r>
      <w:hyperlink r:id="rId10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Pará. diasvictoriax@gmail.com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" w:right="117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Doutoranda em PPGCA/UEPA. Universidade do Estado do Pará. </w:t>
      </w:r>
      <w:hyperlink r:id="rId11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denise.costa@uepa.br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" w:right="117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05" w:right="11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5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 Unidades de Conservação (UC´S) </w:t>
      </w:r>
      <w:r w:rsidDel="00000000" w:rsidR="00000000" w:rsidRPr="00000000">
        <w:rPr>
          <w:sz w:val="24"/>
          <w:szCs w:val="24"/>
          <w:rtl w:val="0"/>
        </w:rPr>
        <w:t xml:space="preserve">são essenciais para a política ambiental brasileira, servindo como instrumentos chave para a preservação da biodiversidade e dos recursos naturais. Desse modo, elas fundamentam a política de desenvolvimento sustentável, que busca equilibrar a conservação ambiental, o crescimento econômico e a inclusão social. Diante disso, este trabalho tem como objetivo avaliar a implementação e efetividade das Unidades de Conservação na Calha Norte do Pará, focando nos instrumentos de gestão, como planos de manejo e conselhos gestores, além de analisar a efetividade da unidades de conservação. A análise e obtenção de dados foram feitas através de revisão bibliográfica em artigos científicos e plataformas de órgãos públicos, como Instituto Chico Mendes de Conservação da Biodiversidade, através do SAMGe - Sistema de Análise e Monitoramento de Gestão, onde foi possível identificar que a efetividade das UC´s estaduais é, em geral, positiva. Esse resultado ressalta a competência na gestão dessas unidades, mostrando que a estão cumprindo suas funções de maneira eficaz.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Unidade de conservação. Calha Norte do Pará. SNUC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de Interesse do Simpósio</w:t>
      </w:r>
      <w:r w:rsidDel="00000000" w:rsidR="00000000" w:rsidRPr="00000000">
        <w:rPr>
          <w:sz w:val="24"/>
          <w:szCs w:val="24"/>
          <w:rtl w:val="0"/>
        </w:rPr>
        <w:t xml:space="preserve">: Gestão, Manejo e Conservação.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2"/>
        </w:numPr>
        <w:tabs>
          <w:tab w:val="left" w:leader="none" w:pos="280"/>
        </w:tabs>
        <w:ind w:left="280" w:hanging="18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12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Sistema Nacional de Unidades de Conservação da Natureza (SNUC), instituído pela Lei nº 9.985, de 18 de julho de 2000, estabelece os critérios e normas para a criação, implantação e gestão das Unidades de Conservação (UCs) no Brasil. De acordo com o Art. 2º do SNUC, uma UC é definida como um espaço territorial que inclui águas jurisdicionais, possuindo características naturais relevantes e instituído pelo Poder Público para fins de conservação, com limites e administração especial que garantam a proteção adequada (BRASIL, 2000). As UCs são componentes centrais da política ambiental do Brasil, constituindo instrumentos fundamentais para a preservação da biodiversidade e dos recursos naturais. Assim, são uma das bases da política de desenvolvimento sustentável, que visa o equilíbrio entre a conservação ambiental, o crescimento econômico e a inclusão social.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12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isso, o SNUC classifica as UC´S em dois grandes grupos: Unidades de Proteção Integral visam a preservação da natureza em sua forma mais restrita, permitindo apenas atividades de pesquisa científica e educação ambiental (MMA, 2018). E Unidades de Uso Sustentável que conciliam a conservação ambiental com a exploração responsável dos recursos, permitindo atividades que respeitem a integridade dos ecossistemas (BRASIL, 2000).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14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centro de gestão, destacam-se o plano de manejo e os conselhos gestores; o primeiro corresponde a um documento técnico que orienta e define normas para o zoneamento, já os conselhos gestores, são compostos por representantes do poder público e da sociedade civil, promovendo a participação social na administração das UC’s(BRASIL, 2000).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14"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 entanto, a implementação desses instrumentos enfrenta obstáculos, como a falta de recursos financeiros e humanos, o que muitas vezes limita a efetividade das UCs, especialmente em áreas remotas e extensas, como a Amazônia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Melo; Irving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2014). </w:t>
      </w:r>
      <w:r w:rsidDel="00000000" w:rsidR="00000000" w:rsidRPr="00000000">
        <w:rPr>
          <w:sz w:val="24"/>
          <w:szCs w:val="24"/>
          <w:rtl w:val="0"/>
        </w:rPr>
        <w:t xml:space="preserve">As UCs também enfrentam vulnerabilidades administrativas, como a fragmentação das políticas ambientais e a insuficiência de recursos financeiros e humanos, que limitam a eficácia de seus instrumentos de gestão (COSTA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., 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14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Nesse sentido, para apoiar a criação e consolidação das UCs, o Programa Áreas Protegidas da Amazônia (ARPA) foi lançado em 2002, constituindo-se na maior iniciativa global para a conservação de florestas tropicais. Coordenado pelo Ministério do Meio Ambiente (MMA) e gerido financeiramente pelo Fundo Brasileiro para a Biodiversidade (FUNBIO), o ARPA busca assegurar a biodiversidade amazônica e os serviços ambientais associados, como a adaptação às mudanças climáticas (MMA, 2011). 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14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2015, foi proposta a criação do Mosaico de Áreas Protegidas na Calha Norte, abrangendo uma área significativa na Amazônia paraense, com UCs e terras indígenas adjacentes (IMAZON, 2015). A proposta visava uma gestão integrada, que potencializasse a conservação da biodiversidade e fortalecesse a governança ambiental, promovendo a colaboração entre áreas protegidas com diferentes tipos de gestão e objetivos.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13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criação de um mosaico de áreas protegidas e terras indígenas na Calha Norte tem o potencial de ampliar a proteção do bioma amazônico, enfrentando de maneira mais eficaz as pressões. Diante disso, este estudo tem como objetivo avaliar a implementação e efetividade das UC'S na Calha Norte do Pará, focando nos instrumentos de gestão, como planos de manejo e conselhos gestores, além de analisar a efetividade e a vulnerabilidade das UC´S.</w:t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2"/>
        </w:numPr>
        <w:tabs>
          <w:tab w:val="left" w:leader="none" w:pos="985"/>
        </w:tabs>
        <w:ind w:left="985" w:hanging="180"/>
        <w:rPr/>
      </w:pPr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65"/>
        </w:tabs>
        <w:spacing w:before="138" w:lineRule="auto"/>
        <w:ind w:left="1165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ÁREA DE ESTUDO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Calha Norte paraense possui aproximadamente 270 mil quilômetros quadrados, o que compreende 22% do Estado do Pará. A região abriga nove municípios: Alenquer, Almeirim, Curuá, Faro, Monte Alegre, Óbidos, Oriximiná, Prainha e Terra Santa (Figura 1) (IBGE, 2010). As Áreas Protegidas, na região conhecida como “Calha Norte”, estão distribuídas em UC´S Estaduais (51%), Terras Indígenas (40%), UC´S Federais (5%), Territórios Quilombolas (4%) e UC´S Municipais (menos de 1%) (Imazon, 2020). As UC´S da Calha Norte do Pará estão localizadas nos municípios de Alenquer, Almeirim, Faro, Monte Alegre, Oriximiná e Óbidos.</w:t>
      </w:r>
    </w:p>
    <w:p w:rsidR="00000000" w:rsidDel="00000000" w:rsidP="00000000" w:rsidRDefault="00000000" w:rsidRPr="00000000" w14:paraId="0000001D">
      <w:pPr>
        <w:ind w:left="883" w:firstLine="0"/>
        <w:jc w:val="center"/>
        <w:rPr>
          <w:highlight w:val="white"/>
        </w:rPr>
      </w:pPr>
      <w:r w:rsidDel="00000000" w:rsidR="00000000" w:rsidRPr="00000000">
        <w:rPr>
          <w:rtl w:val="0"/>
        </w:rPr>
        <w:t xml:space="preserve">Figura 1 - Áreas Protegidas na Calha Norte do Estado do Pa</w:t>
      </w:r>
      <w:r w:rsidDel="00000000" w:rsidR="00000000" w:rsidRPr="00000000">
        <w:rPr>
          <w:highlight w:val="white"/>
          <w:rtl w:val="0"/>
        </w:rPr>
        <w:t xml:space="preserve">rá.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68" w:lineRule="auto"/>
        <w:ind w:left="105" w:right="117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1104900</wp:posOffset>
            </wp:positionH>
            <wp:positionV relativeFrom="paragraph">
              <wp:posOffset>147362</wp:posOffset>
            </wp:positionV>
            <wp:extent cx="3601085" cy="2612186"/>
            <wp:effectExtent b="0" l="0" r="0" t="0"/>
            <wp:wrapTopAndBottom distB="0" dist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3291" r="329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26121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before="168" w:lineRule="auto"/>
        <w:ind w:left="105" w:right="117" w:firstLine="0"/>
        <w:jc w:val="center"/>
        <w:rPr/>
      </w:pPr>
      <w:r w:rsidDel="00000000" w:rsidR="00000000" w:rsidRPr="00000000">
        <w:rPr>
          <w:rtl w:val="0"/>
        </w:rPr>
        <w:t xml:space="preserve">Fonte: IMAZON E ISA, </w:t>
      </w:r>
      <w:r w:rsidDel="00000000" w:rsidR="00000000" w:rsidRPr="00000000">
        <w:rPr>
          <w:rtl w:val="0"/>
        </w:rPr>
        <w:t xml:space="preserve">2011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UC´S da Calha Norte do Estado do Pará, de acordo com a Agência Pará, 2021: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0"/>
        </w:tabs>
        <w:spacing w:before="41" w:line="360" w:lineRule="auto"/>
        <w:ind w:left="820" w:right="121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Floresta Estadual de Faro (FLOTA): </w:t>
      </w:r>
      <w:r w:rsidDel="00000000" w:rsidR="00000000" w:rsidRPr="00000000">
        <w:rPr>
          <w:sz w:val="24"/>
          <w:szCs w:val="24"/>
          <w:rtl w:val="0"/>
        </w:rPr>
        <w:t xml:space="preserve">ocupa 613.867,67 hectares de floresta nativa conservada. Tem em sua área de abrangência uma sobreposição com Terras Indígenas e Territórios Quilombolas.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0"/>
        </w:tabs>
        <w:spacing w:before="1" w:line="360" w:lineRule="auto"/>
        <w:ind w:left="820" w:right="118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Floresta Estadual do Paru (FLOTA): </w:t>
      </w:r>
      <w:r w:rsidDel="00000000" w:rsidR="00000000" w:rsidRPr="00000000">
        <w:rPr>
          <w:sz w:val="24"/>
          <w:szCs w:val="24"/>
          <w:rtl w:val="0"/>
        </w:rPr>
        <w:t xml:space="preserve">ocupa uma área de 3.612,914 hectares, cerca de 96% de sua área é coberta por florestas bem conservadas.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0"/>
        </w:tabs>
        <w:spacing w:line="360" w:lineRule="auto"/>
        <w:ind w:left="820" w:right="117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Floresta Estadual do Trombetas (FLOTA): </w:t>
      </w:r>
      <w:r w:rsidDel="00000000" w:rsidR="00000000" w:rsidRPr="00000000">
        <w:rPr>
          <w:sz w:val="24"/>
          <w:szCs w:val="24"/>
          <w:rtl w:val="0"/>
        </w:rPr>
        <w:t xml:space="preserve">ocupa 3.172.978 hectares de floresta conservada. É uma UC que se enquadra na categoria de Unidade de Uso Sustentável.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0"/>
        </w:tabs>
        <w:spacing w:before="1" w:line="360" w:lineRule="auto"/>
        <w:ind w:left="820" w:right="122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Estação Ecológica Grão-Pará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(ESEC)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Área de 4.245.819,11 hectares é a maior UC de Proteção Integral de florestas tropicais do Planeta.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0"/>
        </w:tabs>
        <w:spacing w:line="360" w:lineRule="auto"/>
        <w:ind w:left="820" w:right="159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Reserva Biológica Maicuru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(REBIO)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Possui mais de 1 milhão de hectares.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0"/>
        </w:tabs>
        <w:spacing w:line="360" w:lineRule="auto"/>
        <w:ind w:right="15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E, ainda, de acordo com o instituto Imazon, 2011: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0"/>
        </w:tabs>
        <w:spacing w:before="1" w:line="360" w:lineRule="auto"/>
        <w:ind w:left="820" w:hanging="36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Estação Ecológica do Jari (ESEC):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163.424 hectares;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19"/>
        </w:tabs>
        <w:spacing w:line="360" w:lineRule="auto"/>
        <w:ind w:left="8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Floresta Nacional S</w:t>
      </w:r>
      <w:r w:rsidDel="00000000" w:rsidR="00000000" w:rsidRPr="00000000">
        <w:rPr>
          <w:b w:val="1"/>
          <w:sz w:val="24"/>
          <w:szCs w:val="24"/>
          <w:rtl w:val="0"/>
        </w:rPr>
        <w:t xml:space="preserve">aracá-Taquera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(FLONA)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UC federal do bioma amazônico, possui 441.280,79 h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19"/>
        </w:tabs>
        <w:spacing w:line="360" w:lineRule="auto"/>
        <w:ind w:left="8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Floresta Nacional Mulata(FLONA):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212.751 hectares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19"/>
        </w:tabs>
        <w:spacing w:line="360" w:lineRule="auto"/>
        <w:ind w:left="8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Área de Proteção Ambiental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Paytuna(APA): </w:t>
      </w:r>
      <w:r w:rsidDel="00000000" w:rsidR="00000000" w:rsidRPr="00000000">
        <w:rPr>
          <w:sz w:val="24"/>
          <w:szCs w:val="24"/>
          <w:rtl w:val="0"/>
        </w:rPr>
        <w:t xml:space="preserve">56.129 hectares;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9"/>
        </w:tabs>
        <w:spacing w:before="138" w:line="360" w:lineRule="auto"/>
        <w:ind w:left="819" w:hanging="35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Parque Estadual </w:t>
      </w:r>
      <w:r w:rsidDel="00000000" w:rsidR="00000000" w:rsidRPr="00000000">
        <w:rPr>
          <w:b w:val="1"/>
          <w:sz w:val="24"/>
          <w:szCs w:val="24"/>
          <w:rtl w:val="0"/>
        </w:rPr>
        <w:t xml:space="preserve">Monte Alegre(PES): </w:t>
      </w:r>
      <w:r w:rsidDel="00000000" w:rsidR="00000000" w:rsidRPr="00000000">
        <w:rPr>
          <w:sz w:val="24"/>
          <w:szCs w:val="24"/>
          <w:rtl w:val="0"/>
        </w:rPr>
        <w:t xml:space="preserve">5.800 hectares.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MÉTODO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análise e obtenção de dados foram feitas através de revisão bibliográfica em artigos científicos, plataformas de órgãos públicos, sendo esses: CNUC (Cadastro Nacional de Unidades de Conservação), ICMBio (Instituto Chico Mendes de Conservação da Biodiversidade), através do SAMGe - Sistema de Análise e Monitoramento de Gestão, SEMAS (Secretaria de Estado de Meio Ambiente e Sustentabilidade), Agência Pará (Secretaria de Comunicação) e IBGE, e pelo instituto do homem e meio ambiente da Amazônia(IMAZON).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8"/>
        </w:tabs>
        <w:ind w:left="318" w:hanging="218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6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Identificou-se que das 11 unidades criadas na calha Norte do Pará, 5 foram estabelecidas em 2006, resultando na adição de 12.739.468 ha de área protegida às áreas já existentes criadas em 1979, 1982, 1989 e 2001. Atribui-se a esse fato a implementação do Plano Estratégico Nacional de Áreas Protegidas - PNAP em 2002, onde foram criadas em conjunto com o Programa ARPA novas UC’s em várias regiões do país, incluindo as novas UC´S criadas 2006 na Calha Norte do Pará, evidenciando o aumento das iniciativas do governo para a proteção ambiental ao longo dos anos.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Calha Norte do Pará possui a participação de 4 UC 's no ARPA são elas: REBIO rio Trombetas, ESEC do Grão Pará, REBIO de Maicuru e ESEC do Jari. A participação das UC's no ARPA proporciona recursos financeiros e técnicos que fortalecem a gestão, permitindo uma administração mais eficiente e eficaz, UC'S dentro do ARPA também recebem apoio em termos de capacitação e formação para gestores (WWF,2022).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Quanto à gestão das UC 'S foi possível observar a existência de conselho gestor em todas as UC´S indicando um modelo de governança participativo e inclusivo com a sociedade contribuindo para eficácia da gestão dos recursos naturais.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 esferas administrativas  estaduais das UC'S totalizam 7 UC´S são elas: ESEC Grão Pará, REBIO Maicuru, FLOTA do rio Trombetas, FLOTA de Faro, FLOTA do Paru, APA Paytuna, PES Monte Alegre. As UC 'S Federais são 4 unidades: FLONA de mulatas, FLONA de saracá-taquera, REBIO do rio trombetas, PES Monte Alegre e ESEC do Jari.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plano de manejo está presente em 9 UC´S da área de estudo, evidenciando a adoção de diretrizes para a gestão eficaz dessas áreas, refletindo a importância de um gerenciamento estruturado, que visa levar as UC'S a cumprirem com os objetivos estabelecidos na sua criação e promover o manejo adequado.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 2 unidades APA Paytuna e ESEC Jari não possuem plano de manejo de acordo com os dados da CNUC, porém, ao consultar o SAMGe constata-se que o plano de manejo existe na região. A falta de conformidade e comunicação entre os órgãos de gestão ambiental prejudica a eficácia das políticas de conservação e manejo sustentável, dificultando principalmente a fiscalização e a gestão.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" w:right="36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Figura 2 - efetividade das UCs Estaduais da Calha Norte do Estado do Pará de acordo com a plataforma SAMGe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" w:right="36" w:firstLine="0"/>
        <w:jc w:val="center"/>
        <w:rPr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3572669" cy="2202986"/>
            <wp:effectExtent b="0" l="0" r="0" t="0"/>
            <wp:docPr descr="índice médio de efetividade  versus UCs estaduais " id="10" name="image2.png"/>
            <a:graphic>
              <a:graphicData uri="http://schemas.openxmlformats.org/drawingml/2006/picture">
                <pic:pic>
                  <pic:nvPicPr>
                    <pic:cNvPr descr="índice médio de efetividade  versus UCs estaduais "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2669" cy="2202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" w:right="36" w:firstLine="0"/>
        <w:jc w:val="center"/>
        <w:rPr/>
      </w:pPr>
      <w:r w:rsidDel="00000000" w:rsidR="00000000" w:rsidRPr="00000000">
        <w:rPr>
          <w:rtl w:val="0"/>
        </w:rPr>
        <w:t xml:space="preserve">Fonte: Relatório SAMGe, 2022</w:t>
      </w:r>
    </w:p>
    <w:p w:rsidR="00000000" w:rsidDel="00000000" w:rsidP="00000000" w:rsidRDefault="00000000" w:rsidRPr="00000000" w14:paraId="0000003A">
      <w:pPr>
        <w:spacing w:after="240" w:before="240" w:line="36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 figura 2 apresenta a efetividade das UC´S estaduais, destacando a ESEC Grão Pará, com uma efetividade de 69,17%. Este resultado indica uma gestão comprometida com a conservação e proteção dos recursos naturais, refletindo práticas efetivas que contribuem para o alcance de seus objetivos.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Entretanto, também não há dados sobre a efetividade da FLOTA do Trombetas nas plataformas de órgãos públicos, evidenciando a dificuldade de coleta de dados sobre a região.  </w:t>
      </w:r>
    </w:p>
    <w:p w:rsidR="00000000" w:rsidDel="00000000" w:rsidP="00000000" w:rsidRDefault="00000000" w:rsidRPr="00000000" w14:paraId="0000003B">
      <w:pPr>
        <w:spacing w:after="240" w:before="240" w:line="36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As demais UCs também apresentam bons níveis de efetividade, com uma média geral de 56,31%. Esse índice sugere que, embora haja variações entre as diferentes unidades, estão conseguindo implementar estratégias de gestão que favorecem a conservação ambiental. A continuidade desse desempenho é fundamental para assegurar a preservação da biodiversidade e a sust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entabilidade dos ecossistemas. </w:t>
      </w:r>
    </w:p>
    <w:p w:rsidR="00000000" w:rsidDel="00000000" w:rsidP="00000000" w:rsidRDefault="00000000" w:rsidRPr="00000000" w14:paraId="0000003C">
      <w:pPr>
        <w:spacing w:after="240" w:befor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Figura 3 - efetividade das UCs federais da Calha Norte do Estado do Pará de acordo com a plataforma SAMGe.</w:t>
      </w:r>
    </w:p>
    <w:p w:rsidR="00000000" w:rsidDel="00000000" w:rsidP="00000000" w:rsidRDefault="00000000" w:rsidRPr="00000000" w14:paraId="0000003D">
      <w:pPr>
        <w:spacing w:after="240" w:befor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3474781" cy="2146188"/>
            <wp:effectExtent b="0" l="0" r="0" t="0"/>
            <wp:docPr descr="Gráfico" id="5" name="image4.png"/>
            <a:graphic>
              <a:graphicData uri="http://schemas.openxmlformats.org/drawingml/2006/picture">
                <pic:pic>
                  <pic:nvPicPr>
                    <pic:cNvPr descr="Gráfico" id="0" name="image4.png"/>
                    <pic:cNvPicPr preferRelativeResize="0"/>
                  </pic:nvPicPr>
                  <pic:blipFill>
                    <a:blip r:embed="rId14"/>
                    <a:srcRect b="36" l="0" r="0" t="36"/>
                    <a:stretch>
                      <a:fillRect/>
                    </a:stretch>
                  </pic:blipFill>
                  <pic:spPr>
                    <a:xfrm>
                      <a:off x="0" y="0"/>
                      <a:ext cx="3474781" cy="2146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Fonte: Relatório SAMGe,2023.</w:t>
      </w:r>
    </w:p>
    <w:p w:rsidR="00000000" w:rsidDel="00000000" w:rsidP="00000000" w:rsidRDefault="00000000" w:rsidRPr="00000000" w14:paraId="0000003F">
      <w:pPr>
        <w:spacing w:before="145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Figura 3 apresenta a efetividade das UC´S em âmbito federal, sendo com maior destaque a ESEC JARI, com 62,83% de efetividade média, seguida respectivamente de REBIO Rio Trombetas (61,93%); FLONA Saracá-Taquera (57,06%) e FLONA Mulata (50,41%). Esses resultados indicam um desempenho positivo na gestão dessas UC´S, refletindo não apenas a implementação de planos de manejo eficazes, mas também a atuação de conselhos gestores cruciais para a conservação da biodiversidade. </w:t>
      </w:r>
    </w:p>
    <w:p w:rsidR="00000000" w:rsidDel="00000000" w:rsidP="00000000" w:rsidRDefault="00000000" w:rsidRPr="00000000" w14:paraId="00000040">
      <w:pPr>
        <w:spacing w:before="145" w:line="360" w:lineRule="auto"/>
        <w:ind w:firstLine="708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Entretanto, a plataforma SAMGe também enfrenta limitações devido à desatualização dos dados sobre as UC´S. A última atualização das UC´S federais foi em 2023, enquanto as estaduais são de 2022, comprometendo a integridade das análises, dificultando a comparação e a interpretação das informações. A falta de atualização de dados sobre a região reflete 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falta de recursos financeiros e humanos, o que segundo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Melo; Irving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(2014) muitas vezes limita a efetividade das UCs, especialmente em áreas remotas e extensas, como a Amazônia.</w:t>
      </w:r>
    </w:p>
    <w:p w:rsidR="00000000" w:rsidDel="00000000" w:rsidP="00000000" w:rsidRDefault="00000000" w:rsidRPr="00000000" w14:paraId="00000041">
      <w:pPr>
        <w:spacing w:before="145" w:line="360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before="1" w:line="360" w:lineRule="auto"/>
        <w:ind w:firstLine="708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Conclui-se que embora a falta de conformidade, comunicação e atualização de dados entre os órgãos responsáveis pela gestão ambiental comprometa a eficácia das políticas de conservação e manejo sustentável, os dados apresentados revelam que a efetividade das Unidades de Conservação é, de modo geral, positiva. Este resultado não apenas evidencia a competência da gestão, mas também indica que as UC´S, em sua maioria, estão desempenhando suas funções de maneira eficaz, refletindo o seu compromisso com a conservação ambiental. </w:t>
      </w:r>
    </w:p>
    <w:p w:rsidR="00000000" w:rsidDel="00000000" w:rsidP="00000000" w:rsidRDefault="00000000" w:rsidRPr="00000000" w14:paraId="00000043">
      <w:pPr>
        <w:pStyle w:val="Heading1"/>
        <w:spacing w:before="1" w:line="360" w:lineRule="auto"/>
        <w:ind w:firstLine="708"/>
        <w:jc w:val="both"/>
        <w:rPr>
          <w:b w:val="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A continuidade desse desempenho é essencial para assegurar a preservação da biodiversidade e promover a sustentabilidade ambiental. Portanto, é fundamental que as experiências bem-sucedidas sejam disseminadas e aplicadas em outras UC´S, contribuindo para um aprimoramento contínuo nas estratégias de gestão e consolidando ainda mais a efetividade das políticas ambientais no estado.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spacing w:before="1" w:line="360" w:lineRule="auto"/>
        <w:jc w:val="both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6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AGÊNCIA PARÁ.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Unidades de Conservação Estaduais do Norte do Pará completam 15 anos de criação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2021.</w:t>
      </w:r>
      <w:r w:rsidDel="00000000" w:rsidR="00000000" w:rsidRPr="00000000">
        <w:rPr>
          <w:sz w:val="24"/>
          <w:szCs w:val="24"/>
          <w:rtl w:val="0"/>
        </w:rPr>
        <w:t xml:space="preserve"> Disponível em: https://agenciapara.com.br/noticia/33469/unidades-de-conservacao-estaduais-do-norte-do-para-completam-15-anos-de-criacao. Acesso em: 20 out. 2024.</w:t>
      </w:r>
    </w:p>
    <w:p w:rsidR="00000000" w:rsidDel="00000000" w:rsidP="00000000" w:rsidRDefault="00000000" w:rsidRPr="00000000" w14:paraId="00000047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BENSUSAN, N.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Conservação da biodiversidade em áreas protegidas: conceitos, estratégias e mecanismos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Rio de Janeiro: FGV, 2006.</w:t>
      </w:r>
    </w:p>
    <w:p w:rsidR="00000000" w:rsidDel="00000000" w:rsidP="00000000" w:rsidRDefault="00000000" w:rsidRPr="00000000" w14:paraId="00000048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Lei Sistema Nacional de Unidade de Conservação</w:t>
      </w:r>
      <w:r w:rsidDel="00000000" w:rsidR="00000000" w:rsidRPr="00000000">
        <w:rPr>
          <w:sz w:val="24"/>
          <w:szCs w:val="24"/>
          <w:rtl w:val="0"/>
        </w:rPr>
        <w:t xml:space="preserve">. Lei n. 9.985, de 18 de julho de 2000. Brasília: Presidência da República, 2000.</w:t>
      </w:r>
    </w:p>
    <w:p w:rsidR="00000000" w:rsidDel="00000000" w:rsidP="00000000" w:rsidRDefault="00000000" w:rsidRPr="00000000" w14:paraId="00000049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</w:t>
      </w:r>
      <w:r w:rsidDel="00000000" w:rsidR="00000000" w:rsidRPr="00000000">
        <w:rPr>
          <w:i w:val="1"/>
          <w:sz w:val="24"/>
          <w:szCs w:val="24"/>
          <w:rtl w:val="0"/>
        </w:rPr>
        <w:t xml:space="preserve">Lei nº 9.985, de 18 de julho de 2000.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Institui o Sistema Nacional de Unidades de Conservação da Natureza</w:t>
      </w:r>
      <w:r w:rsidDel="00000000" w:rsidR="00000000" w:rsidRPr="00000000">
        <w:rPr>
          <w:sz w:val="24"/>
          <w:szCs w:val="24"/>
          <w:rtl w:val="0"/>
        </w:rPr>
        <w:t xml:space="preserve">. Diário Oficial da União, 2000.</w:t>
      </w:r>
    </w:p>
    <w:p w:rsidR="00000000" w:rsidDel="00000000" w:rsidP="00000000" w:rsidRDefault="00000000" w:rsidRPr="00000000" w14:paraId="0000004A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IMAZON.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Gestão territorial de Áreas Protegidas da Calha Norte paraense é tema de evento em Belém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2015. Disponível em:</w:t>
      </w:r>
      <w:hyperlink r:id="rId15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https://imazon.org.br/imprensa/gestao-territorial-de-areas-protegidas-da-calha-norte-paraense-e-tema-de-evento-em-belem/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18 out. 2024.</w:t>
      </w:r>
    </w:p>
    <w:p w:rsidR="00000000" w:rsidDel="00000000" w:rsidP="00000000" w:rsidRDefault="00000000" w:rsidRPr="00000000" w14:paraId="0000004B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COSTA, E. R.; VASCONCELLOS SOBRINHO, M.; ROCHA, G. de M.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Conflitos socioambientais e perspectivas de governança em Unidades de Conservação: o caso da Floresta Estadual do Amapá, Amazônia, Brasil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Desenvolve. Meio Ambiente</w:t>
      </w:r>
      <w:r w:rsidDel="00000000" w:rsidR="00000000" w:rsidRPr="00000000">
        <w:rPr>
          <w:sz w:val="24"/>
          <w:szCs w:val="24"/>
          <w:rtl w:val="0"/>
        </w:rPr>
        <w:t xml:space="preserve">, v. 49, p. 83-107, dez. 2018.</w:t>
      </w:r>
    </w:p>
    <w:p w:rsidR="00000000" w:rsidDel="00000000" w:rsidP="00000000" w:rsidRDefault="00000000" w:rsidRPr="00000000" w14:paraId="0000004C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CORRÊA, M.; PINTO, F. R.; DA SILVA, F. R.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Práticas de Desenvolvimento Sustentável em Unidades de Conservação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Revista Pensamento Contemporâneo em Administração</w:t>
      </w:r>
      <w:r w:rsidDel="00000000" w:rsidR="00000000" w:rsidRPr="00000000">
        <w:rPr>
          <w:sz w:val="24"/>
          <w:szCs w:val="24"/>
          <w:rtl w:val="0"/>
        </w:rPr>
        <w:t xml:space="preserve">, v. 15, n. 4, p. 148-170, 2021. DOI:</w:t>
      </w:r>
      <w:hyperlink r:id="rId1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https://doi.org/10.12712/rpca.v15i4.51768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D">
      <w:pPr>
        <w:spacing w:before="38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CHICO MENDES DE CONSERVAÇÃO DA BIODIVERSIDADE.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Planos de Manejo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E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DO HOMEM E MEIO AMBIENTE - IMAZON. </w:t>
      </w:r>
      <w:r w:rsidDel="00000000" w:rsidR="00000000" w:rsidRPr="00000000">
        <w:rPr>
          <w:i w:val="1"/>
          <w:sz w:val="24"/>
          <w:szCs w:val="24"/>
          <w:rtl w:val="0"/>
        </w:rPr>
        <w:t xml:space="preserve">Calha Norte Sustentável</w:t>
      </w:r>
      <w:r w:rsidDel="00000000" w:rsidR="00000000" w:rsidRPr="00000000">
        <w:rPr>
          <w:sz w:val="24"/>
          <w:szCs w:val="24"/>
          <w:rtl w:val="0"/>
        </w:rPr>
        <w:t xml:space="preserve">. 2011.</w:t>
      </w:r>
    </w:p>
    <w:p w:rsidR="00000000" w:rsidDel="00000000" w:rsidP="00000000" w:rsidRDefault="00000000" w:rsidRPr="00000000" w14:paraId="0000004F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MINISTÉRIO DO MEIO AMBIENTE.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Programa ARPA –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Áreas Protegidas da Amazônia</w:t>
      </w:r>
      <w:r w:rsidDel="00000000" w:rsidR="00000000" w:rsidRPr="00000000">
        <w:rPr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 maior iniciativa de conservação de florestas tropicais do mundo</w:t>
      </w:r>
      <w:r w:rsidDel="00000000" w:rsidR="00000000" w:rsidRPr="00000000">
        <w:rPr>
          <w:sz w:val="24"/>
          <w:szCs w:val="24"/>
          <w:rtl w:val="0"/>
        </w:rPr>
        <w:t xml:space="preserve">. Brasília, 2011.</w:t>
      </w:r>
    </w:p>
    <w:p w:rsidR="00000000" w:rsidDel="00000000" w:rsidP="00000000" w:rsidRDefault="00000000" w:rsidRPr="00000000" w14:paraId="00000050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MINISTÉRIO DO MEIO AMBIENTE. Disponível em:</w:t>
      </w:r>
      <w:hyperlink r:id="rId1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https://www.gov.br/mma/pt-br</w:t>
        </w:r>
      </w:hyperlink>
      <w:r w:rsidDel="00000000" w:rsidR="00000000" w:rsidRPr="00000000">
        <w:rPr>
          <w:sz w:val="24"/>
          <w:szCs w:val="24"/>
          <w:rtl w:val="0"/>
        </w:rPr>
        <w:t xml:space="preserve">. Acesso em: 20 out. 2024.</w:t>
      </w:r>
    </w:p>
    <w:p w:rsidR="00000000" w:rsidDel="00000000" w:rsidP="00000000" w:rsidRDefault="00000000" w:rsidRPr="00000000" w14:paraId="00000051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MELO, G. M.; IRVING, M. A.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Mosaicos de unidades de conservação: desafios para a gestão integrada e participativa para a conservação da natureza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Geografias</w:t>
      </w:r>
      <w:r w:rsidDel="00000000" w:rsidR="00000000" w:rsidRPr="00000000">
        <w:rPr>
          <w:sz w:val="24"/>
          <w:szCs w:val="24"/>
          <w:rtl w:val="0"/>
        </w:rPr>
        <w:t xml:space="preserve">, v. 10, n. 2, p. 46-58, 2014.</w:t>
      </w:r>
    </w:p>
    <w:p w:rsidR="00000000" w:rsidDel="00000000" w:rsidP="00000000" w:rsidRDefault="00000000" w:rsidRPr="00000000" w14:paraId="00000052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MINISTÉRIO DO MEIO AMBIENTE: ICMBio.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PROGRAMA ARPA.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Relatório Anual do Programa ARPA</w:t>
      </w:r>
      <w:r w:rsidDel="00000000" w:rsidR="00000000" w:rsidRPr="00000000">
        <w:rPr>
          <w:i w:val="1"/>
          <w:sz w:val="24"/>
          <w:szCs w:val="24"/>
          <w:rtl w:val="0"/>
        </w:rPr>
        <w:t xml:space="preserve">, 2010</w:t>
      </w:r>
      <w:r w:rsidDel="00000000" w:rsidR="00000000" w:rsidRPr="00000000">
        <w:rPr>
          <w:sz w:val="24"/>
          <w:szCs w:val="24"/>
          <w:rtl w:val="0"/>
        </w:rPr>
        <w:t xml:space="preserve">. 2024.</w:t>
      </w:r>
    </w:p>
    <w:p w:rsidR="00000000" w:rsidDel="00000000" w:rsidP="00000000" w:rsidRDefault="00000000" w:rsidRPr="00000000" w14:paraId="00000053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PEREIRA, D. R.; LOUREIRO, C. F. B.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 gestão integrada dos mosaicos de áreas protegidas como ferramenta para o desenvolvimento da cultura da participação social e da sustentabilidade local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Anais do CONGRESSO NACIONAL DE EXCELÊNCIA EM GESTÃO</w:t>
      </w:r>
      <w:r w:rsidDel="00000000" w:rsidR="00000000" w:rsidRPr="00000000">
        <w:rPr>
          <w:sz w:val="24"/>
          <w:szCs w:val="24"/>
          <w:rtl w:val="0"/>
        </w:rPr>
        <w:t xml:space="preserve">, 2014.</w:t>
      </w:r>
    </w:p>
    <w:p w:rsidR="00000000" w:rsidDel="00000000" w:rsidP="00000000" w:rsidRDefault="00000000" w:rsidRPr="00000000" w14:paraId="00000054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SILVA, E. S.; FLORES, M. S. A.; SIMÕES, A. V.; MARÇAL, C. C. L.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 desafio da gestão de unidades de conservação na zona costeira amazônica: um mosaico como proposta no município de Maracanã, Pará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Agroecossistemas</w:t>
      </w:r>
      <w:r w:rsidDel="00000000" w:rsidR="00000000" w:rsidRPr="00000000">
        <w:rPr>
          <w:sz w:val="24"/>
          <w:szCs w:val="24"/>
          <w:rtl w:val="0"/>
        </w:rPr>
        <w:t xml:space="preserve">, v. 13, n. 2, p. 97-119, 2021.</w:t>
      </w:r>
    </w:p>
    <w:p w:rsidR="00000000" w:rsidDel="00000000" w:rsidP="00000000" w:rsidRDefault="00000000" w:rsidRPr="00000000" w14:paraId="00000055">
      <w:pPr>
        <w:spacing w:line="542" w:lineRule="auto"/>
        <w:ind w:right="2070"/>
        <w:rPr/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40" w:w="11920" w:orient="portrait"/>
      <w:pgMar w:bottom="1160" w:top="2680" w:left="1340" w:right="1340" w:header="1164" w:footer="9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2492375</wp:posOffset>
          </wp:positionH>
          <wp:positionV relativeFrom="paragraph">
            <wp:posOffset>0</wp:posOffset>
          </wp:positionV>
          <wp:extent cx="419100" cy="238125"/>
          <wp:effectExtent b="0" l="0" r="0" t="0"/>
          <wp:wrapNone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238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901700</wp:posOffset>
          </wp:positionH>
          <wp:positionV relativeFrom="paragraph">
            <wp:posOffset>57150</wp:posOffset>
          </wp:positionV>
          <wp:extent cx="1430908" cy="390351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0908" cy="3903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3692525</wp:posOffset>
          </wp:positionH>
          <wp:positionV relativeFrom="paragraph">
            <wp:posOffset>85725</wp:posOffset>
          </wp:positionV>
          <wp:extent cx="914400" cy="352425"/>
          <wp:effectExtent b="0" l="0" r="0" t="0"/>
          <wp:wrapNone/>
          <wp:docPr id="9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352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3025775</wp:posOffset>
          </wp:positionH>
          <wp:positionV relativeFrom="paragraph">
            <wp:posOffset>28575</wp:posOffset>
          </wp:positionV>
          <wp:extent cx="542925" cy="381000"/>
          <wp:effectExtent b="0" l="0" r="0" t="0"/>
          <wp:wrapNone/>
          <wp:docPr id="8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925" cy="381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4845050</wp:posOffset>
          </wp:positionH>
          <wp:positionV relativeFrom="paragraph">
            <wp:posOffset>66675</wp:posOffset>
          </wp:positionV>
          <wp:extent cx="752475" cy="333375"/>
          <wp:effectExtent b="0" l="0" r="0" t="0"/>
          <wp:wrapNone/>
          <wp:docPr id="4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333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177800</wp:posOffset>
          </wp:positionH>
          <wp:positionV relativeFrom="paragraph">
            <wp:posOffset>104775</wp:posOffset>
          </wp:positionV>
          <wp:extent cx="600075" cy="190500"/>
          <wp:effectExtent b="0" l="0" r="0" t="0"/>
          <wp:wrapNone/>
          <wp:docPr id="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3191496</wp:posOffset>
          </wp:positionH>
          <wp:positionV relativeFrom="page">
            <wp:posOffset>738998</wp:posOffset>
          </wp:positionV>
          <wp:extent cx="1175667" cy="971902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5667" cy="9719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20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166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46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030" w:hanging="360"/>
      </w:pPr>
      <w:rPr/>
    </w:lvl>
    <w:lvl w:ilvl="6">
      <w:start w:val="0"/>
      <w:numFmt w:val="bullet"/>
      <w:lvlText w:val="•"/>
      <w:lvlJc w:val="left"/>
      <w:pPr>
        <w:ind w:left="5872" w:hanging="360"/>
      </w:pPr>
      <w:rPr/>
    </w:lvl>
    <w:lvl w:ilvl="7">
      <w:start w:val="0"/>
      <w:numFmt w:val="bullet"/>
      <w:lvlText w:val="•"/>
      <w:lvlJc w:val="left"/>
      <w:pPr>
        <w:ind w:left="6714" w:hanging="360"/>
      </w:pPr>
      <w:rPr/>
    </w:lvl>
    <w:lvl w:ilvl="8">
      <w:start w:val="0"/>
      <w:numFmt w:val="bullet"/>
      <w:lvlText w:val="•"/>
      <w:lvlJc w:val="left"/>
      <w:pPr>
        <w:ind w:left="755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81" w:hanging="181"/>
      </w:pPr>
      <w:rPr/>
    </w:lvl>
    <w:lvl w:ilvl="1">
      <w:start w:val="1"/>
      <w:numFmt w:val="decimal"/>
      <w:lvlText w:val="%1.%2."/>
      <w:lvlJc w:val="left"/>
      <w:pPr>
        <w:ind w:left="1166" w:hanging="36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2057" w:hanging="361"/>
      </w:pPr>
      <w:rPr/>
    </w:lvl>
    <w:lvl w:ilvl="3">
      <w:start w:val="0"/>
      <w:numFmt w:val="bullet"/>
      <w:lvlText w:val="•"/>
      <w:lvlJc w:val="left"/>
      <w:pPr>
        <w:ind w:left="2955" w:hanging="361"/>
      </w:pPr>
      <w:rPr/>
    </w:lvl>
    <w:lvl w:ilvl="4">
      <w:start w:val="0"/>
      <w:numFmt w:val="bullet"/>
      <w:lvlText w:val="•"/>
      <w:lvlJc w:val="left"/>
      <w:pPr>
        <w:ind w:left="3853" w:hanging="361"/>
      </w:pPr>
      <w:rPr/>
    </w:lvl>
    <w:lvl w:ilvl="5">
      <w:start w:val="0"/>
      <w:numFmt w:val="bullet"/>
      <w:lvlText w:val="•"/>
      <w:lvlJc w:val="left"/>
      <w:pPr>
        <w:ind w:left="4751" w:hanging="361"/>
      </w:pPr>
      <w:rPr/>
    </w:lvl>
    <w:lvl w:ilvl="6">
      <w:start w:val="0"/>
      <w:numFmt w:val="bullet"/>
      <w:lvlText w:val="•"/>
      <w:lvlJc w:val="left"/>
      <w:pPr>
        <w:ind w:left="5648" w:hanging="361.0000000000009"/>
      </w:pPr>
      <w:rPr/>
    </w:lvl>
    <w:lvl w:ilvl="7">
      <w:start w:val="0"/>
      <w:numFmt w:val="bullet"/>
      <w:lvlText w:val="•"/>
      <w:lvlJc w:val="left"/>
      <w:pPr>
        <w:ind w:left="6546" w:hanging="361"/>
      </w:pPr>
      <w:rPr/>
    </w:lvl>
    <w:lvl w:ilvl="8">
      <w:start w:val="0"/>
      <w:numFmt w:val="bullet"/>
      <w:lvlText w:val="•"/>
      <w:lvlJc w:val="left"/>
      <w:pPr>
        <w:ind w:left="7444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ov.br/mma/pt-br" TargetMode="External"/><Relationship Id="rId11" Type="http://schemas.openxmlformats.org/officeDocument/2006/relationships/hyperlink" Target="mailto:denise.costa@uepa.br" TargetMode="External"/><Relationship Id="rId22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21" Type="http://schemas.openxmlformats.org/officeDocument/2006/relationships/header" Target="header1.xml"/><Relationship Id="rId13" Type="http://schemas.openxmlformats.org/officeDocument/2006/relationships/image" Target="media/image2.pn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yperlink" Target="https://imazon.org.br/imprensa/gestao-territorial-de-areas-protegidas-da-calha-norte-paraense-e-tema-de-evento-em-belem/" TargetMode="External"/><Relationship Id="rId14" Type="http://schemas.openxmlformats.org/officeDocument/2006/relationships/image" Target="media/image4.png"/><Relationship Id="rId17" Type="http://schemas.openxmlformats.org/officeDocument/2006/relationships/hyperlink" Target="https://doi.org/10.12712/rpca.v15i4.51768" TargetMode="External"/><Relationship Id="rId16" Type="http://schemas.openxmlformats.org/officeDocument/2006/relationships/hyperlink" Target="https://imazon.org.br/imprensa/gestao-territorial-de-areas-protegidas-da-calha-norte-paraense-e-tema-de-evento-em-belem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gov.br/mma/pt-br" TargetMode="External"/><Relationship Id="rId6" Type="http://schemas.openxmlformats.org/officeDocument/2006/relationships/image" Target="media/image8.png"/><Relationship Id="rId18" Type="http://schemas.openxmlformats.org/officeDocument/2006/relationships/hyperlink" Target="https://doi.org/10.12712/rpca.v15i4.51768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Evelyn.vandrade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11.png"/><Relationship Id="rId4" Type="http://schemas.openxmlformats.org/officeDocument/2006/relationships/image" Target="media/image10.png"/><Relationship Id="rId5" Type="http://schemas.openxmlformats.org/officeDocument/2006/relationships/image" Target="media/image9.png"/><Relationship Id="rId6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