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B6516" w14:textId="5529BB32" w:rsidR="001D2667" w:rsidRDefault="001D2667" w:rsidP="00905C77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after="240"/>
        <w:jc w:val="center"/>
        <w:rPr>
          <w:b/>
          <w:sz w:val="24"/>
          <w:szCs w:val="24"/>
        </w:rPr>
      </w:pPr>
      <w:r w:rsidRPr="001D2667">
        <w:rPr>
          <w:b/>
          <w:sz w:val="24"/>
          <w:szCs w:val="24"/>
        </w:rPr>
        <w:t xml:space="preserve">INFLUÊNCIA DA SAZONALIDADE NA EXTRAÇÃO DE COMPOSTOS BIOATIVOS DO ÓLEO ESSENCIAL DE </w:t>
      </w:r>
      <w:r w:rsidRPr="001D2667">
        <w:rPr>
          <w:b/>
          <w:i/>
          <w:iCs/>
          <w:sz w:val="24"/>
          <w:szCs w:val="24"/>
        </w:rPr>
        <w:t>Piper longum</w:t>
      </w:r>
      <w:r w:rsidRPr="001D2667">
        <w:rPr>
          <w:b/>
          <w:sz w:val="24"/>
          <w:szCs w:val="24"/>
        </w:rPr>
        <w:t xml:space="preserve"> Linn</w:t>
      </w:r>
    </w:p>
    <w:p w14:paraId="136D3C0C" w14:textId="77777777" w:rsidR="00905C77" w:rsidRPr="00905C77" w:rsidRDefault="00905C77" w:rsidP="00905C77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 w:rsidRPr="00905C77">
        <w:rPr>
          <w:sz w:val="24"/>
          <w:szCs w:val="24"/>
        </w:rPr>
        <w:t>Raissa Gerald Santos</w:t>
      </w:r>
      <w:r w:rsidRPr="00905C77">
        <w:rPr>
          <w:sz w:val="24"/>
          <w:szCs w:val="24"/>
          <w:vertAlign w:val="superscript"/>
        </w:rPr>
        <w:t>1</w:t>
      </w:r>
      <w:r w:rsidRPr="00905C77">
        <w:rPr>
          <w:sz w:val="24"/>
          <w:szCs w:val="24"/>
        </w:rPr>
        <w:t xml:space="preserve">; Jamile Silva da Costa </w:t>
      </w:r>
      <w:r w:rsidRPr="00905C77">
        <w:rPr>
          <w:sz w:val="24"/>
          <w:szCs w:val="24"/>
          <w:vertAlign w:val="superscript"/>
        </w:rPr>
        <w:t>2</w:t>
      </w:r>
      <w:r w:rsidRPr="00905C77">
        <w:rPr>
          <w:sz w:val="24"/>
          <w:szCs w:val="24"/>
        </w:rPr>
        <w:t>; Pablo Luis Baia Figueiredo</w:t>
      </w:r>
      <w:r w:rsidRPr="00905C77">
        <w:rPr>
          <w:sz w:val="24"/>
          <w:szCs w:val="24"/>
          <w:vertAlign w:val="superscript"/>
        </w:rPr>
        <w:t>3</w:t>
      </w:r>
    </w:p>
    <w:p w14:paraId="60A55D71" w14:textId="77777777" w:rsidR="00905C77" w:rsidRPr="00905C77" w:rsidRDefault="00905C77" w:rsidP="00905C77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</w:p>
    <w:p w14:paraId="42FEA406" w14:textId="3E26172F" w:rsidR="00905C77" w:rsidRPr="00905C77" w:rsidRDefault="00905C77" w:rsidP="00905C77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 w:rsidRPr="00905C77">
        <w:rPr>
          <w:sz w:val="24"/>
          <w:szCs w:val="24"/>
          <w:vertAlign w:val="superscript"/>
        </w:rPr>
        <w:t>1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Especialista em Produtos Naturais derivados de plantas. Faculdade Iguaçu</w:t>
      </w:r>
      <w:r w:rsidRPr="00905C77">
        <w:rPr>
          <w:sz w:val="24"/>
          <w:szCs w:val="24"/>
        </w:rPr>
        <w:t>.</w:t>
      </w:r>
    </w:p>
    <w:p w14:paraId="3DE74A34" w14:textId="77777777" w:rsidR="00905C77" w:rsidRPr="00905C77" w:rsidRDefault="00905C77" w:rsidP="00905C77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 w:rsidRPr="00905C77">
        <w:rPr>
          <w:sz w:val="24"/>
          <w:szCs w:val="24"/>
        </w:rPr>
        <w:t>raissagerald@gmail.com</w:t>
      </w:r>
    </w:p>
    <w:p w14:paraId="6D16866D" w14:textId="77777777" w:rsidR="00905C77" w:rsidRPr="00905C77" w:rsidRDefault="00905C77" w:rsidP="00905C77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 w:rsidRPr="00905C77">
        <w:rPr>
          <w:sz w:val="24"/>
          <w:szCs w:val="24"/>
          <w:vertAlign w:val="superscript"/>
        </w:rPr>
        <w:t>2</w:t>
      </w:r>
      <w:r w:rsidRPr="00905C77">
        <w:rPr>
          <w:sz w:val="24"/>
          <w:szCs w:val="24"/>
        </w:rPr>
        <w:t xml:space="preserve"> Doutoranda em Farmacologia e Bioquímica. Universidade Federal do Pará. </w:t>
      </w:r>
    </w:p>
    <w:p w14:paraId="14300620" w14:textId="77777777" w:rsidR="00905C77" w:rsidRPr="00905C77" w:rsidRDefault="00905C77" w:rsidP="00905C77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 w:rsidRPr="00905C77">
        <w:rPr>
          <w:sz w:val="24"/>
          <w:szCs w:val="24"/>
        </w:rPr>
        <w:t>jamile.costa@ics.ufpa.br</w:t>
      </w:r>
    </w:p>
    <w:p w14:paraId="1167BD4A" w14:textId="77777777" w:rsidR="00905C77" w:rsidRPr="00905C77" w:rsidRDefault="00905C77" w:rsidP="00905C77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 w:rsidRPr="00905C77">
        <w:rPr>
          <w:sz w:val="24"/>
          <w:szCs w:val="24"/>
          <w:vertAlign w:val="superscript"/>
        </w:rPr>
        <w:t>3</w:t>
      </w:r>
      <w:r w:rsidRPr="00905C77">
        <w:rPr>
          <w:sz w:val="24"/>
          <w:szCs w:val="24"/>
        </w:rPr>
        <w:t xml:space="preserve"> Doutor em Química. Universidade Federal do Pará. </w:t>
      </w:r>
    </w:p>
    <w:p w14:paraId="55492490" w14:textId="53D5742F" w:rsidR="00905C77" w:rsidRPr="00905C77" w:rsidRDefault="00905C77" w:rsidP="00905C77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 w:rsidRPr="00905C77">
        <w:rPr>
          <w:sz w:val="24"/>
          <w:szCs w:val="24"/>
        </w:rPr>
        <w:t>pablo.figueiredo@uepa.br</w:t>
      </w:r>
    </w:p>
    <w:p w14:paraId="6562E980" w14:textId="77777777" w:rsidR="003949CE" w:rsidRDefault="003949CE" w:rsidP="001E5ECA">
      <w:pPr>
        <w:keepLines/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10" w:lineRule="auto"/>
        <w:rPr>
          <w:sz w:val="24"/>
          <w:szCs w:val="24"/>
        </w:rPr>
      </w:pPr>
    </w:p>
    <w:p w14:paraId="1EA4B476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RESUMO</w:t>
      </w:r>
    </w:p>
    <w:p w14:paraId="1E02BB42" w14:textId="3290AA3C" w:rsidR="00250EDA" w:rsidRDefault="00AC4DF1" w:rsidP="00250EDA">
      <w:pPr>
        <w:shd w:val="clear" w:color="auto" w:fill="FFFFFF"/>
        <w:tabs>
          <w:tab w:val="left" w:pos="2500"/>
        </w:tabs>
        <w:jc w:val="both"/>
        <w:rPr>
          <w:sz w:val="24"/>
          <w:szCs w:val="24"/>
        </w:rPr>
      </w:pPr>
      <w:r w:rsidRPr="00AC4DF1">
        <w:rPr>
          <w:i/>
          <w:sz w:val="24"/>
          <w:szCs w:val="24"/>
        </w:rPr>
        <w:t>Piper longum</w:t>
      </w:r>
      <w:r w:rsidRPr="00AC4DF1">
        <w:rPr>
          <w:sz w:val="24"/>
          <w:szCs w:val="24"/>
        </w:rPr>
        <w:t xml:space="preserve"> Linn (Piperaceae), conhecida </w:t>
      </w:r>
      <w:r w:rsidR="00294CFD">
        <w:rPr>
          <w:sz w:val="24"/>
          <w:szCs w:val="24"/>
        </w:rPr>
        <w:t xml:space="preserve">popularmente </w:t>
      </w:r>
      <w:r w:rsidRPr="00AC4DF1">
        <w:rPr>
          <w:sz w:val="24"/>
          <w:szCs w:val="24"/>
        </w:rPr>
        <w:t xml:space="preserve">como "pimenta longa", </w:t>
      </w:r>
      <w:r>
        <w:rPr>
          <w:sz w:val="24"/>
          <w:szCs w:val="24"/>
        </w:rPr>
        <w:t xml:space="preserve">apresenta potencial na </w:t>
      </w:r>
      <w:r w:rsidRPr="00AC4DF1">
        <w:rPr>
          <w:sz w:val="24"/>
          <w:szCs w:val="24"/>
        </w:rPr>
        <w:t xml:space="preserve">produção de óleo essencial com </w:t>
      </w:r>
      <w:r>
        <w:rPr>
          <w:sz w:val="24"/>
          <w:szCs w:val="24"/>
        </w:rPr>
        <w:t xml:space="preserve">diversas </w:t>
      </w:r>
      <w:r w:rsidRPr="00AC4DF1">
        <w:rPr>
          <w:sz w:val="24"/>
          <w:szCs w:val="24"/>
        </w:rPr>
        <w:t>propriedades biológicas</w:t>
      </w:r>
      <w:r>
        <w:rPr>
          <w:sz w:val="24"/>
          <w:szCs w:val="24"/>
        </w:rPr>
        <w:t>. N</w:t>
      </w:r>
      <w:r w:rsidRPr="004632C4">
        <w:rPr>
          <w:sz w:val="24"/>
          <w:szCs w:val="24"/>
        </w:rPr>
        <w:t>o contexto das mudanças climáticas</w:t>
      </w:r>
      <w:r>
        <w:rPr>
          <w:sz w:val="24"/>
          <w:szCs w:val="24"/>
        </w:rPr>
        <w:t xml:space="preserve"> a </w:t>
      </w:r>
      <w:r w:rsidR="004632C4" w:rsidRPr="004632C4">
        <w:rPr>
          <w:sz w:val="24"/>
          <w:szCs w:val="24"/>
        </w:rPr>
        <w:t>composição</w:t>
      </w:r>
      <w:r>
        <w:rPr>
          <w:sz w:val="24"/>
          <w:szCs w:val="24"/>
        </w:rPr>
        <w:t xml:space="preserve"> química</w:t>
      </w:r>
      <w:r w:rsidR="004632C4" w:rsidRPr="004632C4">
        <w:rPr>
          <w:sz w:val="24"/>
          <w:szCs w:val="24"/>
        </w:rPr>
        <w:t xml:space="preserve"> e </w:t>
      </w:r>
      <w:r w:rsidR="00AF4B6F">
        <w:rPr>
          <w:sz w:val="24"/>
          <w:szCs w:val="24"/>
        </w:rPr>
        <w:t xml:space="preserve">o </w:t>
      </w:r>
      <w:r w:rsidR="004632C4" w:rsidRPr="004632C4">
        <w:rPr>
          <w:sz w:val="24"/>
          <w:szCs w:val="24"/>
        </w:rPr>
        <w:t>rendimento podem ser afetados pelas variações sazonais, influenciando sua aplicabilidade</w:t>
      </w:r>
      <w:r>
        <w:rPr>
          <w:sz w:val="24"/>
          <w:szCs w:val="24"/>
        </w:rPr>
        <w:t xml:space="preserve"> farmacológica</w:t>
      </w:r>
      <w:r w:rsidR="004632C4" w:rsidRPr="004632C4">
        <w:rPr>
          <w:sz w:val="24"/>
          <w:szCs w:val="24"/>
        </w:rPr>
        <w:t xml:space="preserve">. O objetivo do trabalho foi </w:t>
      </w:r>
      <w:r w:rsidR="004632C4">
        <w:rPr>
          <w:sz w:val="24"/>
          <w:szCs w:val="24"/>
        </w:rPr>
        <w:t xml:space="preserve">investigar </w:t>
      </w:r>
      <w:r w:rsidR="004632C4" w:rsidRPr="004632C4">
        <w:rPr>
          <w:sz w:val="24"/>
          <w:szCs w:val="24"/>
        </w:rPr>
        <w:t xml:space="preserve">a influência da sazonalidade na </w:t>
      </w:r>
      <w:r>
        <w:rPr>
          <w:sz w:val="24"/>
          <w:szCs w:val="24"/>
        </w:rPr>
        <w:t xml:space="preserve">extração </w:t>
      </w:r>
      <w:r w:rsidR="004632C4" w:rsidRPr="004632C4">
        <w:rPr>
          <w:sz w:val="24"/>
          <w:szCs w:val="24"/>
        </w:rPr>
        <w:t xml:space="preserve">de compostos </w:t>
      </w:r>
      <w:r>
        <w:rPr>
          <w:sz w:val="24"/>
          <w:szCs w:val="24"/>
        </w:rPr>
        <w:t>bio</w:t>
      </w:r>
      <w:r w:rsidR="004632C4" w:rsidRPr="004632C4">
        <w:rPr>
          <w:sz w:val="24"/>
          <w:szCs w:val="24"/>
        </w:rPr>
        <w:t>ativos no óleo essencial de</w:t>
      </w:r>
      <w:r w:rsidR="004632C4" w:rsidRPr="004632C4">
        <w:rPr>
          <w:i/>
          <w:sz w:val="24"/>
          <w:szCs w:val="24"/>
        </w:rPr>
        <w:t xml:space="preserve"> P. longum</w:t>
      </w:r>
      <w:r w:rsidR="004632C4" w:rsidRPr="004632C4">
        <w:rPr>
          <w:sz w:val="24"/>
          <w:szCs w:val="24"/>
        </w:rPr>
        <w:t xml:space="preserve">. </w:t>
      </w:r>
      <w:r w:rsidR="00250EDA">
        <w:rPr>
          <w:sz w:val="24"/>
          <w:szCs w:val="24"/>
        </w:rPr>
        <w:t>Para  tanto, um espécime foi obtido</w:t>
      </w:r>
      <w:r w:rsidR="004632C4" w:rsidRPr="004632C4">
        <w:rPr>
          <w:sz w:val="24"/>
          <w:szCs w:val="24"/>
        </w:rPr>
        <w:t xml:space="preserve"> na região metropolitana de Belém, Pará, Brasil, durante diferentes períodos climáticos: chuvoso, transição e seco, com coletas bimestrais. As folhas foram submetidas à hidrodestilação por 3 horas em um aparelho Clevenger, e suas composições químicas foram analisadas por cromatografia g</w:t>
      </w:r>
      <w:r w:rsidR="00EF6C17">
        <w:rPr>
          <w:sz w:val="24"/>
          <w:szCs w:val="24"/>
        </w:rPr>
        <w:t xml:space="preserve">asosa/espectrometria de massas. </w:t>
      </w:r>
      <w:r w:rsidR="004632C4" w:rsidRPr="004632C4">
        <w:rPr>
          <w:sz w:val="24"/>
          <w:szCs w:val="24"/>
        </w:rPr>
        <w:t>Análises estatísticas avaliaram as influências climáticas sobre os rendimentos e a composição do óleo essencial.</w:t>
      </w:r>
      <w:r>
        <w:rPr>
          <w:sz w:val="24"/>
          <w:szCs w:val="24"/>
        </w:rPr>
        <w:t xml:space="preserve"> Observou-se </w:t>
      </w:r>
      <w:r w:rsidR="004632C4" w:rsidRPr="004632C4">
        <w:rPr>
          <w:sz w:val="24"/>
          <w:szCs w:val="24"/>
        </w:rPr>
        <w:t xml:space="preserve">que o maior rendimento ocorreu no período chuvoso (1,2%) e o menor no seco (0,7%). </w:t>
      </w:r>
      <w:r w:rsidR="00EF6C17">
        <w:rPr>
          <w:sz w:val="24"/>
          <w:szCs w:val="24"/>
        </w:rPr>
        <w:t xml:space="preserve">Estastisticamente, a </w:t>
      </w:r>
      <w:r w:rsidR="004632C4" w:rsidRPr="004632C4">
        <w:rPr>
          <w:sz w:val="24"/>
          <w:szCs w:val="24"/>
        </w:rPr>
        <w:t xml:space="preserve">produção de óleo essencial </w:t>
      </w:r>
      <w:r>
        <w:rPr>
          <w:sz w:val="24"/>
          <w:szCs w:val="24"/>
        </w:rPr>
        <w:t>foi</w:t>
      </w:r>
      <w:r w:rsidR="004632C4" w:rsidRPr="004632C4">
        <w:rPr>
          <w:sz w:val="24"/>
          <w:szCs w:val="24"/>
        </w:rPr>
        <w:t xml:space="preserve"> independente dos agentes sazonais. A classe </w:t>
      </w:r>
      <w:r w:rsidR="004C1D1A">
        <w:rPr>
          <w:sz w:val="24"/>
          <w:szCs w:val="24"/>
        </w:rPr>
        <w:t xml:space="preserve">química </w:t>
      </w:r>
      <w:r w:rsidR="004632C4" w:rsidRPr="004632C4">
        <w:rPr>
          <w:sz w:val="24"/>
          <w:szCs w:val="24"/>
        </w:rPr>
        <w:t>predominante foi a dos hidrocarbonetos s</w:t>
      </w:r>
      <w:r>
        <w:rPr>
          <w:sz w:val="24"/>
          <w:szCs w:val="24"/>
        </w:rPr>
        <w:t>esquiterpênicos (52,4 – 72,2%).</w:t>
      </w:r>
      <w:r w:rsidR="00EF6C17">
        <w:rPr>
          <w:sz w:val="24"/>
          <w:szCs w:val="24"/>
        </w:rPr>
        <w:t xml:space="preserve"> </w:t>
      </w:r>
      <w:r w:rsidR="004C1D1A" w:rsidRPr="004C1D1A">
        <w:rPr>
          <w:sz w:val="24"/>
          <w:szCs w:val="24"/>
        </w:rPr>
        <w:t xml:space="preserve">Os principais constituintes bioativos identificados foram o sesquiterpeno </w:t>
      </w:r>
      <w:r w:rsidR="004C1D1A" w:rsidRPr="00EF6C17">
        <w:rPr>
          <w:i/>
          <w:sz w:val="24"/>
          <w:szCs w:val="24"/>
        </w:rPr>
        <w:t>E</w:t>
      </w:r>
      <w:r w:rsidR="004C1D1A" w:rsidRPr="004C1D1A">
        <w:rPr>
          <w:sz w:val="24"/>
          <w:szCs w:val="24"/>
        </w:rPr>
        <w:t xml:space="preserve">-cariofileno e o sesquiterpeno oxigenado </w:t>
      </w:r>
      <w:r w:rsidR="004C1D1A" w:rsidRPr="00EF6C17">
        <w:rPr>
          <w:i/>
          <w:sz w:val="24"/>
          <w:szCs w:val="24"/>
        </w:rPr>
        <w:t>E</w:t>
      </w:r>
      <w:r w:rsidR="004C1D1A" w:rsidRPr="004C1D1A">
        <w:rPr>
          <w:sz w:val="24"/>
          <w:szCs w:val="24"/>
        </w:rPr>
        <w:t>-nerolidol, com concentrações que variaram ao longo das estações.</w:t>
      </w:r>
      <w:r w:rsidR="00AF4B6F">
        <w:rPr>
          <w:sz w:val="24"/>
          <w:szCs w:val="24"/>
        </w:rPr>
        <w:t xml:space="preserve"> O período </w:t>
      </w:r>
      <w:r w:rsidR="00EF6C17">
        <w:rPr>
          <w:sz w:val="24"/>
          <w:szCs w:val="24"/>
        </w:rPr>
        <w:t>de transição (maio) foi indica</w:t>
      </w:r>
      <w:r w:rsidR="00EF6C17" w:rsidRPr="00EF6C17">
        <w:rPr>
          <w:sz w:val="24"/>
          <w:szCs w:val="24"/>
        </w:rPr>
        <w:t>do</w:t>
      </w:r>
      <w:r w:rsidR="00EF6C17">
        <w:rPr>
          <w:sz w:val="24"/>
          <w:szCs w:val="24"/>
        </w:rPr>
        <w:t xml:space="preserve"> com</w:t>
      </w:r>
      <w:r w:rsidR="00EF6C17" w:rsidRPr="00EF6C17">
        <w:rPr>
          <w:sz w:val="24"/>
          <w:szCs w:val="24"/>
        </w:rPr>
        <w:t xml:space="preserve"> maior concentração de se</w:t>
      </w:r>
      <w:r w:rsidR="00EF6C17">
        <w:rPr>
          <w:sz w:val="24"/>
          <w:szCs w:val="24"/>
        </w:rPr>
        <w:t xml:space="preserve">squiterpenos anti-inflamatórios, sendo o </w:t>
      </w:r>
      <w:r w:rsidR="00EF6C17" w:rsidRPr="00EF6C17">
        <w:rPr>
          <w:i/>
          <w:sz w:val="24"/>
          <w:szCs w:val="24"/>
        </w:rPr>
        <w:t>E</w:t>
      </w:r>
      <w:r w:rsidR="00EF6C17" w:rsidRPr="00EF6C17">
        <w:rPr>
          <w:sz w:val="24"/>
          <w:szCs w:val="24"/>
        </w:rPr>
        <w:t>-cariofileno</w:t>
      </w:r>
      <w:r w:rsidR="00EF6C17">
        <w:rPr>
          <w:sz w:val="24"/>
          <w:szCs w:val="24"/>
        </w:rPr>
        <w:t xml:space="preserve"> com</w:t>
      </w:r>
      <w:r w:rsidR="00AF4B6F">
        <w:rPr>
          <w:sz w:val="24"/>
          <w:szCs w:val="24"/>
        </w:rPr>
        <w:t xml:space="preserve"> o</w:t>
      </w:r>
      <w:r w:rsidR="00EF6C17">
        <w:rPr>
          <w:sz w:val="24"/>
          <w:szCs w:val="24"/>
        </w:rPr>
        <w:t xml:space="preserve"> teor de 21,7% </w:t>
      </w:r>
      <w:r w:rsidR="00EF6C17" w:rsidRPr="00EF6C17">
        <w:rPr>
          <w:sz w:val="24"/>
          <w:szCs w:val="24"/>
        </w:rPr>
        <w:t xml:space="preserve">, </w:t>
      </w:r>
      <w:r w:rsidR="00EF6C17">
        <w:rPr>
          <w:sz w:val="24"/>
          <w:szCs w:val="24"/>
        </w:rPr>
        <w:t xml:space="preserve">e o </w:t>
      </w:r>
      <w:r w:rsidR="00EF6C17" w:rsidRPr="004D77C0">
        <w:rPr>
          <w:i/>
          <w:sz w:val="24"/>
          <w:szCs w:val="24"/>
        </w:rPr>
        <w:t>E</w:t>
      </w:r>
      <w:r w:rsidR="00EF6C17">
        <w:rPr>
          <w:sz w:val="24"/>
          <w:szCs w:val="24"/>
        </w:rPr>
        <w:t>-nerolidol  com 29,8%</w:t>
      </w:r>
      <w:r w:rsidR="004C1D1A" w:rsidRPr="004C1D1A">
        <w:rPr>
          <w:sz w:val="24"/>
          <w:szCs w:val="24"/>
        </w:rPr>
        <w:t>.</w:t>
      </w:r>
      <w:r w:rsidR="004632C4" w:rsidRPr="004632C4">
        <w:rPr>
          <w:sz w:val="24"/>
          <w:szCs w:val="24"/>
        </w:rPr>
        <w:t xml:space="preserve"> Apesar da mínima influência dos fatores sazonais na produção e composição química, é necessário </w:t>
      </w:r>
      <w:r w:rsidR="00AF4B6F">
        <w:rPr>
          <w:sz w:val="24"/>
          <w:szCs w:val="24"/>
        </w:rPr>
        <w:t xml:space="preserve">o </w:t>
      </w:r>
      <w:r w:rsidR="004632C4" w:rsidRPr="004632C4">
        <w:rPr>
          <w:sz w:val="24"/>
          <w:szCs w:val="24"/>
        </w:rPr>
        <w:t>monitoramento para ajustar as coletas a períodos de maior concentração, além de estudos adicionais para valid</w:t>
      </w:r>
      <w:r w:rsidR="00AF4B6F">
        <w:rPr>
          <w:sz w:val="24"/>
          <w:szCs w:val="24"/>
        </w:rPr>
        <w:t xml:space="preserve">ar as atividades biológicas desses </w:t>
      </w:r>
      <w:r w:rsidR="004632C4" w:rsidRPr="004632C4">
        <w:rPr>
          <w:sz w:val="24"/>
          <w:szCs w:val="24"/>
        </w:rPr>
        <w:t>compostos. Assim, o estudo contribui para o conhecim</w:t>
      </w:r>
      <w:r w:rsidR="00942175">
        <w:rPr>
          <w:sz w:val="24"/>
          <w:szCs w:val="24"/>
        </w:rPr>
        <w:t>ento fitoquímico desta espécie n</w:t>
      </w:r>
      <w:r w:rsidR="004632C4" w:rsidRPr="004632C4">
        <w:rPr>
          <w:sz w:val="24"/>
          <w:szCs w:val="24"/>
        </w:rPr>
        <w:t>a região amazônica paraense.</w:t>
      </w:r>
    </w:p>
    <w:p w14:paraId="2EC4B61E" w14:textId="77777777" w:rsidR="00ED0CE5" w:rsidRDefault="00ED0CE5" w:rsidP="00250EDA">
      <w:pPr>
        <w:shd w:val="clear" w:color="auto" w:fill="FFFFFF"/>
        <w:tabs>
          <w:tab w:val="left" w:pos="2500"/>
        </w:tabs>
        <w:jc w:val="both"/>
        <w:rPr>
          <w:sz w:val="24"/>
          <w:szCs w:val="24"/>
        </w:rPr>
      </w:pPr>
    </w:p>
    <w:p w14:paraId="5A93BFDA" w14:textId="7886D6B0" w:rsidR="003949CE" w:rsidRDefault="003949CE" w:rsidP="001D2667">
      <w:pPr>
        <w:shd w:val="clear" w:color="auto" w:fill="FFFFFF"/>
        <w:tabs>
          <w:tab w:val="left" w:pos="2500"/>
        </w:tabs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 w:rsidR="00ED0CE5">
        <w:rPr>
          <w:sz w:val="24"/>
          <w:szCs w:val="24"/>
        </w:rPr>
        <w:t xml:space="preserve">Metabólitos secundários; Mundanças climáticas; </w:t>
      </w:r>
      <w:r w:rsidR="001D2667">
        <w:rPr>
          <w:sz w:val="24"/>
          <w:szCs w:val="24"/>
        </w:rPr>
        <w:t>Atividade anti-inflamatória.</w:t>
      </w:r>
    </w:p>
    <w:p w14:paraId="71340687" w14:textId="77777777" w:rsidR="003949CE" w:rsidRDefault="003949CE" w:rsidP="003949CE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</w:p>
    <w:p w14:paraId="278DBA84" w14:textId="4D54AD17" w:rsidR="003949CE" w:rsidRDefault="003949CE" w:rsidP="00294CFD">
      <w:pPr>
        <w:shd w:val="clear" w:color="auto" w:fill="FFFFFF"/>
        <w:tabs>
          <w:tab w:val="left" w:pos="25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Área de Interesse do Simpósio</w:t>
      </w:r>
      <w:r>
        <w:rPr>
          <w:sz w:val="24"/>
          <w:szCs w:val="24"/>
        </w:rPr>
        <w:t xml:space="preserve">: </w:t>
      </w:r>
      <w:r w:rsidR="00294CFD">
        <w:rPr>
          <w:color w:val="000000"/>
        </w:rPr>
        <w:t>Ciências Exatas e da Terra.</w:t>
      </w:r>
    </w:p>
    <w:p w14:paraId="45B27B6B" w14:textId="1FA473F8" w:rsidR="003949CE" w:rsidRDefault="003949CE" w:rsidP="0059394F">
      <w:pPr>
        <w:pBdr>
          <w:bottom w:val="none" w:sz="0" w:space="8" w:color="000000"/>
        </w:pBdr>
        <w:shd w:val="clear" w:color="auto" w:fill="FFFFFF"/>
        <w:tabs>
          <w:tab w:val="left" w:pos="2500"/>
        </w:tabs>
        <w:rPr>
          <w:sz w:val="24"/>
          <w:szCs w:val="24"/>
        </w:rPr>
      </w:pPr>
      <w:r>
        <w:br w:type="page"/>
      </w:r>
    </w:p>
    <w:p w14:paraId="6B35A14B" w14:textId="23287598" w:rsidR="003949CE" w:rsidRDefault="003949CE" w:rsidP="00CB6F78">
      <w:pPr>
        <w:pBdr>
          <w:bottom w:val="none" w:sz="0" w:space="5" w:color="000000"/>
        </w:pBdr>
        <w:shd w:val="clear" w:color="auto" w:fill="FFFFFF"/>
        <w:tabs>
          <w:tab w:val="left" w:pos="2500"/>
        </w:tabs>
        <w:spacing w:after="240" w:line="360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lastRenderedPageBreak/>
        <w:t>1. INTRODUÇÃO</w:t>
      </w:r>
    </w:p>
    <w:p w14:paraId="2536D7EE" w14:textId="58305B8B" w:rsidR="007B7999" w:rsidRPr="007B7999" w:rsidRDefault="007B7999" w:rsidP="00CB6F78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line="360" w:lineRule="auto"/>
        <w:ind w:firstLine="709"/>
        <w:jc w:val="both"/>
        <w:rPr>
          <w:sz w:val="24"/>
          <w:szCs w:val="24"/>
        </w:rPr>
      </w:pPr>
      <w:r w:rsidRPr="007B7999">
        <w:rPr>
          <w:sz w:val="24"/>
          <w:szCs w:val="24"/>
        </w:rPr>
        <w:t xml:space="preserve">A região Amazônica abriga diversas espécies vegetais de relevância econômica, medicinal e ecológica. Entre essas, </w:t>
      </w:r>
      <w:r w:rsidRPr="00A534E1">
        <w:rPr>
          <w:i/>
          <w:sz w:val="24"/>
          <w:szCs w:val="24"/>
        </w:rPr>
        <w:t>Piper longum</w:t>
      </w:r>
      <w:r w:rsidRPr="007B7999">
        <w:rPr>
          <w:sz w:val="24"/>
          <w:szCs w:val="24"/>
        </w:rPr>
        <w:t xml:space="preserve"> Linn</w:t>
      </w:r>
      <w:r w:rsidR="00A534E1">
        <w:rPr>
          <w:sz w:val="24"/>
          <w:szCs w:val="24"/>
        </w:rPr>
        <w:t xml:space="preserve"> (</w:t>
      </w:r>
      <w:r w:rsidR="00A534E1" w:rsidRPr="00B63825">
        <w:rPr>
          <w:sz w:val="24"/>
          <w:szCs w:val="24"/>
        </w:rPr>
        <w:t>Piperaceae</w:t>
      </w:r>
      <w:r w:rsidR="00A534E1">
        <w:rPr>
          <w:sz w:val="24"/>
          <w:szCs w:val="24"/>
        </w:rPr>
        <w:t>)</w:t>
      </w:r>
      <w:r w:rsidRPr="007B7999">
        <w:rPr>
          <w:sz w:val="24"/>
          <w:szCs w:val="24"/>
        </w:rPr>
        <w:t>, conhecida como "pimenta longa", destaca-se pela produção de óleo essencial com propriedades biológicas diversas, incluindo atividades inseticida, acaricida, antifúngica, antibacteriana, anti-inflamatória, analgésica, antidiabética e anti-helmíntica</w:t>
      </w:r>
      <w:r w:rsidR="00A534E1">
        <w:rPr>
          <w:sz w:val="24"/>
          <w:szCs w:val="24"/>
        </w:rPr>
        <w:t xml:space="preserve"> </w:t>
      </w:r>
      <w:r w:rsidR="00A534E1" w:rsidRPr="00942175">
        <w:rPr>
          <w:sz w:val="24"/>
          <w:szCs w:val="24"/>
        </w:rPr>
        <w:t xml:space="preserve">(Singh </w:t>
      </w:r>
      <w:r w:rsidR="00A534E1" w:rsidRPr="00942175">
        <w:rPr>
          <w:i/>
          <w:sz w:val="24"/>
          <w:szCs w:val="24"/>
        </w:rPr>
        <w:t>et al</w:t>
      </w:r>
      <w:r w:rsidR="00A534E1" w:rsidRPr="00942175">
        <w:rPr>
          <w:sz w:val="24"/>
          <w:szCs w:val="24"/>
        </w:rPr>
        <w:t xml:space="preserve">., 2009; Kumar; Sharma; Vasudeva, 2013; Taiz </w:t>
      </w:r>
      <w:r w:rsidR="00A534E1" w:rsidRPr="00942175">
        <w:rPr>
          <w:i/>
          <w:sz w:val="24"/>
          <w:szCs w:val="24"/>
        </w:rPr>
        <w:t>et al</w:t>
      </w:r>
      <w:r w:rsidR="00A534E1" w:rsidRPr="00942175">
        <w:rPr>
          <w:sz w:val="24"/>
          <w:szCs w:val="24"/>
        </w:rPr>
        <w:t>., 2017).</w:t>
      </w:r>
    </w:p>
    <w:p w14:paraId="4C9024DA" w14:textId="7DBB23CA" w:rsidR="007B7999" w:rsidRPr="007B7999" w:rsidRDefault="007B7999" w:rsidP="00CB6F78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line="360" w:lineRule="auto"/>
        <w:ind w:firstLine="709"/>
        <w:jc w:val="both"/>
        <w:rPr>
          <w:sz w:val="24"/>
          <w:szCs w:val="24"/>
        </w:rPr>
      </w:pPr>
      <w:r w:rsidRPr="007B7999">
        <w:rPr>
          <w:sz w:val="24"/>
          <w:szCs w:val="24"/>
        </w:rPr>
        <w:t xml:space="preserve">Análises fitoquímicas </w:t>
      </w:r>
      <w:r w:rsidR="00A534E1">
        <w:rPr>
          <w:sz w:val="24"/>
          <w:szCs w:val="24"/>
        </w:rPr>
        <w:t>d</w:t>
      </w:r>
      <w:r w:rsidRPr="007B7999">
        <w:rPr>
          <w:sz w:val="24"/>
          <w:szCs w:val="24"/>
        </w:rPr>
        <w:t xml:space="preserve">o óleo essencial de </w:t>
      </w:r>
      <w:r w:rsidRPr="00A534E1">
        <w:rPr>
          <w:i/>
          <w:sz w:val="24"/>
          <w:szCs w:val="24"/>
        </w:rPr>
        <w:t>P. longum</w:t>
      </w:r>
      <w:r w:rsidRPr="007B7999">
        <w:rPr>
          <w:sz w:val="24"/>
          <w:szCs w:val="24"/>
        </w:rPr>
        <w:t xml:space="preserve"> </w:t>
      </w:r>
      <w:r w:rsidR="00FB48E9">
        <w:rPr>
          <w:sz w:val="24"/>
          <w:szCs w:val="24"/>
        </w:rPr>
        <w:t>demonstram</w:t>
      </w:r>
      <w:r w:rsidR="00A534E1">
        <w:rPr>
          <w:sz w:val="24"/>
          <w:szCs w:val="24"/>
        </w:rPr>
        <w:t xml:space="preserve"> uma composição </w:t>
      </w:r>
      <w:r w:rsidR="00A534E1" w:rsidRPr="00425DAD">
        <w:rPr>
          <w:sz w:val="24"/>
          <w:szCs w:val="24"/>
        </w:rPr>
        <w:t xml:space="preserve">predominante </w:t>
      </w:r>
      <w:r w:rsidR="00A534E1">
        <w:rPr>
          <w:sz w:val="24"/>
          <w:szCs w:val="24"/>
        </w:rPr>
        <w:t xml:space="preserve">de </w:t>
      </w:r>
      <w:r w:rsidRPr="007B7999">
        <w:rPr>
          <w:sz w:val="24"/>
          <w:szCs w:val="24"/>
        </w:rPr>
        <w:t xml:space="preserve">fenilpropanóides como safrol, dilapiol e miristicina, e uma concentração significativa de terpenos como limoneno, </w:t>
      </w:r>
      <w:r w:rsidRPr="00FB48E9">
        <w:rPr>
          <w:i/>
          <w:iCs/>
          <w:sz w:val="24"/>
          <w:szCs w:val="24"/>
        </w:rPr>
        <w:t>E</w:t>
      </w:r>
      <w:r w:rsidRPr="007B7999">
        <w:rPr>
          <w:sz w:val="24"/>
          <w:szCs w:val="24"/>
        </w:rPr>
        <w:t>-cariofileno e espatulenol</w:t>
      </w:r>
      <w:r w:rsidR="00A534E1">
        <w:rPr>
          <w:sz w:val="24"/>
          <w:szCs w:val="24"/>
        </w:rPr>
        <w:t xml:space="preserve"> </w:t>
      </w:r>
      <w:r w:rsidR="00A534E1" w:rsidRPr="001D3BD6">
        <w:rPr>
          <w:sz w:val="24"/>
          <w:szCs w:val="24"/>
        </w:rPr>
        <w:t xml:space="preserve">(Varughese </w:t>
      </w:r>
      <w:r w:rsidR="00A534E1" w:rsidRPr="001D3BD6">
        <w:rPr>
          <w:i/>
          <w:sz w:val="24"/>
          <w:szCs w:val="24"/>
        </w:rPr>
        <w:t>et al.,</w:t>
      </w:r>
      <w:r w:rsidR="00A534E1" w:rsidRPr="001D3BD6">
        <w:rPr>
          <w:sz w:val="24"/>
          <w:szCs w:val="24"/>
        </w:rPr>
        <w:t xml:space="preserve"> 2016</w:t>
      </w:r>
      <w:r w:rsidR="00A534E1">
        <w:rPr>
          <w:sz w:val="24"/>
          <w:szCs w:val="24"/>
        </w:rPr>
        <w:t xml:space="preserve">). </w:t>
      </w:r>
      <w:r w:rsidRPr="007B7999">
        <w:rPr>
          <w:sz w:val="24"/>
          <w:szCs w:val="24"/>
        </w:rPr>
        <w:t xml:space="preserve">Os metabólitos secundários </w:t>
      </w:r>
      <w:r w:rsidR="00A534E1">
        <w:rPr>
          <w:sz w:val="24"/>
          <w:szCs w:val="24"/>
        </w:rPr>
        <w:t>são necessários para</w:t>
      </w:r>
      <w:r w:rsidRPr="007B7999">
        <w:rPr>
          <w:sz w:val="24"/>
          <w:szCs w:val="24"/>
        </w:rPr>
        <w:t xml:space="preserve"> defesa contra estre</w:t>
      </w:r>
      <w:r w:rsidR="00A534E1">
        <w:rPr>
          <w:sz w:val="24"/>
          <w:szCs w:val="24"/>
        </w:rPr>
        <w:t xml:space="preserve">sses ambientais e bióticos, no entanto, sua </w:t>
      </w:r>
      <w:r w:rsidRPr="007B7999">
        <w:rPr>
          <w:sz w:val="24"/>
          <w:szCs w:val="24"/>
        </w:rPr>
        <w:t xml:space="preserve">biossíntese </w:t>
      </w:r>
      <w:r w:rsidR="00A534E1">
        <w:rPr>
          <w:sz w:val="24"/>
          <w:szCs w:val="24"/>
        </w:rPr>
        <w:t xml:space="preserve">pode </w:t>
      </w:r>
      <w:r w:rsidRPr="007B7999">
        <w:rPr>
          <w:sz w:val="24"/>
          <w:szCs w:val="24"/>
        </w:rPr>
        <w:t>ser influenciada por diversos fatores bioquímicos, ecol</w:t>
      </w:r>
      <w:r w:rsidR="00A534E1">
        <w:rPr>
          <w:sz w:val="24"/>
          <w:szCs w:val="24"/>
        </w:rPr>
        <w:t>ógicos, fisiológicos e sazonais</w:t>
      </w:r>
      <w:r w:rsidR="00A534E1" w:rsidRPr="00660B1B">
        <w:rPr>
          <w:sz w:val="24"/>
          <w:szCs w:val="24"/>
        </w:rPr>
        <w:t xml:space="preserve"> </w:t>
      </w:r>
      <w:r w:rsidR="00A534E1">
        <w:rPr>
          <w:sz w:val="24"/>
          <w:szCs w:val="24"/>
        </w:rPr>
        <w:t>(</w:t>
      </w:r>
      <w:r w:rsidR="00A534E1" w:rsidRPr="00660B1B">
        <w:rPr>
          <w:sz w:val="24"/>
          <w:szCs w:val="24"/>
        </w:rPr>
        <w:t xml:space="preserve">Ramos </w:t>
      </w:r>
      <w:r w:rsidR="00A534E1" w:rsidRPr="00660B1B">
        <w:rPr>
          <w:i/>
          <w:sz w:val="24"/>
          <w:szCs w:val="24"/>
        </w:rPr>
        <w:t>et al</w:t>
      </w:r>
      <w:r w:rsidR="00A534E1" w:rsidRPr="00660B1B">
        <w:rPr>
          <w:sz w:val="24"/>
          <w:szCs w:val="24"/>
        </w:rPr>
        <w:t>., 2020</w:t>
      </w:r>
      <w:r w:rsidR="00A534E1">
        <w:rPr>
          <w:sz w:val="24"/>
          <w:szCs w:val="24"/>
        </w:rPr>
        <w:t>).</w:t>
      </w:r>
    </w:p>
    <w:p w14:paraId="20EA7660" w14:textId="3E717BFE" w:rsidR="007B7999" w:rsidRPr="007B7999" w:rsidRDefault="007B7999" w:rsidP="00CB6F78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line="360" w:lineRule="auto"/>
        <w:ind w:firstLine="709"/>
        <w:jc w:val="both"/>
        <w:rPr>
          <w:sz w:val="24"/>
          <w:szCs w:val="24"/>
        </w:rPr>
      </w:pPr>
      <w:r w:rsidRPr="007B7999">
        <w:rPr>
          <w:sz w:val="24"/>
          <w:szCs w:val="24"/>
        </w:rPr>
        <w:t xml:space="preserve">As condições climáticas da Amazônia, com suas variações sazonais, </w:t>
      </w:r>
      <w:r w:rsidR="00790B0F">
        <w:rPr>
          <w:sz w:val="24"/>
          <w:szCs w:val="24"/>
        </w:rPr>
        <w:t xml:space="preserve">podem </w:t>
      </w:r>
      <w:r w:rsidRPr="007B7999">
        <w:rPr>
          <w:sz w:val="24"/>
          <w:szCs w:val="24"/>
        </w:rPr>
        <w:t>afeta</w:t>
      </w:r>
      <w:r w:rsidR="00790B0F">
        <w:rPr>
          <w:sz w:val="24"/>
          <w:szCs w:val="24"/>
        </w:rPr>
        <w:t>r</w:t>
      </w:r>
      <w:r w:rsidRPr="007B7999">
        <w:rPr>
          <w:sz w:val="24"/>
          <w:szCs w:val="24"/>
        </w:rPr>
        <w:t xml:space="preserve"> diretamente a biossíntese de metabólitos secundários. Altas temperaturas tendem a aumentar a concentração de óleos essenciais nas plantas, embora possam resultar em perda excessiva desses produtos. Estresses hídricos durante as estações seca e chuvosa também podem alterar a concentração e o perfil químico dos compostos voláteis</w:t>
      </w:r>
      <w:r w:rsidR="00A534E1">
        <w:rPr>
          <w:sz w:val="24"/>
          <w:szCs w:val="24"/>
        </w:rPr>
        <w:t xml:space="preserve"> </w:t>
      </w:r>
      <w:r w:rsidR="00A534E1" w:rsidRPr="001E43FD">
        <w:rPr>
          <w:sz w:val="24"/>
          <w:szCs w:val="24"/>
        </w:rPr>
        <w:t>(Gouvea, Gobbo-Neto e Lopes, 2012</w:t>
      </w:r>
      <w:r w:rsidR="00EC1493">
        <w:rPr>
          <w:sz w:val="24"/>
          <w:szCs w:val="24"/>
        </w:rPr>
        <w:t>).</w:t>
      </w:r>
    </w:p>
    <w:p w14:paraId="74A36FC7" w14:textId="674ED19C" w:rsidR="007B7999" w:rsidRPr="007B7999" w:rsidRDefault="00800BC6" w:rsidP="00CB6F78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Entretanto</w:t>
      </w:r>
      <w:r w:rsidR="00790B0F">
        <w:rPr>
          <w:sz w:val="24"/>
          <w:szCs w:val="24"/>
        </w:rPr>
        <w:t>, o</w:t>
      </w:r>
      <w:r w:rsidR="007B7999" w:rsidRPr="007B7999">
        <w:rPr>
          <w:sz w:val="24"/>
          <w:szCs w:val="24"/>
        </w:rPr>
        <w:t xml:space="preserve"> aquecimento global tem </w:t>
      </w:r>
      <w:r w:rsidR="00A534E1">
        <w:rPr>
          <w:sz w:val="24"/>
          <w:szCs w:val="24"/>
        </w:rPr>
        <w:t xml:space="preserve">alterado </w:t>
      </w:r>
      <w:r w:rsidR="007B7999" w:rsidRPr="007B7999">
        <w:rPr>
          <w:sz w:val="24"/>
          <w:szCs w:val="24"/>
        </w:rPr>
        <w:t>padrões climáticos e desestabilizado o equilíbrio ambiental, representando um grave risco par</w:t>
      </w:r>
      <w:r w:rsidR="00A534E1">
        <w:rPr>
          <w:sz w:val="24"/>
          <w:szCs w:val="24"/>
        </w:rPr>
        <w:t xml:space="preserve">a a biodiversidade da Amazônia </w:t>
      </w:r>
      <w:r w:rsidR="00A534E1" w:rsidRPr="001E43FD">
        <w:rPr>
          <w:sz w:val="24"/>
          <w:szCs w:val="24"/>
        </w:rPr>
        <w:t xml:space="preserve">(Carvalho </w:t>
      </w:r>
      <w:r w:rsidR="00A534E1" w:rsidRPr="00F25D06">
        <w:rPr>
          <w:i/>
          <w:sz w:val="24"/>
          <w:szCs w:val="24"/>
        </w:rPr>
        <w:t>et al.</w:t>
      </w:r>
      <w:r w:rsidR="00A534E1" w:rsidRPr="001E43FD">
        <w:rPr>
          <w:sz w:val="24"/>
          <w:szCs w:val="24"/>
        </w:rPr>
        <w:t xml:space="preserve">, 2024). </w:t>
      </w:r>
      <w:r w:rsidR="00A534E1">
        <w:rPr>
          <w:sz w:val="24"/>
          <w:szCs w:val="24"/>
        </w:rPr>
        <w:t xml:space="preserve"> </w:t>
      </w:r>
      <w:r w:rsidR="007B7999" w:rsidRPr="007B7999">
        <w:rPr>
          <w:sz w:val="24"/>
          <w:szCs w:val="24"/>
        </w:rPr>
        <w:t xml:space="preserve">Alterações significativas na precipitação e temperatura têm impacto profundo na região, </w:t>
      </w:r>
      <w:r w:rsidR="00A534E1">
        <w:rPr>
          <w:sz w:val="24"/>
          <w:szCs w:val="24"/>
        </w:rPr>
        <w:t xml:space="preserve">dessa forma é fundamental </w:t>
      </w:r>
      <w:r w:rsidR="007B7999" w:rsidRPr="007B7999">
        <w:rPr>
          <w:sz w:val="24"/>
          <w:szCs w:val="24"/>
        </w:rPr>
        <w:t>a compreensão desses efeitos para desenvolver estratégias de manejo sustentável dos compostos bioativos de espécies amazônicas</w:t>
      </w:r>
      <w:r w:rsidR="00B61F60">
        <w:rPr>
          <w:sz w:val="24"/>
          <w:szCs w:val="24"/>
        </w:rPr>
        <w:t xml:space="preserve"> </w:t>
      </w:r>
      <w:r w:rsidR="00A534E1" w:rsidRPr="001E43FD">
        <w:rPr>
          <w:sz w:val="24"/>
          <w:szCs w:val="24"/>
        </w:rPr>
        <w:t xml:space="preserve">(Zogahib </w:t>
      </w:r>
      <w:r w:rsidR="00A534E1" w:rsidRPr="00F25D06">
        <w:rPr>
          <w:i/>
          <w:sz w:val="24"/>
          <w:szCs w:val="24"/>
        </w:rPr>
        <w:t>et al</w:t>
      </w:r>
      <w:r w:rsidR="00A534E1" w:rsidRPr="001E43FD">
        <w:rPr>
          <w:sz w:val="24"/>
          <w:szCs w:val="24"/>
        </w:rPr>
        <w:t>., 2024</w:t>
      </w:r>
      <w:r w:rsidR="00B61F60">
        <w:rPr>
          <w:sz w:val="24"/>
          <w:szCs w:val="24"/>
        </w:rPr>
        <w:t>).</w:t>
      </w:r>
    </w:p>
    <w:p w14:paraId="24ED9B1A" w14:textId="0C990A5E" w:rsidR="003445A9" w:rsidRDefault="00B61F60" w:rsidP="00946081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after="24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Nessa perspectiva, </w:t>
      </w:r>
      <w:r w:rsidRPr="00B61F60">
        <w:rPr>
          <w:sz w:val="24"/>
          <w:szCs w:val="24"/>
        </w:rPr>
        <w:t xml:space="preserve">diante das </w:t>
      </w:r>
      <w:r>
        <w:rPr>
          <w:sz w:val="24"/>
          <w:szCs w:val="24"/>
        </w:rPr>
        <w:t>aceleradas</w:t>
      </w:r>
      <w:r w:rsidRPr="00B61F60">
        <w:rPr>
          <w:sz w:val="24"/>
          <w:szCs w:val="24"/>
        </w:rPr>
        <w:t xml:space="preserve"> mudanças climáticas</w:t>
      </w:r>
      <w:r>
        <w:rPr>
          <w:sz w:val="24"/>
          <w:szCs w:val="24"/>
        </w:rPr>
        <w:t xml:space="preserve"> é relevante </w:t>
      </w:r>
      <w:r w:rsidR="007B7999" w:rsidRPr="007B7999">
        <w:rPr>
          <w:sz w:val="24"/>
          <w:szCs w:val="24"/>
        </w:rPr>
        <w:t xml:space="preserve">o conhecimento sobre os </w:t>
      </w:r>
      <w:r>
        <w:rPr>
          <w:sz w:val="24"/>
          <w:szCs w:val="24"/>
        </w:rPr>
        <w:t>padrões sazonais de biossíntese das</w:t>
      </w:r>
      <w:r w:rsidR="007B7999" w:rsidRPr="007B7999">
        <w:rPr>
          <w:sz w:val="24"/>
          <w:szCs w:val="24"/>
        </w:rPr>
        <w:t xml:space="preserve"> espécies aro</w:t>
      </w:r>
      <w:r>
        <w:rPr>
          <w:sz w:val="24"/>
          <w:szCs w:val="24"/>
        </w:rPr>
        <w:t>máticas amazônicas</w:t>
      </w:r>
      <w:r w:rsidR="007B7999" w:rsidRPr="007B7999">
        <w:rPr>
          <w:sz w:val="24"/>
          <w:szCs w:val="24"/>
        </w:rPr>
        <w:t xml:space="preserve">. A presente pesquisa </w:t>
      </w:r>
      <w:r>
        <w:rPr>
          <w:sz w:val="24"/>
          <w:szCs w:val="24"/>
        </w:rPr>
        <w:t xml:space="preserve">visou </w:t>
      </w:r>
      <w:r w:rsidR="007B7999" w:rsidRPr="007B7999">
        <w:rPr>
          <w:sz w:val="24"/>
          <w:szCs w:val="24"/>
        </w:rPr>
        <w:t xml:space="preserve">investigar a influência da sazonalidade </w:t>
      </w:r>
      <w:r w:rsidR="007B7999" w:rsidRPr="001D2667">
        <w:rPr>
          <w:sz w:val="24"/>
          <w:szCs w:val="24"/>
        </w:rPr>
        <w:t xml:space="preserve">na </w:t>
      </w:r>
      <w:r w:rsidR="001D2667" w:rsidRPr="001D2667">
        <w:rPr>
          <w:sz w:val="24"/>
          <w:szCs w:val="24"/>
        </w:rPr>
        <w:t>extração de compostos bio</w:t>
      </w:r>
      <w:r w:rsidRPr="001D2667">
        <w:rPr>
          <w:sz w:val="24"/>
          <w:szCs w:val="24"/>
        </w:rPr>
        <w:t>ativos</w:t>
      </w:r>
      <w:r w:rsidRPr="007B7999">
        <w:rPr>
          <w:sz w:val="24"/>
          <w:szCs w:val="24"/>
        </w:rPr>
        <w:t xml:space="preserve"> </w:t>
      </w:r>
      <w:r w:rsidR="007B7999" w:rsidRPr="007B7999">
        <w:rPr>
          <w:sz w:val="24"/>
          <w:szCs w:val="24"/>
        </w:rPr>
        <w:t xml:space="preserve">no óleo essencial de </w:t>
      </w:r>
      <w:r w:rsidR="007B7999" w:rsidRPr="00B61F60">
        <w:rPr>
          <w:i/>
          <w:sz w:val="24"/>
          <w:szCs w:val="24"/>
        </w:rPr>
        <w:t>Piper longum L</w:t>
      </w:r>
      <w:r w:rsidR="004D77C0">
        <w:rPr>
          <w:sz w:val="24"/>
          <w:szCs w:val="24"/>
        </w:rPr>
        <w:t>., n</w:t>
      </w:r>
      <w:r w:rsidR="007B7999" w:rsidRPr="007B7999">
        <w:rPr>
          <w:sz w:val="24"/>
          <w:szCs w:val="24"/>
        </w:rPr>
        <w:t>a Amazônia paraense.</w:t>
      </w:r>
    </w:p>
    <w:p w14:paraId="44D55D8F" w14:textId="77777777" w:rsidR="00946081" w:rsidRDefault="00946081" w:rsidP="00946081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after="240" w:line="360" w:lineRule="auto"/>
        <w:ind w:firstLine="709"/>
        <w:jc w:val="both"/>
        <w:rPr>
          <w:sz w:val="24"/>
          <w:szCs w:val="24"/>
        </w:rPr>
      </w:pPr>
    </w:p>
    <w:p w14:paraId="669CD72E" w14:textId="1589754E" w:rsidR="008B24F1" w:rsidRPr="00B61F60" w:rsidRDefault="003949CE" w:rsidP="003445A9">
      <w:pPr>
        <w:pBdr>
          <w:bottom w:val="none" w:sz="0" w:space="1" w:color="000000"/>
        </w:pBdr>
        <w:shd w:val="clear" w:color="auto" w:fill="FFFFFF"/>
        <w:tabs>
          <w:tab w:val="left" w:pos="699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 MATERIAL E </w:t>
      </w:r>
      <w:r w:rsidR="009E0427">
        <w:rPr>
          <w:b/>
          <w:sz w:val="24"/>
          <w:szCs w:val="24"/>
        </w:rPr>
        <w:t xml:space="preserve">MÉTODOS </w:t>
      </w:r>
    </w:p>
    <w:p w14:paraId="4AECEFC8" w14:textId="29F7E983" w:rsidR="009E0427" w:rsidRPr="00CB6F78" w:rsidRDefault="009E0427" w:rsidP="008B24F1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before="240" w:line="310" w:lineRule="auto"/>
        <w:rPr>
          <w:color w:val="FF0000"/>
          <w:sz w:val="24"/>
          <w:szCs w:val="24"/>
        </w:rPr>
      </w:pPr>
      <w:r w:rsidRPr="00CB6F78">
        <w:rPr>
          <w:sz w:val="24"/>
          <w:szCs w:val="24"/>
        </w:rPr>
        <w:t>2.1 COLETA DO MATERIAL VEGETAL E IDENTIFICAÇÃO BOTÂNICA</w:t>
      </w:r>
    </w:p>
    <w:p w14:paraId="759E8D54" w14:textId="50FFE364" w:rsidR="009E0427" w:rsidRPr="009E0427" w:rsidRDefault="008B24F1" w:rsidP="0059394F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after="240" w:line="360" w:lineRule="auto"/>
        <w:ind w:firstLine="700"/>
        <w:jc w:val="both"/>
        <w:rPr>
          <w:sz w:val="24"/>
          <w:szCs w:val="24"/>
        </w:rPr>
      </w:pPr>
      <w:r w:rsidRPr="008B24F1">
        <w:rPr>
          <w:sz w:val="24"/>
          <w:szCs w:val="24"/>
        </w:rPr>
        <w:t>A amostra botânica foi coletada na região metropolitana de Belém, Pará, e monitorada durante os períodos climáticos: chuvoso (fevereiro), transição (maio) e seco (agosto). As coletas bimestrais basearam-se na fenologia da espécie (Verçoza, 2023). Uma exsicata foi preparada e registrada no herbário</w:t>
      </w:r>
      <w:r w:rsidR="0059394F" w:rsidRPr="0059394F">
        <w:t xml:space="preserve"> </w:t>
      </w:r>
      <w:r w:rsidR="0059394F">
        <w:rPr>
          <w:sz w:val="24"/>
          <w:szCs w:val="24"/>
        </w:rPr>
        <w:t>Dra. Marlene Freitas da Silva</w:t>
      </w:r>
      <w:r w:rsidR="0059394F" w:rsidRPr="0059394F">
        <w:rPr>
          <w:sz w:val="24"/>
          <w:szCs w:val="24"/>
        </w:rPr>
        <w:t>, da Universidade do Estado do Pará</w:t>
      </w:r>
      <w:r w:rsidR="0059394F">
        <w:rPr>
          <w:sz w:val="24"/>
          <w:szCs w:val="24"/>
        </w:rPr>
        <w:t xml:space="preserve"> </w:t>
      </w:r>
      <w:r w:rsidRPr="008B24F1">
        <w:rPr>
          <w:sz w:val="24"/>
          <w:szCs w:val="24"/>
        </w:rPr>
        <w:t xml:space="preserve"> (MFS009529) e no </w:t>
      </w:r>
      <w:r w:rsidR="0059394F" w:rsidRPr="009E0427">
        <w:rPr>
          <w:sz w:val="24"/>
          <w:szCs w:val="24"/>
        </w:rPr>
        <w:t xml:space="preserve">Sistema Nacional de Gestão do Patrimônio Genético e do Conhecimento Tradicional Associado </w:t>
      </w:r>
      <w:r w:rsidRPr="008B24F1">
        <w:rPr>
          <w:sz w:val="24"/>
          <w:szCs w:val="24"/>
        </w:rPr>
        <w:t>(AB059EE).</w:t>
      </w:r>
    </w:p>
    <w:p w14:paraId="45EB6CC1" w14:textId="298812D6" w:rsidR="009E0427" w:rsidRPr="00CB6F78" w:rsidRDefault="009E0427" w:rsidP="009E0427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after="240" w:line="360" w:lineRule="auto"/>
        <w:jc w:val="both"/>
        <w:rPr>
          <w:sz w:val="24"/>
          <w:szCs w:val="24"/>
        </w:rPr>
      </w:pPr>
      <w:r w:rsidRPr="00CB6F78">
        <w:rPr>
          <w:sz w:val="24"/>
          <w:szCs w:val="24"/>
        </w:rPr>
        <w:t>2.2 SECAGEM, PROCESSAMENTO DO MATERIAL BOTÂNICO E EXTRAÇÃO DOS ÓLEOS ESSENCIAIS</w:t>
      </w:r>
    </w:p>
    <w:p w14:paraId="75402EF1" w14:textId="663DC2CC" w:rsidR="00082EE6" w:rsidRDefault="00F25D06" w:rsidP="00C47403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after="240" w:line="360" w:lineRule="auto"/>
        <w:ind w:firstLine="700"/>
        <w:jc w:val="both"/>
        <w:rPr>
          <w:sz w:val="24"/>
          <w:szCs w:val="24"/>
        </w:rPr>
      </w:pPr>
      <w:r w:rsidRPr="00F25D06">
        <w:rPr>
          <w:sz w:val="24"/>
          <w:szCs w:val="24"/>
        </w:rPr>
        <w:t xml:space="preserve">O material botânico foi seco à temperatura ambiente por sete dias, moído e submetido à hidrodestilação por três horas </w:t>
      </w:r>
      <w:r w:rsidR="001C4607">
        <w:rPr>
          <w:sz w:val="24"/>
          <w:szCs w:val="24"/>
        </w:rPr>
        <w:t>em</w:t>
      </w:r>
      <w:r w:rsidRPr="00F25D06">
        <w:rPr>
          <w:sz w:val="24"/>
          <w:szCs w:val="24"/>
        </w:rPr>
        <w:t xml:space="preserve"> um aparelho Clevenger modificado e sistema de refrigeração a 10-15 ºC (Costa </w:t>
      </w:r>
      <w:r w:rsidRPr="00F25D06">
        <w:rPr>
          <w:i/>
          <w:sz w:val="24"/>
          <w:szCs w:val="24"/>
        </w:rPr>
        <w:t>et al</w:t>
      </w:r>
      <w:r w:rsidRPr="00F25D06">
        <w:rPr>
          <w:sz w:val="24"/>
          <w:szCs w:val="24"/>
        </w:rPr>
        <w:t>., 2022). Os óleos essenciais extraídos foram c</w:t>
      </w:r>
      <w:r w:rsidR="00C47403">
        <w:rPr>
          <w:sz w:val="24"/>
          <w:szCs w:val="24"/>
        </w:rPr>
        <w:t xml:space="preserve">entrifugados, desidratados com </w:t>
      </w:r>
      <w:r w:rsidR="00742F0B">
        <w:rPr>
          <w:sz w:val="24"/>
          <w:szCs w:val="24"/>
        </w:rPr>
        <w:t>s</w:t>
      </w:r>
      <w:r w:rsidRPr="00F25D06">
        <w:rPr>
          <w:sz w:val="24"/>
          <w:szCs w:val="24"/>
        </w:rPr>
        <w:t>ulfato de sódio anidro (Na</w:t>
      </w:r>
      <w:r w:rsidRPr="00C47403">
        <w:rPr>
          <w:sz w:val="24"/>
          <w:szCs w:val="24"/>
          <w:vertAlign w:val="subscript"/>
        </w:rPr>
        <w:t>2</w:t>
      </w:r>
      <w:r w:rsidRPr="00F25D06">
        <w:rPr>
          <w:sz w:val="24"/>
          <w:szCs w:val="24"/>
        </w:rPr>
        <w:t>SO</w:t>
      </w:r>
      <w:r w:rsidRPr="00C47403">
        <w:rPr>
          <w:sz w:val="24"/>
          <w:szCs w:val="24"/>
          <w:vertAlign w:val="subscript"/>
        </w:rPr>
        <w:t>4</w:t>
      </w:r>
      <w:r w:rsidRPr="00F25D06">
        <w:rPr>
          <w:sz w:val="24"/>
          <w:szCs w:val="24"/>
        </w:rPr>
        <w:t xml:space="preserve">) e tiveram seus percentuais de rendimento determinados a partir das biomassas livres de umidade (Equação 1). A umidade residual foi obtida </w:t>
      </w:r>
      <w:r w:rsidR="003A1D6E">
        <w:rPr>
          <w:sz w:val="24"/>
          <w:szCs w:val="24"/>
        </w:rPr>
        <w:t>a partir de</w:t>
      </w:r>
      <w:r w:rsidRPr="00F25D06">
        <w:rPr>
          <w:sz w:val="24"/>
          <w:szCs w:val="24"/>
        </w:rPr>
        <w:t xml:space="preserve"> secagem em estufa a 110 ºC du</w:t>
      </w:r>
      <w:r w:rsidR="00C47403">
        <w:rPr>
          <w:sz w:val="24"/>
          <w:szCs w:val="24"/>
        </w:rPr>
        <w:t>rante duas horas, em triplicata</w:t>
      </w:r>
      <w:r w:rsidR="009E0427">
        <w:rPr>
          <w:sz w:val="24"/>
          <w:szCs w:val="24"/>
        </w:rPr>
        <w:t>.</w:t>
      </w:r>
    </w:p>
    <w:p w14:paraId="37D3FB78" w14:textId="0DB675A2" w:rsidR="009E0427" w:rsidRDefault="009E0427" w:rsidP="00082EE6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jc w:val="both"/>
        <w:rPr>
          <w:color w:val="000000"/>
          <w:sz w:val="24"/>
          <w:szCs w:val="24"/>
          <w:lang w:val="pt-BR"/>
        </w:rPr>
      </w:pPr>
      <m:oMath>
        <m:r>
          <m:rPr>
            <m:sty m:val="p"/>
          </m:rPr>
          <w:rPr>
            <w:rFonts w:ascii="Cambria Math" w:hAnsi="Cambria Math"/>
            <w:color w:val="000000"/>
            <w:lang w:val="pt-BR"/>
          </w:rPr>
          <m:t xml:space="preserve">% óleo obtido </m:t>
        </m:r>
        <m:d>
          <m:dPr>
            <m:ctrlPr>
              <w:rPr>
                <w:rFonts w:ascii="Cambria Math" w:hAnsi="Cambria Math"/>
                <w:iCs/>
                <w:color w:val="000000"/>
                <w:lang w:val="pt-BR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pt-BR"/>
              </w:rPr>
              <m:t>BLU</m:t>
            </m:r>
          </m:e>
        </m:d>
        <m:r>
          <m:rPr>
            <m:sty m:val="p"/>
          </m:rPr>
          <w:rPr>
            <w:rFonts w:ascii="Cambria Math" w:hAnsi="Cambria Math"/>
            <w:color w:val="000000"/>
            <w:lang w:val="pt-BR"/>
          </w:rPr>
          <m:t>=</m:t>
        </m:r>
        <m:f>
          <m:fPr>
            <m:ctrlPr>
              <w:rPr>
                <w:rFonts w:ascii="Cambria Math" w:hAnsi="Cambria Math"/>
                <w:iCs/>
                <w:color w:val="000000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lang w:val="pt-BR"/>
              </w:rPr>
              <m:t xml:space="preserve">vol. de óleo obtido </m:t>
            </m:r>
            <m:d>
              <m:dPr>
                <m:ctrlPr>
                  <w:rPr>
                    <w:rFonts w:ascii="Cambria Math" w:hAnsi="Cambria Math"/>
                    <w:iCs/>
                    <w:color w:val="000000"/>
                    <w:lang w:val="pt-BR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pt-BR"/>
                  </w:rPr>
                  <m:t>ml</m:t>
                </m:r>
              </m:e>
            </m:d>
            <m:ctrlPr>
              <w:rPr>
                <w:rFonts w:ascii="Cambria Math" w:hAnsi="Cambria Math"/>
                <w:color w:val="000000"/>
                <w:lang w:val="pt-BR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pt-BR"/>
              </w:rPr>
              <m:t xml:space="preserve">massa do material </m:t>
            </m:r>
            <m:d>
              <m:dPr>
                <m:ctrlPr>
                  <w:rPr>
                    <w:rFonts w:ascii="Cambria Math" w:hAnsi="Cambria Math"/>
                    <w:iCs/>
                    <w:color w:val="000000"/>
                    <w:lang w:val="pt-BR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pt-BR"/>
                  </w:rPr>
                  <m:t>g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0000"/>
                <w:lang w:val="pt-BR"/>
              </w:rPr>
              <m:t>-</m:t>
            </m:r>
            <m:d>
              <m:dPr>
                <m:ctrlPr>
                  <w:rPr>
                    <w:rFonts w:ascii="Cambria Math" w:hAnsi="Cambria Math"/>
                    <w:iCs/>
                    <w:color w:val="000000"/>
                    <w:lang w:val="pt-BR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  <w:color w:val="000000"/>
                        <w:lang w:val="pt-B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pt-BR"/>
                      </w:rPr>
                      <m:t xml:space="preserve">massa do material </m:t>
                    </m:r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color w:val="000000"/>
                            <w:lang w:val="pt-BR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lang w:val="pt-BR"/>
                          </w:rPr>
                          <m:t>g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pt-BR"/>
                      </w:rPr>
                      <m:t xml:space="preserve">-umidade </m:t>
                    </m:r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color w:val="000000"/>
                            <w:lang w:val="pt-BR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lang w:val="pt-BR"/>
                          </w:rPr>
                          <m:t>%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pt-BR"/>
                      </w:rPr>
                      <m:t>100</m:t>
                    </m:r>
                  </m:den>
                </m:f>
              </m:e>
            </m:d>
          </m:den>
        </m:f>
        <m:r>
          <m:rPr>
            <m:sty m:val="p"/>
          </m:rPr>
          <w:rPr>
            <w:rFonts w:ascii="Cambria Math" w:hAnsi="Cambria Math"/>
            <w:color w:val="000000"/>
            <w:lang w:val="pt-BR"/>
          </w:rPr>
          <m:t xml:space="preserve">×100  </m:t>
        </m:r>
      </m:oMath>
      <w:r>
        <w:rPr>
          <w:color w:val="000000"/>
          <w:sz w:val="20"/>
          <w:szCs w:val="20"/>
          <w:lang w:val="pt-BR"/>
        </w:rPr>
        <w:t xml:space="preserve"> </w:t>
      </w:r>
      <w:r w:rsidR="00082EE6">
        <w:rPr>
          <w:color w:val="000000"/>
          <w:sz w:val="24"/>
          <w:szCs w:val="24"/>
          <w:lang w:val="pt-BR"/>
        </w:rPr>
        <w:t>(</w:t>
      </w:r>
      <w:r w:rsidRPr="009E0427">
        <w:rPr>
          <w:color w:val="000000"/>
          <w:sz w:val="24"/>
          <w:szCs w:val="24"/>
          <w:lang w:val="pt-BR"/>
        </w:rPr>
        <w:t>Equação 1</w:t>
      </w:r>
      <w:r w:rsidR="00082EE6">
        <w:rPr>
          <w:color w:val="000000"/>
          <w:sz w:val="24"/>
          <w:szCs w:val="24"/>
          <w:lang w:val="pt-BR"/>
        </w:rPr>
        <w:t>)</w:t>
      </w:r>
    </w:p>
    <w:p w14:paraId="18EE7FC2" w14:textId="77777777" w:rsidR="00082EE6" w:rsidRPr="00CB6F78" w:rsidRDefault="00082EE6" w:rsidP="00082EE6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before="240" w:after="240" w:line="360" w:lineRule="auto"/>
        <w:jc w:val="both"/>
        <w:rPr>
          <w:sz w:val="24"/>
          <w:szCs w:val="24"/>
        </w:rPr>
      </w:pPr>
      <w:r w:rsidRPr="00CB6F78">
        <w:rPr>
          <w:sz w:val="24"/>
          <w:szCs w:val="24"/>
        </w:rPr>
        <w:t>2.3 DADOS CLIMÁTICOS</w:t>
      </w:r>
    </w:p>
    <w:p w14:paraId="713A3451" w14:textId="77777777" w:rsidR="00946081" w:rsidRDefault="00082EE6" w:rsidP="00946081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after="240" w:line="360" w:lineRule="auto"/>
        <w:ind w:firstLine="709"/>
        <w:jc w:val="both"/>
        <w:rPr>
          <w:sz w:val="24"/>
          <w:szCs w:val="24"/>
        </w:rPr>
      </w:pPr>
      <w:r w:rsidRPr="00082EE6">
        <w:rPr>
          <w:sz w:val="24"/>
          <w:szCs w:val="24"/>
        </w:rPr>
        <w:t xml:space="preserve">Os parâmetros climáticos (temperatura, insolação, precipitação e umidade relativa do ar) da área de coleta foram obtidos mensalmente no site do Instituto </w:t>
      </w:r>
      <w:r w:rsidR="008B24F1">
        <w:rPr>
          <w:sz w:val="24"/>
          <w:szCs w:val="24"/>
        </w:rPr>
        <w:t>Nacional de Meteorologia (INMET</w:t>
      </w:r>
      <w:r w:rsidRPr="00082EE6">
        <w:rPr>
          <w:sz w:val="24"/>
          <w:szCs w:val="24"/>
        </w:rPr>
        <w:t>). Os dados meteorológicos foram registrados em estação automática A-201, localizada na cidade de Belém, estado do Pará, Brasil, equipada com um sistema Vaisala, modelo MAWS 301 (Vaisala Corp</w:t>
      </w:r>
      <w:r w:rsidR="003445A9">
        <w:rPr>
          <w:sz w:val="24"/>
          <w:szCs w:val="24"/>
        </w:rPr>
        <w:t>oration, Helsinque, Finlândia).</w:t>
      </w:r>
    </w:p>
    <w:p w14:paraId="539C1753" w14:textId="77777777" w:rsidR="00946081" w:rsidRDefault="00946081" w:rsidP="00946081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082EE6" w:rsidRPr="00CB6F78">
        <w:rPr>
          <w:sz w:val="24"/>
          <w:szCs w:val="24"/>
        </w:rPr>
        <w:t>4 ANÁLISE DA COMPOSIÇÃO QUÍMICA</w:t>
      </w:r>
    </w:p>
    <w:p w14:paraId="5088E909" w14:textId="0090F4E1" w:rsidR="00C47403" w:rsidRDefault="00946081" w:rsidP="00946081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C47403" w:rsidRPr="00C47403">
        <w:rPr>
          <w:sz w:val="24"/>
          <w:szCs w:val="24"/>
        </w:rPr>
        <w:t xml:space="preserve">composição química dos óleos essenciais foi analisada em um cromatógrafo gasoso </w:t>
      </w:r>
      <w:r w:rsidR="00C47403" w:rsidRPr="00C47403">
        <w:rPr>
          <w:sz w:val="24"/>
          <w:szCs w:val="24"/>
        </w:rPr>
        <w:lastRenderedPageBreak/>
        <w:t>acoplado a espectrômetro de massas (CG-EM), Modelo QP2010 Ultra (Shimadzu), equipado com coluna capilar Rtx-5MS. As condições operacionais incluíram um programa de temperatura de 60°C</w:t>
      </w:r>
      <w:r w:rsidR="00C47403">
        <w:rPr>
          <w:sz w:val="24"/>
          <w:szCs w:val="24"/>
        </w:rPr>
        <w:t xml:space="preserve"> a 240°C, gás de arraste hélio </w:t>
      </w:r>
      <w:r w:rsidR="00C47403" w:rsidRPr="00C47403">
        <w:rPr>
          <w:sz w:val="24"/>
          <w:szCs w:val="24"/>
        </w:rPr>
        <w:t>e injeção split</w:t>
      </w:r>
      <w:r w:rsidR="00C47403">
        <w:rPr>
          <w:sz w:val="24"/>
          <w:szCs w:val="24"/>
        </w:rPr>
        <w:t xml:space="preserve"> </w:t>
      </w:r>
      <w:r w:rsidR="00C47403" w:rsidRPr="001E5ECA">
        <w:rPr>
          <w:sz w:val="24"/>
          <w:szCs w:val="24"/>
        </w:rPr>
        <w:t>1:20 (solução de 5 μL de óleo essencial : 500 μL de hexano)</w:t>
      </w:r>
      <w:r w:rsidR="00C47403" w:rsidRPr="00C47403">
        <w:rPr>
          <w:sz w:val="24"/>
          <w:szCs w:val="24"/>
        </w:rPr>
        <w:t xml:space="preserve">. Os espectros de massas foram obtidos por impacto eletrônico a 70 eV, com </w:t>
      </w:r>
      <w:r w:rsidR="008B24F1" w:rsidRPr="001E5ECA">
        <w:rPr>
          <w:sz w:val="24"/>
          <w:szCs w:val="24"/>
        </w:rPr>
        <w:t>fragmentos de massa entre 35 - 400 m/z</w:t>
      </w:r>
      <w:r w:rsidR="008B24F1">
        <w:rPr>
          <w:sz w:val="24"/>
          <w:szCs w:val="24"/>
        </w:rPr>
        <w:t>. A</w:t>
      </w:r>
      <w:r w:rsidR="00C47403" w:rsidRPr="00C47403">
        <w:rPr>
          <w:sz w:val="24"/>
          <w:szCs w:val="24"/>
        </w:rPr>
        <w:t xml:space="preserve"> identificação dos componentes químicos </w:t>
      </w:r>
      <w:r w:rsidR="008C0459">
        <w:rPr>
          <w:sz w:val="24"/>
          <w:szCs w:val="24"/>
        </w:rPr>
        <w:t xml:space="preserve">foi </w:t>
      </w:r>
      <w:r w:rsidR="00C47403" w:rsidRPr="00C47403">
        <w:rPr>
          <w:sz w:val="24"/>
          <w:szCs w:val="24"/>
        </w:rPr>
        <w:t xml:space="preserve">baseada no índice de retenção linear e padrões de fragmentação, comparados com </w:t>
      </w:r>
      <w:r w:rsidR="008C0459">
        <w:rPr>
          <w:sz w:val="24"/>
          <w:szCs w:val="24"/>
        </w:rPr>
        <w:t xml:space="preserve">as </w:t>
      </w:r>
      <w:r w:rsidR="00C47403" w:rsidRPr="00C47403">
        <w:rPr>
          <w:sz w:val="24"/>
          <w:szCs w:val="24"/>
        </w:rPr>
        <w:t>bibliotecas</w:t>
      </w:r>
      <w:r w:rsidR="008B24F1" w:rsidRPr="001E5ECA">
        <w:rPr>
          <w:sz w:val="24"/>
          <w:szCs w:val="24"/>
        </w:rPr>
        <w:t xml:space="preserve"> Adams e Flavor and Fragrance 2 </w:t>
      </w:r>
      <w:r w:rsidR="00C47403" w:rsidRPr="00C47403">
        <w:rPr>
          <w:sz w:val="24"/>
          <w:szCs w:val="24"/>
        </w:rPr>
        <w:t xml:space="preserve">(Adams, 2007; Mondello, 2011; Raposo </w:t>
      </w:r>
      <w:r w:rsidR="00C47403" w:rsidRPr="003445A9">
        <w:rPr>
          <w:i/>
          <w:sz w:val="24"/>
          <w:szCs w:val="24"/>
        </w:rPr>
        <w:t>et al</w:t>
      </w:r>
      <w:r w:rsidR="00C47403" w:rsidRPr="00C47403">
        <w:rPr>
          <w:sz w:val="24"/>
          <w:szCs w:val="24"/>
        </w:rPr>
        <w:t>., 2018).</w:t>
      </w:r>
    </w:p>
    <w:p w14:paraId="1F100DFA" w14:textId="21CF9649" w:rsidR="00082EE6" w:rsidRPr="00CB6F78" w:rsidRDefault="00082EE6" w:rsidP="00237878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before="240" w:after="240" w:line="360" w:lineRule="auto"/>
        <w:jc w:val="both"/>
        <w:rPr>
          <w:sz w:val="24"/>
          <w:szCs w:val="24"/>
        </w:rPr>
      </w:pPr>
      <w:r w:rsidRPr="00CB6F78">
        <w:rPr>
          <w:sz w:val="24"/>
          <w:szCs w:val="24"/>
        </w:rPr>
        <w:t>2.5 ANÁLISE ESTATÍSTICA</w:t>
      </w:r>
    </w:p>
    <w:p w14:paraId="7931F5C4" w14:textId="2B87CF26" w:rsidR="000A4A4B" w:rsidRDefault="00082EE6" w:rsidP="006F2008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before="240" w:after="240" w:line="360" w:lineRule="auto"/>
        <w:ind w:firstLine="709"/>
        <w:jc w:val="both"/>
        <w:rPr>
          <w:b/>
          <w:sz w:val="24"/>
          <w:szCs w:val="24"/>
        </w:rPr>
      </w:pPr>
      <w:r w:rsidRPr="00082EE6">
        <w:rPr>
          <w:sz w:val="24"/>
          <w:szCs w:val="24"/>
        </w:rPr>
        <w:t xml:space="preserve">Os coeficientes de Correlação de Pearson (r) que determinam a relação entre os parâmetros climáticos (precipitação, temperatura, umidade e insolação) </w:t>
      </w:r>
      <w:r w:rsidR="008C0459">
        <w:rPr>
          <w:sz w:val="24"/>
          <w:szCs w:val="24"/>
        </w:rPr>
        <w:t>e</w:t>
      </w:r>
      <w:r w:rsidRPr="00082EE6">
        <w:rPr>
          <w:sz w:val="24"/>
          <w:szCs w:val="24"/>
        </w:rPr>
        <w:t xml:space="preserve"> o rendimento e composição química dos óleos essenciais foram calculados por meio do software OriginPro 2021 (OriginPro trial version, OriginLab Corporation, Northampton, MA, USA</w:t>
      </w:r>
      <w:r w:rsidR="00E370EA">
        <w:rPr>
          <w:sz w:val="24"/>
          <w:szCs w:val="24"/>
        </w:rPr>
        <w:t>)</w:t>
      </w:r>
      <w:r w:rsidRPr="00082EE6">
        <w:rPr>
          <w:sz w:val="24"/>
          <w:szCs w:val="24"/>
        </w:rPr>
        <w:t>.</w:t>
      </w:r>
    </w:p>
    <w:p w14:paraId="394C8366" w14:textId="2FB09363" w:rsidR="000A4A4B" w:rsidRPr="000A4A4B" w:rsidRDefault="000A4A4B" w:rsidP="008B24F1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before="240" w:after="240" w:line="31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RESULTADOS E DISCUSSÃO  </w:t>
      </w:r>
    </w:p>
    <w:p w14:paraId="36FF194A" w14:textId="77777777" w:rsidR="00946081" w:rsidRDefault="000A4A4B" w:rsidP="00946081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after="240" w:line="360" w:lineRule="auto"/>
        <w:jc w:val="both"/>
        <w:rPr>
          <w:sz w:val="24"/>
          <w:szCs w:val="24"/>
        </w:rPr>
      </w:pPr>
      <w:r w:rsidRPr="00CB6F78">
        <w:rPr>
          <w:sz w:val="24"/>
          <w:szCs w:val="24"/>
        </w:rPr>
        <w:t xml:space="preserve">3.1 </w:t>
      </w:r>
      <w:r w:rsidR="00E370EA" w:rsidRPr="00CB6F78">
        <w:rPr>
          <w:sz w:val="24"/>
          <w:szCs w:val="24"/>
        </w:rPr>
        <w:t xml:space="preserve">CONDIÇÕES </w:t>
      </w:r>
      <w:r w:rsidR="008B742E" w:rsidRPr="00CB6F78">
        <w:rPr>
          <w:sz w:val="24"/>
          <w:szCs w:val="24"/>
        </w:rPr>
        <w:t xml:space="preserve">CLIMÁTICAS </w:t>
      </w:r>
      <w:r w:rsidR="00F46BF8" w:rsidRPr="00CB6F78">
        <w:rPr>
          <w:sz w:val="24"/>
          <w:szCs w:val="24"/>
        </w:rPr>
        <w:t>E</w:t>
      </w:r>
      <w:r w:rsidR="00E370EA" w:rsidRPr="00CB6F78">
        <w:rPr>
          <w:sz w:val="24"/>
          <w:szCs w:val="24"/>
        </w:rPr>
        <w:t xml:space="preserve"> RENDIMENTO DO Ó</w:t>
      </w:r>
      <w:r w:rsidR="006F2008" w:rsidRPr="00CB6F78">
        <w:rPr>
          <w:sz w:val="24"/>
          <w:szCs w:val="24"/>
        </w:rPr>
        <w:t>L</w:t>
      </w:r>
      <w:r w:rsidR="00E370EA" w:rsidRPr="00CB6F78">
        <w:rPr>
          <w:sz w:val="24"/>
          <w:szCs w:val="24"/>
        </w:rPr>
        <w:t>EO ESSENCIAL</w:t>
      </w:r>
    </w:p>
    <w:p w14:paraId="185A758D" w14:textId="4080BF8F" w:rsidR="008B24F1" w:rsidRPr="00946081" w:rsidRDefault="00946081" w:rsidP="00946081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after="24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8B24F1" w:rsidRPr="008B24F1">
        <w:rPr>
          <w:color w:val="000000"/>
          <w:sz w:val="24"/>
          <w:szCs w:val="24"/>
        </w:rPr>
        <w:t xml:space="preserve">s parâmetros climáticos, incluindo temperatura, insolação, precipitação e umidade relativa do ar, foram monitorados durante os períodos chuvoso, de transição e seco, para avaliar seu impacto na produção e composição do óleo essencial extraído de </w:t>
      </w:r>
      <w:r w:rsidR="008B24F1" w:rsidRPr="008B24F1">
        <w:rPr>
          <w:i/>
          <w:color w:val="000000"/>
          <w:sz w:val="24"/>
          <w:szCs w:val="24"/>
        </w:rPr>
        <w:t>P. longum</w:t>
      </w:r>
      <w:r w:rsidR="008B24F1" w:rsidRPr="008B24F1">
        <w:rPr>
          <w:color w:val="000000"/>
          <w:sz w:val="24"/>
          <w:szCs w:val="24"/>
        </w:rPr>
        <w:t>. As medições de insolação variaram de 90,3 hrs (fevereiro) a 289,5 hrs (agosto), a umidade relativa do ar de 77,3% (agosto) a 93,2% (fevereiro), as temperaturas médias de 26,2ºC (fevereiro) a 28,1ºC (agosto), e a precipitação de 76,1 mm (agosto) a 428,1 mm (fevereiro). Baseado nos dados, fevereiro foi identificado como período chuvoso, agosto como seco, e maio como período de transição. Os dados relacionados ao rendimento e as condições climáticas estão expostos na Figura 1</w:t>
      </w:r>
      <w:r w:rsidR="0059394F">
        <w:rPr>
          <w:color w:val="000000"/>
          <w:sz w:val="24"/>
          <w:szCs w:val="24"/>
        </w:rPr>
        <w:t>.</w:t>
      </w:r>
    </w:p>
    <w:p w14:paraId="33356341" w14:textId="198F57E4" w:rsidR="0059394F" w:rsidRDefault="0059394F" w:rsidP="00B61F60">
      <w:pPr>
        <w:pBdr>
          <w:bottom w:val="none" w:sz="0" w:space="1" w:color="000000"/>
        </w:pBdr>
        <w:shd w:val="clear" w:color="auto" w:fill="FFFFFF"/>
        <w:tabs>
          <w:tab w:val="left" w:pos="2500"/>
        </w:tabs>
        <w:spacing w:before="240" w:after="240" w:line="310" w:lineRule="auto"/>
        <w:ind w:firstLine="709"/>
        <w:jc w:val="both"/>
        <w:rPr>
          <w:color w:val="000000"/>
          <w:sz w:val="24"/>
          <w:szCs w:val="24"/>
        </w:rPr>
      </w:pPr>
      <w:r w:rsidRPr="00237878">
        <w:rPr>
          <w:rFonts w:ascii="Arial" w:eastAsia="Arial" w:hAnsi="Arial" w:cs="Arial"/>
          <w:noProof/>
          <w:color w:val="222222"/>
          <w:lang w:val="pt-BR" w:eastAsia="pt-BR"/>
        </w:rPr>
        <w:lastRenderedPageBreak/>
        <w:drawing>
          <wp:anchor distT="0" distB="0" distL="114300" distR="114300" simplePos="0" relativeHeight="251660288" behindDoc="0" locked="0" layoutInCell="1" allowOverlap="1" wp14:anchorId="0940C5FB" wp14:editId="279E24E4">
            <wp:simplePos x="0" y="0"/>
            <wp:positionH relativeFrom="column">
              <wp:posOffset>290305</wp:posOffset>
            </wp:positionH>
            <wp:positionV relativeFrom="paragraph">
              <wp:posOffset>227026</wp:posOffset>
            </wp:positionV>
            <wp:extent cx="4928870" cy="2743200"/>
            <wp:effectExtent l="0" t="0" r="5080" b="0"/>
            <wp:wrapTopAndBottom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Graph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887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2873F0" wp14:editId="352897FD">
                <wp:simplePos x="0" y="0"/>
                <wp:positionH relativeFrom="column">
                  <wp:posOffset>195138</wp:posOffset>
                </wp:positionH>
                <wp:positionV relativeFrom="paragraph">
                  <wp:posOffset>497</wp:posOffset>
                </wp:positionV>
                <wp:extent cx="5567680" cy="228600"/>
                <wp:effectExtent l="0" t="0" r="0" b="0"/>
                <wp:wrapTopAndBottom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680" cy="2286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AD1599D" w14:textId="7A4374BF" w:rsidR="006F2008" w:rsidRPr="006F2008" w:rsidRDefault="006F2008" w:rsidP="006F2008">
                            <w:pPr>
                              <w:pStyle w:val="Legenda"/>
                              <w:jc w:val="center"/>
                              <w:rPr>
                                <w:rFonts w:ascii="Arial" w:eastAsia="Arial" w:hAnsi="Arial" w:cs="Arial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294CFD">
                              <w:rPr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Figura </w:t>
                            </w:r>
                            <w:r w:rsidRPr="00294CFD">
                              <w:rPr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94CFD">
                              <w:rPr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instrText xml:space="preserve"> SEQ Figura \* ARABIC </w:instrText>
                            </w:r>
                            <w:r w:rsidRPr="00294CFD">
                              <w:rPr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294CFD">
                              <w:rPr>
                                <w:i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  <w:t>1</w:t>
                            </w:r>
                            <w:r w:rsidRPr="00294CFD">
                              <w:rPr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94CFD">
                              <w:rPr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-</w:t>
                            </w:r>
                            <w:r w:rsidRPr="006F2008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F2008">
                              <w:rPr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Relação dos rendimentos de óleo essencial de </w:t>
                            </w:r>
                            <w:r w:rsidRPr="006F2008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P. longum </w:t>
                            </w:r>
                            <w:r w:rsidRPr="006F2008">
                              <w:rPr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com os parâmetros</w:t>
                            </w:r>
                            <w:r w:rsidRPr="006F2008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F2008">
                              <w:rPr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climáticos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2873F0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15.35pt;margin-top:.05pt;width:438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" stroked="f">
                <v:textbox inset="0,0,0,0">
                  <w:txbxContent>
                    <w:p w14:paraId="3AD1599D" w14:textId="7A4374BF" w:rsidR="006F2008" w:rsidRPr="006F2008" w:rsidRDefault="006F2008" w:rsidP="006F2008">
                      <w:pPr>
                        <w:pStyle w:val="Legenda"/>
                        <w:jc w:val="center"/>
                        <w:rPr>
                          <w:rFonts w:ascii="Arial" w:eastAsia="Arial" w:hAnsi="Arial" w:cs="Arial"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294CFD">
                        <w:rPr>
                          <w:i w:val="0"/>
                          <w:color w:val="auto"/>
                          <w:sz w:val="22"/>
                          <w:szCs w:val="22"/>
                        </w:rPr>
                        <w:t xml:space="preserve">Figura </w:t>
                      </w:r>
                      <w:r w:rsidRPr="00294CFD">
                        <w:rPr>
                          <w:i w:val="0"/>
                          <w:color w:val="auto"/>
                          <w:sz w:val="22"/>
                          <w:szCs w:val="22"/>
                        </w:rPr>
                        <w:fldChar w:fldCharType="begin"/>
                      </w:r>
                      <w:r w:rsidRPr="00294CFD">
                        <w:rPr>
                          <w:i w:val="0"/>
                          <w:color w:val="auto"/>
                          <w:sz w:val="22"/>
                          <w:szCs w:val="22"/>
                        </w:rPr>
                        <w:instrText xml:space="preserve"> SEQ Figura \* ARABIC </w:instrText>
                      </w:r>
                      <w:r w:rsidRPr="00294CFD">
                        <w:rPr>
                          <w:i w:val="0"/>
                          <w:color w:val="auto"/>
                          <w:sz w:val="22"/>
                          <w:szCs w:val="22"/>
                        </w:rPr>
                        <w:fldChar w:fldCharType="separate"/>
                      </w:r>
                      <w:r w:rsidRPr="00294CFD">
                        <w:rPr>
                          <w:i w:val="0"/>
                          <w:noProof/>
                          <w:color w:val="auto"/>
                          <w:sz w:val="22"/>
                          <w:szCs w:val="22"/>
                        </w:rPr>
                        <w:t>1</w:t>
                      </w:r>
                      <w:r w:rsidRPr="00294CFD">
                        <w:rPr>
                          <w:i w:val="0"/>
                          <w:color w:val="auto"/>
                          <w:sz w:val="22"/>
                          <w:szCs w:val="22"/>
                        </w:rPr>
                        <w:fldChar w:fldCharType="end"/>
                      </w:r>
                      <w:r w:rsidRPr="00294CFD">
                        <w:rPr>
                          <w:i w:val="0"/>
                          <w:color w:val="auto"/>
                          <w:sz w:val="22"/>
                          <w:szCs w:val="22"/>
                        </w:rPr>
                        <w:t>-</w:t>
                      </w:r>
                      <w:r w:rsidRPr="006F2008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6F2008">
                        <w:rPr>
                          <w:i w:val="0"/>
                          <w:color w:val="auto"/>
                          <w:sz w:val="22"/>
                          <w:szCs w:val="22"/>
                        </w:rPr>
                        <w:t xml:space="preserve">Relação dos rendimentos de óleo essencial de </w:t>
                      </w:r>
                      <w:r w:rsidRPr="006F2008">
                        <w:rPr>
                          <w:color w:val="auto"/>
                          <w:sz w:val="22"/>
                          <w:szCs w:val="22"/>
                        </w:rPr>
                        <w:t xml:space="preserve">P. longum </w:t>
                      </w:r>
                      <w:r w:rsidRPr="006F2008">
                        <w:rPr>
                          <w:i w:val="0"/>
                          <w:color w:val="auto"/>
                          <w:sz w:val="22"/>
                          <w:szCs w:val="22"/>
                        </w:rPr>
                        <w:t>com os parâmetros</w:t>
                      </w:r>
                      <w:r w:rsidRPr="006F2008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6F2008">
                        <w:rPr>
                          <w:i w:val="0"/>
                          <w:color w:val="auto"/>
                          <w:sz w:val="22"/>
                          <w:szCs w:val="22"/>
                        </w:rPr>
                        <w:t>climáticos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94CFD">
        <w:rPr>
          <w:color w:val="000000"/>
        </w:rPr>
        <w:t>Fonte: Autores (2024).</w:t>
      </w:r>
    </w:p>
    <w:p w14:paraId="1F657301" w14:textId="77777777" w:rsidR="004D356E" w:rsidRDefault="000916DB" w:rsidP="00946081">
      <w:pPr>
        <w:pBdr>
          <w:bottom w:val="none" w:sz="0" w:space="1" w:color="000000"/>
        </w:pBdr>
        <w:shd w:val="clear" w:color="auto" w:fill="FFFFFF"/>
        <w:tabs>
          <w:tab w:val="left" w:pos="2500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0916DB">
        <w:rPr>
          <w:color w:val="000000"/>
          <w:sz w:val="24"/>
          <w:szCs w:val="24"/>
        </w:rPr>
        <w:t>O clima da região amazônica paraense varia entre estações chuvosa e seca, influenciadas por fenômenos atmosféricos tropicais.</w:t>
      </w:r>
      <w:r>
        <w:rPr>
          <w:color w:val="000000"/>
          <w:sz w:val="24"/>
          <w:szCs w:val="24"/>
        </w:rPr>
        <w:t xml:space="preserve"> No ano de estudo</w:t>
      </w:r>
      <w:r w:rsidRPr="000916DB">
        <w:rPr>
          <w:color w:val="000000"/>
          <w:sz w:val="24"/>
          <w:szCs w:val="24"/>
        </w:rPr>
        <w:t>, mudanças drásticas na temperatura média global causaram desequilíbrios ambientais, resultando em um período de seca prolongado</w:t>
      </w:r>
      <w:r>
        <w:rPr>
          <w:color w:val="000000"/>
          <w:sz w:val="24"/>
          <w:szCs w:val="24"/>
        </w:rPr>
        <w:t xml:space="preserve"> </w:t>
      </w:r>
      <w:r w:rsidRPr="00FC50C1">
        <w:rPr>
          <w:color w:val="000000"/>
          <w:sz w:val="24"/>
          <w:szCs w:val="24"/>
        </w:rPr>
        <w:t>(INPE, 2023)</w:t>
      </w:r>
      <w:r w:rsidRPr="000916DB">
        <w:rPr>
          <w:color w:val="000000"/>
          <w:sz w:val="24"/>
          <w:szCs w:val="24"/>
        </w:rPr>
        <w:t xml:space="preserve">. </w:t>
      </w:r>
    </w:p>
    <w:p w14:paraId="71B808EB" w14:textId="7BAFB952" w:rsidR="000916DB" w:rsidRDefault="000916DB" w:rsidP="00946081">
      <w:pPr>
        <w:pBdr>
          <w:bottom w:val="none" w:sz="0" w:space="1" w:color="000000"/>
        </w:pBdr>
        <w:shd w:val="clear" w:color="auto" w:fill="FFFFFF"/>
        <w:tabs>
          <w:tab w:val="left" w:pos="2500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0916DB">
        <w:rPr>
          <w:color w:val="000000"/>
          <w:sz w:val="24"/>
          <w:szCs w:val="24"/>
        </w:rPr>
        <w:t xml:space="preserve">O rendimento de óleo essencial de </w:t>
      </w:r>
      <w:r w:rsidRPr="000916DB">
        <w:rPr>
          <w:i/>
          <w:color w:val="000000"/>
          <w:sz w:val="24"/>
          <w:szCs w:val="24"/>
        </w:rPr>
        <w:t>P. longum</w:t>
      </w:r>
      <w:r w:rsidRPr="000916DB">
        <w:rPr>
          <w:color w:val="000000"/>
          <w:sz w:val="24"/>
          <w:szCs w:val="24"/>
        </w:rPr>
        <w:t xml:space="preserve"> foi de 1,2%</w:t>
      </w:r>
      <w:r>
        <w:rPr>
          <w:color w:val="000000"/>
          <w:sz w:val="24"/>
          <w:szCs w:val="24"/>
        </w:rPr>
        <w:t xml:space="preserve"> na estação chuvosa, 0,8% na </w:t>
      </w:r>
      <w:r w:rsidRPr="000916DB">
        <w:rPr>
          <w:color w:val="000000"/>
          <w:sz w:val="24"/>
          <w:szCs w:val="24"/>
        </w:rPr>
        <w:t>transição e 0,7% na seca. Estudos</w:t>
      </w:r>
      <w:r>
        <w:rPr>
          <w:color w:val="000000"/>
          <w:sz w:val="24"/>
          <w:szCs w:val="24"/>
        </w:rPr>
        <w:t xml:space="preserve"> anteriores</w:t>
      </w:r>
      <w:r w:rsidRPr="000916D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</w:t>
      </w:r>
      <w:r w:rsidRPr="000916DB">
        <w:rPr>
          <w:color w:val="000000"/>
          <w:sz w:val="24"/>
          <w:szCs w:val="24"/>
        </w:rPr>
        <w:t>mostraram rendimentos semelhantes, variando de 0,2 a 1,2%, confirmando a co</w:t>
      </w:r>
      <w:r>
        <w:rPr>
          <w:color w:val="000000"/>
          <w:sz w:val="24"/>
          <w:szCs w:val="24"/>
        </w:rPr>
        <w:t xml:space="preserve">nsistência dos resultados </w:t>
      </w:r>
      <w:r w:rsidRPr="000916DB">
        <w:rPr>
          <w:color w:val="000000"/>
          <w:sz w:val="24"/>
          <w:szCs w:val="24"/>
        </w:rPr>
        <w:t xml:space="preserve">com a literatura existente (Andrade </w:t>
      </w:r>
      <w:r w:rsidRPr="000916DB">
        <w:rPr>
          <w:i/>
          <w:color w:val="000000"/>
          <w:sz w:val="24"/>
          <w:szCs w:val="24"/>
        </w:rPr>
        <w:t>et al</w:t>
      </w:r>
      <w:r w:rsidRPr="000916DB">
        <w:rPr>
          <w:color w:val="000000"/>
          <w:sz w:val="24"/>
          <w:szCs w:val="24"/>
        </w:rPr>
        <w:t xml:space="preserve">., 2011; Varughese </w:t>
      </w:r>
      <w:r w:rsidRPr="000916DB">
        <w:rPr>
          <w:i/>
          <w:color w:val="000000"/>
          <w:sz w:val="24"/>
          <w:szCs w:val="24"/>
        </w:rPr>
        <w:t>et al</w:t>
      </w:r>
      <w:r w:rsidRPr="000916DB">
        <w:rPr>
          <w:color w:val="000000"/>
          <w:sz w:val="24"/>
          <w:szCs w:val="24"/>
        </w:rPr>
        <w:t>., 2016).</w:t>
      </w:r>
    </w:p>
    <w:p w14:paraId="3865EEFE" w14:textId="28B5FFF5" w:rsidR="00A30254" w:rsidRDefault="0059394F" w:rsidP="00946081">
      <w:pPr>
        <w:pBdr>
          <w:bottom w:val="none" w:sz="0" w:space="1" w:color="000000"/>
        </w:pBdr>
        <w:shd w:val="clear" w:color="auto" w:fill="FFFFFF"/>
        <w:tabs>
          <w:tab w:val="left" w:pos="2500"/>
        </w:tabs>
        <w:spacing w:after="240" w:line="360" w:lineRule="auto"/>
        <w:ind w:firstLine="709"/>
        <w:jc w:val="both"/>
        <w:rPr>
          <w:color w:val="000000"/>
          <w:sz w:val="24"/>
          <w:szCs w:val="24"/>
        </w:rPr>
      </w:pPr>
      <w:r w:rsidRPr="0059394F">
        <w:rPr>
          <w:color w:val="000000"/>
          <w:sz w:val="24"/>
          <w:szCs w:val="24"/>
        </w:rPr>
        <w:t>A análise de correlação de Pearson apresentou que temperatura (r= -0,98) e insolação (r= -0,97) tiveram uma correlação forte e negativa com o rendimento, mas não significativa (p&gt;0,05). O rendimento do óleo expressou correlação forte e positiva com a umida</w:t>
      </w:r>
      <w:r w:rsidR="004D77C0">
        <w:rPr>
          <w:color w:val="000000"/>
          <w:sz w:val="24"/>
          <w:szCs w:val="24"/>
        </w:rPr>
        <w:t xml:space="preserve">de (r= </w:t>
      </w:r>
      <w:r w:rsidRPr="0059394F">
        <w:rPr>
          <w:color w:val="000000"/>
          <w:sz w:val="24"/>
          <w:szCs w:val="24"/>
        </w:rPr>
        <w:t xml:space="preserve">0,93), também sem significância estatística (p&gt;0,05). Portanto, a produção de óleo essencial de </w:t>
      </w:r>
      <w:r w:rsidRPr="0059394F">
        <w:rPr>
          <w:i/>
          <w:color w:val="000000"/>
          <w:sz w:val="24"/>
          <w:szCs w:val="24"/>
        </w:rPr>
        <w:t>P. longum</w:t>
      </w:r>
      <w:r w:rsidRPr="0059394F">
        <w:rPr>
          <w:color w:val="000000"/>
          <w:sz w:val="24"/>
          <w:szCs w:val="24"/>
        </w:rPr>
        <w:t xml:space="preserve"> não foi significativamente influen</w:t>
      </w:r>
      <w:r>
        <w:rPr>
          <w:color w:val="000000"/>
          <w:sz w:val="24"/>
          <w:szCs w:val="24"/>
        </w:rPr>
        <w:t>ciada pelos fatores sazonais.</w:t>
      </w:r>
    </w:p>
    <w:p w14:paraId="49C7A02E" w14:textId="6CDFD243" w:rsidR="00A30254" w:rsidRPr="00946081" w:rsidRDefault="0059394F" w:rsidP="00B61F60">
      <w:pPr>
        <w:pBdr>
          <w:bottom w:val="none" w:sz="0" w:space="1" w:color="000000"/>
        </w:pBdr>
        <w:shd w:val="clear" w:color="auto" w:fill="FFFFFF"/>
        <w:tabs>
          <w:tab w:val="left" w:pos="2500"/>
        </w:tabs>
        <w:spacing w:before="240" w:after="240" w:line="310" w:lineRule="auto"/>
        <w:jc w:val="both"/>
        <w:rPr>
          <w:color w:val="000000"/>
          <w:sz w:val="24"/>
          <w:szCs w:val="24"/>
        </w:rPr>
      </w:pPr>
      <w:r w:rsidRPr="00946081">
        <w:rPr>
          <w:color w:val="000000"/>
          <w:sz w:val="24"/>
          <w:szCs w:val="24"/>
        </w:rPr>
        <w:t>3</w:t>
      </w:r>
      <w:r w:rsidR="00946081" w:rsidRPr="00946081">
        <w:rPr>
          <w:color w:val="000000"/>
          <w:sz w:val="24"/>
          <w:szCs w:val="24"/>
        </w:rPr>
        <w:t>.2 COMPOSIÇÃO QUÍMIC</w:t>
      </w:r>
      <w:r w:rsidR="00C66E0F" w:rsidRPr="00946081">
        <w:rPr>
          <w:color w:val="000000"/>
          <w:sz w:val="24"/>
          <w:szCs w:val="24"/>
        </w:rPr>
        <w:t>A E SAZONALIDADE</w:t>
      </w:r>
    </w:p>
    <w:p w14:paraId="07174D12" w14:textId="17C3A705" w:rsidR="000916DB" w:rsidRDefault="0068490F" w:rsidP="00946081">
      <w:pPr>
        <w:pBdr>
          <w:bottom w:val="none" w:sz="0" w:space="1" w:color="000000"/>
        </w:pBdr>
        <w:shd w:val="clear" w:color="auto" w:fill="FFFFFF"/>
        <w:tabs>
          <w:tab w:val="left" w:pos="2500"/>
        </w:tabs>
        <w:spacing w:after="240" w:line="31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Foram </w:t>
      </w:r>
      <w:r w:rsidR="006A578B" w:rsidRPr="006A578B">
        <w:rPr>
          <w:color w:val="000000"/>
          <w:sz w:val="24"/>
          <w:szCs w:val="24"/>
        </w:rPr>
        <w:t xml:space="preserve">identificados 35 constituintes químicos nos óleos essenciais de </w:t>
      </w:r>
      <w:r w:rsidR="006A578B" w:rsidRPr="006A578B">
        <w:rPr>
          <w:i/>
          <w:color w:val="000000"/>
          <w:sz w:val="24"/>
          <w:szCs w:val="24"/>
        </w:rPr>
        <w:t>P. longum</w:t>
      </w:r>
      <w:r w:rsidR="006A578B" w:rsidRPr="006A578B">
        <w:rPr>
          <w:color w:val="000000"/>
          <w:sz w:val="24"/>
          <w:szCs w:val="24"/>
        </w:rPr>
        <w:t xml:space="preserve">, representando em média 98,9% da composição total. A classe predominante foi a dos hidrocarbonetos sesquiterpênicos (52,4 – 72,2%), seguida pelos sesquiterpenos oxigenados </w:t>
      </w:r>
      <w:r w:rsidR="006A578B" w:rsidRPr="006A578B">
        <w:rPr>
          <w:color w:val="000000"/>
          <w:sz w:val="24"/>
          <w:szCs w:val="24"/>
        </w:rPr>
        <w:lastRenderedPageBreak/>
        <w:t xml:space="preserve">(24,7 – 47,5%). Os hidrocarbonetos monoterpênicos (0,7%) e os monoterpenos oxigenados (0,5%) </w:t>
      </w:r>
      <w:r w:rsidR="00EF002E">
        <w:rPr>
          <w:color w:val="000000"/>
          <w:sz w:val="24"/>
          <w:szCs w:val="24"/>
        </w:rPr>
        <w:t>foram identificados em</w:t>
      </w:r>
      <w:r w:rsidR="006A578B" w:rsidRPr="006A578B">
        <w:rPr>
          <w:color w:val="000000"/>
          <w:sz w:val="24"/>
          <w:szCs w:val="24"/>
        </w:rPr>
        <w:t xml:space="preserve"> baixa concentração (Ta</w:t>
      </w:r>
      <w:r w:rsidR="00A30254">
        <w:rPr>
          <w:color w:val="000000"/>
          <w:sz w:val="24"/>
          <w:szCs w:val="24"/>
        </w:rPr>
        <w:t>bela 1).</w:t>
      </w:r>
    </w:p>
    <w:p w14:paraId="5F30CF73" w14:textId="621F046D" w:rsidR="00A30254" w:rsidRPr="00A30254" w:rsidRDefault="00A30254" w:rsidP="00A30254">
      <w:pPr>
        <w:pStyle w:val="Legenda"/>
        <w:keepNext/>
        <w:rPr>
          <w:i w:val="0"/>
          <w:color w:val="auto"/>
          <w:sz w:val="22"/>
          <w:szCs w:val="22"/>
        </w:rPr>
      </w:pPr>
      <w:r w:rsidRPr="00294CFD">
        <w:rPr>
          <w:i w:val="0"/>
          <w:color w:val="auto"/>
          <w:sz w:val="22"/>
          <w:szCs w:val="22"/>
        </w:rPr>
        <w:t xml:space="preserve">Tabela </w:t>
      </w:r>
      <w:r w:rsidRPr="00294CFD">
        <w:rPr>
          <w:i w:val="0"/>
          <w:color w:val="auto"/>
          <w:sz w:val="22"/>
          <w:szCs w:val="22"/>
        </w:rPr>
        <w:fldChar w:fldCharType="begin"/>
      </w:r>
      <w:r w:rsidRPr="00294CFD">
        <w:rPr>
          <w:i w:val="0"/>
          <w:color w:val="auto"/>
          <w:sz w:val="22"/>
          <w:szCs w:val="22"/>
        </w:rPr>
        <w:instrText xml:space="preserve"> SEQ Tabela \* ARABIC </w:instrText>
      </w:r>
      <w:r w:rsidRPr="00294CFD">
        <w:rPr>
          <w:i w:val="0"/>
          <w:color w:val="auto"/>
          <w:sz w:val="22"/>
          <w:szCs w:val="22"/>
        </w:rPr>
        <w:fldChar w:fldCharType="separate"/>
      </w:r>
      <w:r w:rsidRPr="00294CFD">
        <w:rPr>
          <w:i w:val="0"/>
          <w:noProof/>
          <w:color w:val="auto"/>
          <w:sz w:val="22"/>
          <w:szCs w:val="22"/>
        </w:rPr>
        <w:t>1</w:t>
      </w:r>
      <w:r w:rsidRPr="00294CFD">
        <w:rPr>
          <w:i w:val="0"/>
          <w:color w:val="auto"/>
          <w:sz w:val="22"/>
          <w:szCs w:val="22"/>
        </w:rPr>
        <w:fldChar w:fldCharType="end"/>
      </w:r>
      <w:r w:rsidRPr="00A30254">
        <w:rPr>
          <w:b/>
          <w:i w:val="0"/>
          <w:color w:val="auto"/>
          <w:sz w:val="22"/>
          <w:szCs w:val="22"/>
        </w:rPr>
        <w:t>-</w:t>
      </w:r>
      <w:r w:rsidRPr="00A30254">
        <w:rPr>
          <w:i w:val="0"/>
          <w:color w:val="auto"/>
          <w:sz w:val="22"/>
          <w:szCs w:val="22"/>
        </w:rPr>
        <w:t xml:space="preserve"> Composição química dos óleos essenciais das folhas de </w:t>
      </w:r>
      <w:r w:rsidRPr="00A30254">
        <w:rPr>
          <w:color w:val="auto"/>
          <w:sz w:val="22"/>
          <w:szCs w:val="22"/>
        </w:rPr>
        <w:t>P. longum</w:t>
      </w:r>
      <w:r w:rsidRPr="00A30254">
        <w:rPr>
          <w:i w:val="0"/>
          <w:color w:val="auto"/>
          <w:sz w:val="22"/>
          <w:szCs w:val="22"/>
        </w:rPr>
        <w:t xml:space="preserve"> analisados no período chuvoso (FEV), trans</w:t>
      </w:r>
      <w:r>
        <w:rPr>
          <w:i w:val="0"/>
          <w:color w:val="auto"/>
          <w:sz w:val="22"/>
          <w:szCs w:val="22"/>
        </w:rPr>
        <w:t>ição (MAI) e seco (AGO) (≥2,0%)</w:t>
      </w:r>
    </w:p>
    <w:tbl>
      <w:tblPr>
        <w:tblStyle w:val="TabelaSimples2"/>
        <w:tblW w:w="9107" w:type="dxa"/>
        <w:tblLayout w:type="fixed"/>
        <w:tblLook w:val="0400" w:firstRow="0" w:lastRow="0" w:firstColumn="0" w:lastColumn="0" w:noHBand="0" w:noVBand="1"/>
      </w:tblPr>
      <w:tblGrid>
        <w:gridCol w:w="468"/>
        <w:gridCol w:w="783"/>
        <w:gridCol w:w="942"/>
        <w:gridCol w:w="3934"/>
        <w:gridCol w:w="941"/>
        <w:gridCol w:w="1097"/>
        <w:gridCol w:w="942"/>
      </w:tblGrid>
      <w:tr w:rsidR="006A578B" w:rsidRPr="006A578B" w14:paraId="1C0DD942" w14:textId="77777777" w:rsidTr="00593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tcW w:w="468" w:type="dxa"/>
            <w:tcBorders>
              <w:bottom w:val="single" w:sz="4" w:space="0" w:color="auto"/>
            </w:tcBorders>
          </w:tcPr>
          <w:p w14:paraId="6B6E5FB8" w14:textId="77777777" w:rsidR="006A578B" w:rsidRPr="002E378B" w:rsidRDefault="006A578B" w:rsidP="00084696">
            <w:pPr>
              <w:ind w:firstLine="709"/>
              <w:jc w:val="both"/>
              <w:rPr>
                <w:rFonts w:ascii="Arial" w:eastAsia="Arial" w:hAnsi="Arial" w:cs="Arial"/>
                <w:b/>
                <w:lang w:val="pt-BR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045B14C7" w14:textId="77777777" w:rsidR="006A578B" w:rsidRPr="006A578B" w:rsidRDefault="006A578B" w:rsidP="00084696">
            <w:pPr>
              <w:jc w:val="center"/>
              <w:rPr>
                <w:rFonts w:eastAsia="Arial"/>
                <w:b/>
                <w:sz w:val="24"/>
                <w:szCs w:val="24"/>
                <w:vertAlign w:val="subscript"/>
              </w:rPr>
            </w:pPr>
            <w:r w:rsidRPr="006A578B">
              <w:rPr>
                <w:rFonts w:eastAsia="Arial"/>
                <w:b/>
                <w:sz w:val="24"/>
                <w:szCs w:val="24"/>
              </w:rPr>
              <w:t>IR</w:t>
            </w:r>
            <w:r w:rsidRPr="006A578B">
              <w:rPr>
                <w:rFonts w:eastAsia="Arial"/>
                <w:b/>
                <w:sz w:val="24"/>
                <w:szCs w:val="24"/>
                <w:vertAlign w:val="subscript"/>
              </w:rPr>
              <w:t>(c)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14:paraId="3538BE61" w14:textId="77777777" w:rsidR="006A578B" w:rsidRPr="006A578B" w:rsidRDefault="006A578B" w:rsidP="00084696">
            <w:pPr>
              <w:jc w:val="center"/>
              <w:rPr>
                <w:rFonts w:eastAsia="Arial"/>
                <w:b/>
                <w:sz w:val="24"/>
                <w:szCs w:val="24"/>
                <w:vertAlign w:val="subscript"/>
              </w:rPr>
            </w:pPr>
            <w:r w:rsidRPr="006A578B">
              <w:rPr>
                <w:rFonts w:eastAsia="Arial"/>
                <w:b/>
                <w:sz w:val="24"/>
                <w:szCs w:val="24"/>
              </w:rPr>
              <w:t>IR</w:t>
            </w:r>
            <w:r w:rsidRPr="006A578B">
              <w:rPr>
                <w:rFonts w:eastAsia="Arial"/>
                <w:b/>
                <w:sz w:val="24"/>
                <w:szCs w:val="24"/>
                <w:vertAlign w:val="subscript"/>
              </w:rPr>
              <w:t>(L)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14:paraId="5CEC6FE5" w14:textId="77777777" w:rsidR="006A578B" w:rsidRPr="006A578B" w:rsidRDefault="006A578B" w:rsidP="00084696">
            <w:pPr>
              <w:jc w:val="center"/>
              <w:rPr>
                <w:rFonts w:eastAsia="Arial"/>
                <w:b/>
                <w:sz w:val="24"/>
                <w:szCs w:val="24"/>
                <w:lang w:val="pt-BR"/>
              </w:rPr>
            </w:pPr>
            <w:r w:rsidRPr="006A578B">
              <w:rPr>
                <w:rFonts w:eastAsia="Arial"/>
                <w:b/>
                <w:sz w:val="24"/>
                <w:szCs w:val="24"/>
                <w:lang w:val="pt-BR"/>
              </w:rPr>
              <w:t>Meses</w:t>
            </w:r>
          </w:p>
          <w:p w14:paraId="758D8A2A" w14:textId="77777777" w:rsidR="006A578B" w:rsidRPr="006A578B" w:rsidRDefault="006A578B" w:rsidP="00084696">
            <w:pPr>
              <w:jc w:val="center"/>
              <w:rPr>
                <w:rFonts w:eastAsia="Arial"/>
                <w:b/>
                <w:sz w:val="24"/>
                <w:szCs w:val="24"/>
                <w:lang w:val="pt-BR"/>
              </w:rPr>
            </w:pPr>
            <w:r w:rsidRPr="006A578B">
              <w:rPr>
                <w:rFonts w:eastAsia="Arial"/>
                <w:b/>
                <w:sz w:val="24"/>
                <w:szCs w:val="24"/>
                <w:lang w:val="pt-BR"/>
              </w:rPr>
              <w:t>Constituintes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14:paraId="51FA75A0" w14:textId="77777777" w:rsidR="006A578B" w:rsidRPr="006A578B" w:rsidRDefault="006A578B" w:rsidP="00084696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6A578B">
              <w:rPr>
                <w:rFonts w:eastAsia="Arial"/>
                <w:b/>
                <w:sz w:val="24"/>
                <w:szCs w:val="24"/>
              </w:rPr>
              <w:t>FEV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107F6B72" w14:textId="77777777" w:rsidR="006A578B" w:rsidRPr="006A578B" w:rsidRDefault="006A578B" w:rsidP="00084696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6A578B">
              <w:rPr>
                <w:rFonts w:eastAsia="Arial"/>
                <w:b/>
                <w:sz w:val="24"/>
                <w:szCs w:val="24"/>
              </w:rPr>
              <w:t>MAI</w:t>
            </w:r>
          </w:p>
          <w:p w14:paraId="0349B29C" w14:textId="77777777" w:rsidR="006A578B" w:rsidRPr="006A578B" w:rsidRDefault="006A578B" w:rsidP="00084696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6A578B">
              <w:rPr>
                <w:rFonts w:eastAsia="Arial"/>
                <w:b/>
                <w:sz w:val="24"/>
                <w:szCs w:val="24"/>
              </w:rPr>
              <w:t>%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14:paraId="3D55B502" w14:textId="77777777" w:rsidR="006A578B" w:rsidRPr="006A578B" w:rsidRDefault="006A578B" w:rsidP="00084696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6A578B">
              <w:rPr>
                <w:rFonts w:eastAsia="Arial"/>
                <w:b/>
                <w:sz w:val="24"/>
                <w:szCs w:val="24"/>
              </w:rPr>
              <w:t>AGO</w:t>
            </w:r>
          </w:p>
        </w:tc>
      </w:tr>
      <w:tr w:rsidR="006A578B" w:rsidRPr="006A578B" w14:paraId="119E7E68" w14:textId="77777777" w:rsidTr="0059394F">
        <w:trPr>
          <w:trHeight w:val="232"/>
        </w:trPr>
        <w:tc>
          <w:tcPr>
            <w:tcW w:w="468" w:type="dxa"/>
            <w:tcBorders>
              <w:top w:val="single" w:sz="4" w:space="0" w:color="auto"/>
              <w:bottom w:val="nil"/>
            </w:tcBorders>
          </w:tcPr>
          <w:p w14:paraId="5A54870D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bottom w:val="nil"/>
            </w:tcBorders>
          </w:tcPr>
          <w:p w14:paraId="77CDE1E6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  <w:lang w:val="pt-BR" w:eastAsia="pt-BR"/>
              </w:rPr>
              <w:t>1377</w:t>
            </w:r>
          </w:p>
        </w:tc>
        <w:tc>
          <w:tcPr>
            <w:tcW w:w="942" w:type="dxa"/>
            <w:tcBorders>
              <w:top w:val="single" w:sz="4" w:space="0" w:color="auto"/>
              <w:bottom w:val="nil"/>
            </w:tcBorders>
          </w:tcPr>
          <w:p w14:paraId="30602F23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1374</w:t>
            </w:r>
            <w:r w:rsidRPr="006A578B">
              <w:rPr>
                <w:rFonts w:eastAsia="Arial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934" w:type="dxa"/>
            <w:tcBorders>
              <w:top w:val="single" w:sz="4" w:space="0" w:color="auto"/>
              <w:bottom w:val="nil"/>
            </w:tcBorders>
          </w:tcPr>
          <w:p w14:paraId="74FD31D8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  <w:lang w:val="pt-BR" w:eastAsia="pt-BR"/>
              </w:rPr>
              <w:t>α-Copaeno</w:t>
            </w:r>
          </w:p>
        </w:tc>
        <w:tc>
          <w:tcPr>
            <w:tcW w:w="941" w:type="dxa"/>
            <w:tcBorders>
              <w:top w:val="single" w:sz="4" w:space="0" w:color="auto"/>
              <w:bottom w:val="nil"/>
            </w:tcBorders>
          </w:tcPr>
          <w:p w14:paraId="306E2D65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2,2</w:t>
            </w:r>
          </w:p>
        </w:tc>
        <w:tc>
          <w:tcPr>
            <w:tcW w:w="1097" w:type="dxa"/>
            <w:tcBorders>
              <w:top w:val="single" w:sz="4" w:space="0" w:color="auto"/>
              <w:bottom w:val="nil"/>
            </w:tcBorders>
          </w:tcPr>
          <w:p w14:paraId="0DD05456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  <w:lang w:val="pt-BR" w:eastAsia="pt-BR"/>
              </w:rPr>
              <w:t>1,2</w:t>
            </w:r>
          </w:p>
        </w:tc>
        <w:tc>
          <w:tcPr>
            <w:tcW w:w="942" w:type="dxa"/>
            <w:tcBorders>
              <w:top w:val="single" w:sz="4" w:space="0" w:color="auto"/>
              <w:bottom w:val="nil"/>
            </w:tcBorders>
          </w:tcPr>
          <w:p w14:paraId="0C401627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  <w:lang w:val="pt-BR" w:eastAsia="pt-BR"/>
              </w:rPr>
              <w:t>1,8</w:t>
            </w:r>
          </w:p>
        </w:tc>
      </w:tr>
      <w:tr w:rsidR="006A578B" w:rsidRPr="006A578B" w14:paraId="55D0E785" w14:textId="77777777" w:rsidTr="00593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tcW w:w="468" w:type="dxa"/>
            <w:tcBorders>
              <w:top w:val="nil"/>
              <w:bottom w:val="nil"/>
            </w:tcBorders>
          </w:tcPr>
          <w:p w14:paraId="08642404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04C664D4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  <w:lang w:val="pt-BR" w:eastAsia="pt-BR"/>
              </w:rPr>
              <w:t>1422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4A16D568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1417</w:t>
            </w:r>
            <w:r w:rsidRPr="006A578B">
              <w:rPr>
                <w:rFonts w:eastAsia="Arial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6905E00E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b/>
                <w:bCs/>
                <w:i/>
                <w:iCs/>
                <w:color w:val="000000"/>
                <w:sz w:val="24"/>
                <w:szCs w:val="24"/>
                <w:lang w:val="pt-BR" w:eastAsia="pt-BR"/>
              </w:rPr>
              <w:t>E</w:t>
            </w:r>
            <w:r w:rsidRPr="006A578B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-Cariofileno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21715ACB" w14:textId="77777777" w:rsidR="006A578B" w:rsidRPr="006A578B" w:rsidRDefault="006A578B" w:rsidP="00084696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6A578B">
              <w:rPr>
                <w:rFonts w:eastAsia="Arial"/>
                <w:b/>
                <w:sz w:val="24"/>
                <w:szCs w:val="24"/>
              </w:rPr>
              <w:t>20,7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14B4F231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21,7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7CBC1079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16,5</w:t>
            </w:r>
          </w:p>
        </w:tc>
      </w:tr>
      <w:tr w:rsidR="006A578B" w:rsidRPr="006A578B" w14:paraId="218EDDD8" w14:textId="77777777" w:rsidTr="0059394F">
        <w:trPr>
          <w:trHeight w:val="232"/>
        </w:trPr>
        <w:tc>
          <w:tcPr>
            <w:tcW w:w="468" w:type="dxa"/>
            <w:tcBorders>
              <w:top w:val="nil"/>
              <w:bottom w:val="nil"/>
            </w:tcBorders>
          </w:tcPr>
          <w:p w14:paraId="4A4EB301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48361776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  <w:lang w:val="pt-BR" w:eastAsia="pt-BR"/>
              </w:rPr>
              <w:t>1430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5E2EEB7F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1430</w:t>
            </w:r>
            <w:r w:rsidRPr="006A578B">
              <w:rPr>
                <w:rFonts w:eastAsia="Arial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490D5AFA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  <w:lang w:val="pt-BR" w:eastAsia="pt-BR"/>
              </w:rPr>
              <w:t>β-Copaeno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2067FB9E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4,1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502CAB39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  <w:lang w:val="pt-BR" w:eastAsia="pt-BR"/>
              </w:rPr>
              <w:t>2,8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5CB186D7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  <w:lang w:val="pt-BR" w:eastAsia="pt-BR"/>
              </w:rPr>
              <w:t>3,1</w:t>
            </w:r>
          </w:p>
        </w:tc>
      </w:tr>
      <w:tr w:rsidR="006A578B" w:rsidRPr="006A578B" w14:paraId="4F5F6031" w14:textId="77777777" w:rsidTr="00593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tcW w:w="468" w:type="dxa"/>
            <w:tcBorders>
              <w:top w:val="nil"/>
              <w:bottom w:val="nil"/>
            </w:tcBorders>
          </w:tcPr>
          <w:p w14:paraId="00E164FD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61EBF641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1435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34530C3C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1434</w:t>
            </w:r>
            <w:r w:rsidRPr="006A578B">
              <w:rPr>
                <w:rFonts w:eastAsia="Arial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710918F5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  <w:lang w:val="pt-BR" w:eastAsia="pt-BR"/>
              </w:rPr>
              <w:t>γ-Elemeno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050F73EE" w14:textId="77777777" w:rsidR="006A578B" w:rsidRPr="006A578B" w:rsidRDefault="006A578B" w:rsidP="00084696">
            <w:pPr>
              <w:ind w:firstLine="709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3CDF2DEE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58F1CD57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  <w:lang w:val="pt-BR" w:eastAsia="pt-BR"/>
              </w:rPr>
              <w:t>2,9</w:t>
            </w:r>
          </w:p>
        </w:tc>
      </w:tr>
      <w:tr w:rsidR="006A578B" w:rsidRPr="006A578B" w14:paraId="02CAFA04" w14:textId="77777777" w:rsidTr="0059394F">
        <w:trPr>
          <w:trHeight w:val="232"/>
        </w:trPr>
        <w:tc>
          <w:tcPr>
            <w:tcW w:w="468" w:type="dxa"/>
            <w:tcBorders>
              <w:top w:val="nil"/>
              <w:bottom w:val="nil"/>
            </w:tcBorders>
          </w:tcPr>
          <w:p w14:paraId="18FA0C9F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4BC2FAEA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1454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1220C3F8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1452</w:t>
            </w:r>
            <w:r w:rsidRPr="006A578B">
              <w:rPr>
                <w:rFonts w:eastAsia="Arial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0E0AB639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α-Humuleno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4BFD53DE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2,1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5087371A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  <w:lang w:val="pt-BR" w:eastAsia="pt-BR"/>
              </w:rPr>
              <w:t>1,5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6E59B6E9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  <w:lang w:val="pt-BR" w:eastAsia="pt-BR"/>
              </w:rPr>
              <w:t>2,2</w:t>
            </w:r>
          </w:p>
        </w:tc>
      </w:tr>
      <w:tr w:rsidR="006A578B" w:rsidRPr="006A578B" w14:paraId="2CC028BD" w14:textId="77777777" w:rsidTr="00593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tcW w:w="468" w:type="dxa"/>
            <w:tcBorders>
              <w:top w:val="nil"/>
              <w:bottom w:val="nil"/>
            </w:tcBorders>
          </w:tcPr>
          <w:p w14:paraId="3FE61830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6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793AADC5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1478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5B296895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1478</w:t>
            </w:r>
            <w:r w:rsidRPr="006A578B">
              <w:rPr>
                <w:rFonts w:eastAsia="Arial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5E9E0C72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γ-Muuroleno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705055F7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6,8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54FEDBCA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  <w:lang w:val="pt-BR" w:eastAsia="pt-BR"/>
              </w:rPr>
              <w:t>4,6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5042C659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  <w:lang w:val="pt-BR" w:eastAsia="pt-BR"/>
              </w:rPr>
              <w:t>4,1</w:t>
            </w:r>
          </w:p>
        </w:tc>
      </w:tr>
      <w:tr w:rsidR="006A578B" w:rsidRPr="006A578B" w14:paraId="68CF2F54" w14:textId="77777777" w:rsidTr="0059394F">
        <w:trPr>
          <w:trHeight w:val="232"/>
        </w:trPr>
        <w:tc>
          <w:tcPr>
            <w:tcW w:w="468" w:type="dxa"/>
            <w:tcBorders>
              <w:top w:val="nil"/>
              <w:bottom w:val="nil"/>
            </w:tcBorders>
          </w:tcPr>
          <w:p w14:paraId="62E79D6B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7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6A8F0C00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1482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0CCC5F0E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1480</w:t>
            </w:r>
            <w:r w:rsidRPr="006A578B">
              <w:rPr>
                <w:rFonts w:eastAsia="Arial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176743A7" w14:textId="77777777" w:rsidR="006A578B" w:rsidRPr="006A578B" w:rsidRDefault="006A578B" w:rsidP="00084696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6A578B">
              <w:rPr>
                <w:rFonts w:eastAsia="Arial"/>
                <w:b/>
                <w:sz w:val="24"/>
                <w:szCs w:val="24"/>
              </w:rPr>
              <w:t>Germacreno D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6F9B0D8B" w14:textId="77777777" w:rsidR="006A578B" w:rsidRPr="006A578B" w:rsidRDefault="006A578B" w:rsidP="00084696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6A578B">
              <w:rPr>
                <w:rFonts w:eastAsia="Arial"/>
                <w:b/>
                <w:sz w:val="24"/>
                <w:szCs w:val="24"/>
              </w:rPr>
              <w:t>4,0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2A639053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2,8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48A47953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12,4</w:t>
            </w:r>
          </w:p>
        </w:tc>
      </w:tr>
      <w:tr w:rsidR="006A578B" w:rsidRPr="006A578B" w14:paraId="0096B6E8" w14:textId="77777777" w:rsidTr="00593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tcW w:w="468" w:type="dxa"/>
            <w:tcBorders>
              <w:top w:val="nil"/>
              <w:bottom w:val="nil"/>
            </w:tcBorders>
          </w:tcPr>
          <w:p w14:paraId="6F57A2F9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8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10141528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1496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6D7C6C2E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1495</w:t>
            </w:r>
            <w:r w:rsidRPr="006A578B">
              <w:rPr>
                <w:rFonts w:eastAsia="Arial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594F19F2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γ-Amorfeno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4AA32EDB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4,9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71496E82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  <w:lang w:val="pt-BR" w:eastAsia="pt-BR"/>
              </w:rPr>
              <w:t>3,6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29216119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  <w:lang w:val="pt-BR" w:eastAsia="pt-BR"/>
              </w:rPr>
              <w:t>4,2</w:t>
            </w:r>
          </w:p>
        </w:tc>
      </w:tr>
      <w:tr w:rsidR="006A578B" w:rsidRPr="006A578B" w14:paraId="492E13C9" w14:textId="77777777" w:rsidTr="0059394F">
        <w:trPr>
          <w:trHeight w:val="232"/>
        </w:trPr>
        <w:tc>
          <w:tcPr>
            <w:tcW w:w="468" w:type="dxa"/>
            <w:tcBorders>
              <w:top w:val="nil"/>
              <w:bottom w:val="nil"/>
            </w:tcBorders>
          </w:tcPr>
          <w:p w14:paraId="30F385F3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09668071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1499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3C5A20C4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1500</w:t>
            </w:r>
            <w:r w:rsidRPr="006A578B">
              <w:rPr>
                <w:rFonts w:eastAsia="Arial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68A7D9C0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Biciclogermacreno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0A599B7B" w14:textId="77777777" w:rsidR="006A578B" w:rsidRPr="006A578B" w:rsidRDefault="006A578B" w:rsidP="00084696">
            <w:pPr>
              <w:ind w:firstLine="709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2AAE7369" w14:textId="77777777" w:rsidR="006A578B" w:rsidRPr="006A578B" w:rsidRDefault="006A578B" w:rsidP="00084696">
            <w:pPr>
              <w:ind w:firstLine="709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018E3FB1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  <w:lang w:val="pt-BR" w:eastAsia="pt-BR"/>
              </w:rPr>
              <w:t>2,2</w:t>
            </w:r>
          </w:p>
        </w:tc>
      </w:tr>
      <w:tr w:rsidR="006A578B" w:rsidRPr="006A578B" w14:paraId="12F8D47F" w14:textId="77777777" w:rsidTr="00593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tcW w:w="468" w:type="dxa"/>
            <w:tcBorders>
              <w:top w:val="nil"/>
              <w:bottom w:val="nil"/>
            </w:tcBorders>
          </w:tcPr>
          <w:p w14:paraId="07B9DF7D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00BF78B5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1501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4C86775E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1500</w:t>
            </w:r>
            <w:r w:rsidRPr="006A578B">
              <w:rPr>
                <w:rFonts w:eastAsia="Arial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5D9E3328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α-Muuroleno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191D5AF4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  <w:lang w:val="pt-BR" w:eastAsia="pt-BR"/>
              </w:rPr>
              <w:t>2,5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1636F8D1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  <w:lang w:val="pt-BR" w:eastAsia="pt-BR"/>
              </w:rPr>
              <w:t>1,3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55F429EA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  <w:lang w:val="pt-BR" w:eastAsia="pt-BR"/>
              </w:rPr>
              <w:t>1,8</w:t>
            </w:r>
          </w:p>
        </w:tc>
      </w:tr>
      <w:tr w:rsidR="006A578B" w:rsidRPr="006A578B" w14:paraId="0ADF3583" w14:textId="77777777" w:rsidTr="0059394F">
        <w:trPr>
          <w:trHeight w:val="232"/>
        </w:trPr>
        <w:tc>
          <w:tcPr>
            <w:tcW w:w="468" w:type="dxa"/>
            <w:tcBorders>
              <w:top w:val="nil"/>
              <w:bottom w:val="nil"/>
            </w:tcBorders>
          </w:tcPr>
          <w:p w14:paraId="6EFCC17C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11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71979879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1516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5FC13F7C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1513</w:t>
            </w:r>
            <w:r w:rsidRPr="006A578B">
              <w:rPr>
                <w:rFonts w:eastAsia="Arial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13AD56AF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γ-Cadineno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7BE33ADB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  <w:lang w:val="pt-BR" w:eastAsia="pt-BR"/>
              </w:rPr>
              <w:t>5,7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5755E81B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  <w:lang w:val="pt-BR" w:eastAsia="pt-BR"/>
              </w:rPr>
              <w:t>4,3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15B63A17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  <w:lang w:val="pt-BR" w:eastAsia="pt-BR"/>
              </w:rPr>
              <w:t>3,6</w:t>
            </w:r>
          </w:p>
        </w:tc>
      </w:tr>
      <w:tr w:rsidR="006A578B" w:rsidRPr="006A578B" w14:paraId="5C55C5B9" w14:textId="77777777" w:rsidTr="00593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tcW w:w="468" w:type="dxa"/>
            <w:tcBorders>
              <w:top w:val="nil"/>
              <w:bottom w:val="nil"/>
            </w:tcBorders>
          </w:tcPr>
          <w:p w14:paraId="30149C10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12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21B3D181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1525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0A79047A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1523</w:t>
            </w:r>
            <w:r w:rsidRPr="006A578B">
              <w:rPr>
                <w:rFonts w:eastAsia="Arial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5FAD8227" w14:textId="77777777" w:rsidR="006A578B" w:rsidRPr="006A578B" w:rsidRDefault="006A578B" w:rsidP="00084696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6A578B">
              <w:rPr>
                <w:rFonts w:eastAsia="Arial"/>
                <w:b/>
                <w:sz w:val="24"/>
                <w:szCs w:val="24"/>
              </w:rPr>
              <w:t>δ-Cadineno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1E66F719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7,0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6F224741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5,5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11148C44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8,0</w:t>
            </w:r>
          </w:p>
        </w:tc>
      </w:tr>
      <w:tr w:rsidR="006A578B" w:rsidRPr="006A578B" w14:paraId="46F7DE8B" w14:textId="77777777" w:rsidTr="0059394F">
        <w:trPr>
          <w:trHeight w:val="232"/>
        </w:trPr>
        <w:tc>
          <w:tcPr>
            <w:tcW w:w="468" w:type="dxa"/>
            <w:tcBorders>
              <w:top w:val="nil"/>
              <w:bottom w:val="nil"/>
            </w:tcBorders>
          </w:tcPr>
          <w:p w14:paraId="618F2CD0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13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4CB702E6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1558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23F71B81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1559</w:t>
            </w:r>
            <w:r w:rsidRPr="006A578B">
              <w:rPr>
                <w:rFonts w:eastAsia="Arial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59E6F78F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Germacreno B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0CB3FEAC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  <w:lang w:val="pt-BR" w:eastAsia="pt-BR"/>
              </w:rPr>
              <w:t>3,4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703DB82A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  <w:lang w:val="pt-BR" w:eastAsia="pt-BR"/>
              </w:rPr>
              <w:t>2,6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0ACF1F7E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  <w:lang w:val="pt-BR" w:eastAsia="pt-BR"/>
              </w:rPr>
              <w:t>2,0</w:t>
            </w:r>
          </w:p>
        </w:tc>
      </w:tr>
      <w:tr w:rsidR="006A578B" w:rsidRPr="006A578B" w14:paraId="1B1B2BB2" w14:textId="77777777" w:rsidTr="00593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tcW w:w="468" w:type="dxa"/>
            <w:tcBorders>
              <w:top w:val="nil"/>
              <w:bottom w:val="nil"/>
            </w:tcBorders>
          </w:tcPr>
          <w:p w14:paraId="2E21560F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14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4FEF55F0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1566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2BC0C5E2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1563</w:t>
            </w:r>
            <w:r w:rsidRPr="006A578B">
              <w:rPr>
                <w:rFonts w:eastAsia="Arial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1D7445F2" w14:textId="77777777" w:rsidR="006A578B" w:rsidRPr="006A578B" w:rsidRDefault="006A578B" w:rsidP="00084696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6A578B">
              <w:rPr>
                <w:rFonts w:eastAsia="Arial"/>
                <w:b/>
                <w:i/>
                <w:sz w:val="24"/>
                <w:szCs w:val="24"/>
              </w:rPr>
              <w:t>E</w:t>
            </w:r>
            <w:r w:rsidRPr="006A578B">
              <w:rPr>
                <w:rFonts w:eastAsia="Arial"/>
                <w:b/>
                <w:sz w:val="24"/>
                <w:szCs w:val="24"/>
              </w:rPr>
              <w:t>-Nerolidol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10AC1C66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8,0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35CA3379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29,8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29256833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9,1</w:t>
            </w:r>
          </w:p>
        </w:tc>
      </w:tr>
      <w:tr w:rsidR="006A578B" w:rsidRPr="006A578B" w14:paraId="3D7BC82A" w14:textId="77777777" w:rsidTr="0059394F">
        <w:trPr>
          <w:trHeight w:val="232"/>
        </w:trPr>
        <w:tc>
          <w:tcPr>
            <w:tcW w:w="468" w:type="dxa"/>
            <w:tcBorders>
              <w:top w:val="nil"/>
              <w:bottom w:val="nil"/>
            </w:tcBorders>
          </w:tcPr>
          <w:p w14:paraId="7C6803DB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15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3D68F19A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1585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7E098353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1587</w:t>
            </w:r>
            <w:r w:rsidRPr="006A578B">
              <w:rPr>
                <w:rFonts w:eastAsia="Arial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4DFFF3F3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Óxido de cariofileno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6F3E8139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  <w:lang w:val="pt-BR" w:eastAsia="pt-BR"/>
              </w:rPr>
              <w:t>4,9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4BF060A4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  <w:lang w:val="pt-BR" w:eastAsia="pt-BR"/>
              </w:rPr>
              <w:t>5,5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5FB85402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  <w:lang w:val="pt-BR" w:eastAsia="pt-BR"/>
              </w:rPr>
              <w:t>1,4</w:t>
            </w:r>
          </w:p>
        </w:tc>
      </w:tr>
      <w:tr w:rsidR="006A578B" w:rsidRPr="006A578B" w14:paraId="65342FF1" w14:textId="77777777" w:rsidTr="00593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tcW w:w="468" w:type="dxa"/>
            <w:tcBorders>
              <w:top w:val="nil"/>
              <w:bottom w:val="nil"/>
            </w:tcBorders>
          </w:tcPr>
          <w:p w14:paraId="50BABB43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16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26AEE889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1644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1F1B9887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1644</w:t>
            </w:r>
            <w:r w:rsidRPr="006A578B">
              <w:rPr>
                <w:rFonts w:eastAsia="Arial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00B734D6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α-Muurolol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0F72954A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  <w:lang w:val="pt-BR" w:eastAsia="pt-BR"/>
              </w:rPr>
              <w:t>6,1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39D5FD6B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  <w:lang w:val="pt-BR" w:eastAsia="pt-BR"/>
              </w:rPr>
              <w:t>3,9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6167C66D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  <w:lang w:val="pt-BR" w:eastAsia="pt-BR"/>
              </w:rPr>
              <w:t>4,0</w:t>
            </w:r>
          </w:p>
        </w:tc>
      </w:tr>
      <w:tr w:rsidR="006A578B" w:rsidRPr="006A578B" w14:paraId="5DABF839" w14:textId="77777777" w:rsidTr="0059394F">
        <w:trPr>
          <w:trHeight w:val="232"/>
        </w:trPr>
        <w:tc>
          <w:tcPr>
            <w:tcW w:w="468" w:type="dxa"/>
            <w:tcBorders>
              <w:top w:val="nil"/>
              <w:bottom w:val="single" w:sz="4" w:space="0" w:color="auto"/>
            </w:tcBorders>
          </w:tcPr>
          <w:p w14:paraId="1E20236B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17</w:t>
            </w:r>
          </w:p>
        </w:tc>
        <w:tc>
          <w:tcPr>
            <w:tcW w:w="783" w:type="dxa"/>
            <w:tcBorders>
              <w:top w:val="nil"/>
              <w:bottom w:val="single" w:sz="4" w:space="0" w:color="auto"/>
            </w:tcBorders>
          </w:tcPr>
          <w:p w14:paraId="51FB84CE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1657</w:t>
            </w:r>
          </w:p>
        </w:tc>
        <w:tc>
          <w:tcPr>
            <w:tcW w:w="942" w:type="dxa"/>
            <w:tcBorders>
              <w:top w:val="nil"/>
              <w:bottom w:val="single" w:sz="4" w:space="0" w:color="auto"/>
            </w:tcBorders>
          </w:tcPr>
          <w:p w14:paraId="3922B0DF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rFonts w:eastAsia="Arial"/>
                <w:sz w:val="24"/>
                <w:szCs w:val="24"/>
              </w:rPr>
              <w:t>1652</w:t>
            </w:r>
            <w:r w:rsidRPr="006A578B">
              <w:rPr>
                <w:rFonts w:eastAsia="Arial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02E83348" w14:textId="77777777" w:rsidR="006A578B" w:rsidRPr="006A578B" w:rsidRDefault="006A578B" w:rsidP="00084696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6A578B">
              <w:rPr>
                <w:rFonts w:eastAsia="Arial"/>
                <w:b/>
                <w:sz w:val="24"/>
                <w:szCs w:val="24"/>
              </w:rPr>
              <w:t>α-Cadinol</w:t>
            </w:r>
          </w:p>
        </w:tc>
        <w:tc>
          <w:tcPr>
            <w:tcW w:w="941" w:type="dxa"/>
            <w:tcBorders>
              <w:top w:val="nil"/>
              <w:bottom w:val="single" w:sz="4" w:space="0" w:color="auto"/>
            </w:tcBorders>
          </w:tcPr>
          <w:p w14:paraId="21040396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8,4</w:t>
            </w:r>
          </w:p>
        </w:tc>
        <w:tc>
          <w:tcPr>
            <w:tcW w:w="1097" w:type="dxa"/>
            <w:tcBorders>
              <w:top w:val="nil"/>
              <w:bottom w:val="single" w:sz="4" w:space="0" w:color="auto"/>
            </w:tcBorders>
          </w:tcPr>
          <w:p w14:paraId="320A4E56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6,2</w:t>
            </w:r>
          </w:p>
        </w:tc>
        <w:tc>
          <w:tcPr>
            <w:tcW w:w="942" w:type="dxa"/>
            <w:tcBorders>
              <w:top w:val="nil"/>
              <w:bottom w:val="single" w:sz="4" w:space="0" w:color="auto"/>
            </w:tcBorders>
          </w:tcPr>
          <w:p w14:paraId="506C169A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6,5</w:t>
            </w:r>
          </w:p>
        </w:tc>
      </w:tr>
      <w:tr w:rsidR="006A578B" w:rsidRPr="006A578B" w14:paraId="0239A86E" w14:textId="77777777" w:rsidTr="00593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tcW w:w="468" w:type="dxa"/>
            <w:tcBorders>
              <w:top w:val="single" w:sz="4" w:space="0" w:color="auto"/>
              <w:bottom w:val="nil"/>
            </w:tcBorders>
          </w:tcPr>
          <w:p w14:paraId="295E7A3A" w14:textId="77777777" w:rsidR="006A578B" w:rsidRDefault="006A578B" w:rsidP="0008469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nil"/>
            </w:tcBorders>
          </w:tcPr>
          <w:p w14:paraId="2883BC8B" w14:textId="77777777" w:rsidR="006A578B" w:rsidRPr="006A578B" w:rsidRDefault="006A578B" w:rsidP="00084696">
            <w:pPr>
              <w:ind w:firstLine="709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nil"/>
            </w:tcBorders>
          </w:tcPr>
          <w:p w14:paraId="60E4E02F" w14:textId="77777777" w:rsidR="006A578B" w:rsidRPr="006A578B" w:rsidRDefault="006A578B" w:rsidP="00084696">
            <w:pPr>
              <w:ind w:firstLine="709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bottom w:val="nil"/>
            </w:tcBorders>
          </w:tcPr>
          <w:p w14:paraId="4779540C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  <w:lang w:val="pt-BR"/>
              </w:rPr>
            </w:pPr>
            <w:r w:rsidRPr="006A578B">
              <w:rPr>
                <w:color w:val="000000"/>
                <w:sz w:val="24"/>
                <w:szCs w:val="24"/>
                <w:lang w:val="pt-BR"/>
              </w:rPr>
              <w:t>Hidrocarboneto monoterpênico</w:t>
            </w:r>
          </w:p>
        </w:tc>
        <w:tc>
          <w:tcPr>
            <w:tcW w:w="941" w:type="dxa"/>
            <w:tcBorders>
              <w:top w:val="single" w:sz="4" w:space="0" w:color="auto"/>
              <w:bottom w:val="nil"/>
            </w:tcBorders>
          </w:tcPr>
          <w:p w14:paraId="149A3C8F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bottom w:val="nil"/>
            </w:tcBorders>
          </w:tcPr>
          <w:p w14:paraId="7C11F883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bottom w:val="nil"/>
            </w:tcBorders>
          </w:tcPr>
          <w:p w14:paraId="5877AD21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6A578B" w:rsidRPr="006A578B" w14:paraId="5BC35790" w14:textId="77777777" w:rsidTr="0059394F">
        <w:trPr>
          <w:trHeight w:val="232"/>
        </w:trPr>
        <w:tc>
          <w:tcPr>
            <w:tcW w:w="468" w:type="dxa"/>
            <w:tcBorders>
              <w:top w:val="nil"/>
              <w:bottom w:val="nil"/>
            </w:tcBorders>
          </w:tcPr>
          <w:p w14:paraId="78FF247A" w14:textId="77777777" w:rsidR="006A578B" w:rsidRDefault="006A578B" w:rsidP="0008469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6F275614" w14:textId="77777777" w:rsidR="006A578B" w:rsidRPr="006A578B" w:rsidRDefault="006A578B" w:rsidP="00084696">
            <w:pPr>
              <w:ind w:firstLine="709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531E347A" w14:textId="77777777" w:rsidR="006A578B" w:rsidRPr="006A578B" w:rsidRDefault="006A578B" w:rsidP="00084696">
            <w:pPr>
              <w:ind w:firstLine="709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48D005DC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  <w:lang w:val="pt-BR"/>
              </w:rPr>
            </w:pPr>
            <w:r w:rsidRPr="006A578B">
              <w:rPr>
                <w:color w:val="000000"/>
                <w:sz w:val="24"/>
                <w:szCs w:val="24"/>
                <w:lang w:val="pt-BR"/>
              </w:rPr>
              <w:t>Monoterpeno oxigenado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6F7DA515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42330081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39A721AA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6A578B" w:rsidRPr="006A578B" w14:paraId="669E8DA8" w14:textId="77777777" w:rsidTr="00593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tcW w:w="468" w:type="dxa"/>
            <w:tcBorders>
              <w:top w:val="nil"/>
              <w:bottom w:val="nil"/>
            </w:tcBorders>
          </w:tcPr>
          <w:p w14:paraId="70032339" w14:textId="77777777" w:rsidR="006A578B" w:rsidRDefault="006A578B" w:rsidP="0008469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436B41D6" w14:textId="77777777" w:rsidR="006A578B" w:rsidRPr="006A578B" w:rsidRDefault="006A578B" w:rsidP="00084696">
            <w:pPr>
              <w:ind w:firstLine="709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04C97999" w14:textId="77777777" w:rsidR="006A578B" w:rsidRPr="006A578B" w:rsidRDefault="006A578B" w:rsidP="00084696">
            <w:pPr>
              <w:ind w:firstLine="709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404AA7AB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  <w:lang w:val="pt-BR"/>
              </w:rPr>
            </w:pPr>
            <w:r w:rsidRPr="006A578B">
              <w:rPr>
                <w:color w:val="000000"/>
                <w:sz w:val="24"/>
                <w:szCs w:val="24"/>
                <w:lang w:val="pt-BR"/>
              </w:rPr>
              <w:t>Hidrocarboneto sesquiterpênico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0B0F10BC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</w:rPr>
              <w:t>66,6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5C01A5F5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</w:rPr>
              <w:t>52,4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4648818B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</w:rPr>
              <w:t>72,2</w:t>
            </w:r>
          </w:p>
        </w:tc>
      </w:tr>
      <w:tr w:rsidR="006A578B" w:rsidRPr="006A578B" w14:paraId="1563F0D1" w14:textId="77777777" w:rsidTr="0059394F">
        <w:trPr>
          <w:trHeight w:val="61"/>
        </w:trPr>
        <w:tc>
          <w:tcPr>
            <w:tcW w:w="468" w:type="dxa"/>
            <w:tcBorders>
              <w:top w:val="nil"/>
              <w:bottom w:val="nil"/>
            </w:tcBorders>
          </w:tcPr>
          <w:p w14:paraId="6BAD4FE7" w14:textId="77777777" w:rsidR="006A578B" w:rsidRDefault="006A578B" w:rsidP="0008469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72DF4401" w14:textId="77777777" w:rsidR="006A578B" w:rsidRPr="006A578B" w:rsidRDefault="006A578B" w:rsidP="00084696">
            <w:pPr>
              <w:ind w:firstLine="709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7A40DA90" w14:textId="77777777" w:rsidR="006A578B" w:rsidRPr="006A578B" w:rsidRDefault="006A578B" w:rsidP="00084696">
            <w:pPr>
              <w:ind w:firstLine="709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250DBE6D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  <w:lang w:val="pt-BR"/>
              </w:rPr>
            </w:pPr>
            <w:r w:rsidRPr="006A578B">
              <w:rPr>
                <w:color w:val="000000"/>
                <w:sz w:val="24"/>
                <w:szCs w:val="24"/>
                <w:lang w:val="pt-BR"/>
              </w:rPr>
              <w:t>Sesquiterpeno oxigenado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1B4F15AB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</w:rPr>
              <w:t>32,3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43FF1232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</w:rPr>
              <w:t>47,5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2B69D02C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</w:rPr>
              <w:t>24,7</w:t>
            </w:r>
          </w:p>
        </w:tc>
      </w:tr>
      <w:tr w:rsidR="006A578B" w:rsidRPr="006A578B" w14:paraId="58752E17" w14:textId="77777777" w:rsidTr="00593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14:paraId="361A4AAF" w14:textId="77777777" w:rsidR="006A578B" w:rsidRDefault="006A578B" w:rsidP="0008469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29AFDD5D" w14:textId="77777777" w:rsidR="006A578B" w:rsidRPr="006A578B" w:rsidRDefault="006A578B" w:rsidP="00084696">
            <w:pPr>
              <w:ind w:firstLine="709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5ACBFEB1" w14:textId="77777777" w:rsidR="006A578B" w:rsidRPr="006A578B" w:rsidRDefault="006A578B" w:rsidP="00084696">
            <w:pPr>
              <w:ind w:firstLine="709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14:paraId="5EF6B832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  <w:lang w:val="pt-BR"/>
              </w:rPr>
            </w:pPr>
            <w:r w:rsidRPr="006A578B">
              <w:rPr>
                <w:color w:val="000000"/>
                <w:sz w:val="24"/>
                <w:szCs w:val="24"/>
                <w:lang w:val="pt-BR"/>
              </w:rPr>
              <w:t>Total identificado (%)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3A054595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</w:rPr>
              <w:t>98,9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774B42C9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1D4E1B2C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</w:rPr>
              <w:t>98,1</w:t>
            </w:r>
          </w:p>
        </w:tc>
      </w:tr>
      <w:tr w:rsidR="006A578B" w:rsidRPr="006A578B" w14:paraId="4A1D27AB" w14:textId="77777777" w:rsidTr="0059394F">
        <w:trPr>
          <w:trHeight w:val="23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14:paraId="227610A8" w14:textId="77777777" w:rsidR="006A578B" w:rsidRDefault="006A578B" w:rsidP="0008469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2669D0E1" w14:textId="77777777" w:rsidR="006A578B" w:rsidRPr="006A578B" w:rsidRDefault="006A578B" w:rsidP="00084696">
            <w:pPr>
              <w:ind w:firstLine="709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447F0508" w14:textId="77777777" w:rsidR="006A578B" w:rsidRPr="006A578B" w:rsidRDefault="006A578B" w:rsidP="00084696">
            <w:pPr>
              <w:ind w:firstLine="709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14:paraId="57F0CDB6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  <w:lang w:val="pt-BR"/>
              </w:rPr>
            </w:pPr>
            <w:r w:rsidRPr="006A578B">
              <w:rPr>
                <w:color w:val="000000"/>
                <w:sz w:val="24"/>
                <w:szCs w:val="24"/>
                <w:lang w:val="pt-BR"/>
              </w:rPr>
              <w:t>Rendimento (%)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4C1095BC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334D263D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31C0BCF1" w14:textId="77777777" w:rsidR="006A578B" w:rsidRPr="006A578B" w:rsidRDefault="006A578B" w:rsidP="00084696">
            <w:pPr>
              <w:jc w:val="center"/>
              <w:rPr>
                <w:rFonts w:eastAsia="Arial"/>
                <w:sz w:val="24"/>
                <w:szCs w:val="24"/>
              </w:rPr>
            </w:pPr>
            <w:r w:rsidRPr="006A578B">
              <w:rPr>
                <w:color w:val="000000"/>
                <w:sz w:val="24"/>
                <w:szCs w:val="24"/>
              </w:rPr>
              <w:t>0,7</w:t>
            </w:r>
          </w:p>
        </w:tc>
      </w:tr>
    </w:tbl>
    <w:p w14:paraId="7EDA4A41" w14:textId="77777777" w:rsidR="00177FCA" w:rsidRPr="00177FCA" w:rsidRDefault="00177FCA" w:rsidP="00177FCA">
      <w:pPr>
        <w:jc w:val="both"/>
        <w:rPr>
          <w:rFonts w:eastAsia="Arial"/>
          <w:lang w:val="pt-BR"/>
        </w:rPr>
      </w:pPr>
      <w:r w:rsidRPr="00177FCA">
        <w:rPr>
          <w:rFonts w:eastAsia="Arial"/>
          <w:b/>
        </w:rPr>
        <w:t>IR</w:t>
      </w:r>
      <w:r w:rsidRPr="00177FCA">
        <w:rPr>
          <w:rFonts w:eastAsia="Arial"/>
          <w:b/>
          <w:vertAlign w:val="subscript"/>
        </w:rPr>
        <w:t>C</w:t>
      </w:r>
      <w:r w:rsidRPr="00177FCA">
        <w:rPr>
          <w:rFonts w:eastAsia="Arial"/>
        </w:rPr>
        <w:t xml:space="preserve">: Índice de retenção calculado; </w:t>
      </w:r>
      <w:r w:rsidRPr="00177FCA">
        <w:rPr>
          <w:rFonts w:eastAsia="Arial"/>
          <w:b/>
        </w:rPr>
        <w:t>IR</w:t>
      </w:r>
      <w:r w:rsidRPr="00177FCA">
        <w:rPr>
          <w:rFonts w:eastAsia="Arial"/>
          <w:b/>
          <w:vertAlign w:val="subscript"/>
        </w:rPr>
        <w:t>L</w:t>
      </w:r>
      <w:r w:rsidRPr="00177FCA">
        <w:rPr>
          <w:rFonts w:eastAsia="Arial"/>
        </w:rPr>
        <w:t xml:space="preserve">: Índice de retenção da literatura; </w:t>
      </w:r>
      <w:r w:rsidRPr="00177FCA">
        <w:rPr>
          <w:rFonts w:eastAsia="Arial"/>
          <w:b/>
          <w:vertAlign w:val="superscript"/>
        </w:rPr>
        <w:t>a</w:t>
      </w:r>
      <w:r w:rsidRPr="00177FCA">
        <w:rPr>
          <w:rFonts w:eastAsia="Arial"/>
        </w:rPr>
        <w:t xml:space="preserve">: (Adams, 2007); </w:t>
      </w:r>
      <w:r w:rsidRPr="00177FCA">
        <w:rPr>
          <w:rFonts w:eastAsia="Arial"/>
          <w:b/>
          <w:vertAlign w:val="superscript"/>
        </w:rPr>
        <w:t>b</w:t>
      </w:r>
      <w:r w:rsidRPr="00177FCA">
        <w:rPr>
          <w:rFonts w:eastAsia="Arial"/>
        </w:rPr>
        <w:t xml:space="preserve">: (Mondello,2011); </w:t>
      </w:r>
      <w:r w:rsidRPr="00177FCA">
        <w:rPr>
          <w:rFonts w:eastAsia="Arial"/>
          <w:b/>
        </w:rPr>
        <w:t>FEV</w:t>
      </w:r>
      <w:r w:rsidRPr="00177FCA">
        <w:rPr>
          <w:rFonts w:eastAsia="Arial"/>
        </w:rPr>
        <w:t xml:space="preserve">: Fevereiro; </w:t>
      </w:r>
      <w:r w:rsidRPr="00177FCA">
        <w:rPr>
          <w:rFonts w:eastAsia="Arial"/>
          <w:b/>
        </w:rPr>
        <w:t>MAI</w:t>
      </w:r>
      <w:r w:rsidRPr="00177FCA">
        <w:rPr>
          <w:rFonts w:eastAsia="Arial"/>
        </w:rPr>
        <w:t xml:space="preserve">: Maio; </w:t>
      </w:r>
      <w:r w:rsidRPr="00177FCA">
        <w:rPr>
          <w:rFonts w:eastAsia="Arial"/>
          <w:b/>
        </w:rPr>
        <w:t>AGO</w:t>
      </w:r>
      <w:r w:rsidRPr="00177FCA">
        <w:rPr>
          <w:rFonts w:eastAsia="Arial"/>
        </w:rPr>
        <w:t>: Agosto</w:t>
      </w:r>
    </w:p>
    <w:p w14:paraId="175FA344" w14:textId="292E4362" w:rsidR="00177FCA" w:rsidRPr="00177FCA" w:rsidRDefault="00294CFD" w:rsidP="008F6454">
      <w:pPr>
        <w:spacing w:after="240"/>
        <w:jc w:val="both"/>
        <w:rPr>
          <w:rFonts w:eastAsia="Arial"/>
          <w:lang w:val="pt-BR"/>
        </w:rPr>
      </w:pPr>
      <w:r>
        <w:rPr>
          <w:rFonts w:eastAsia="Arial"/>
          <w:lang w:val="pt-BR"/>
        </w:rPr>
        <w:t>Fonte: Autores (2024).</w:t>
      </w:r>
    </w:p>
    <w:p w14:paraId="57FFB221" w14:textId="49EC9B9F" w:rsidR="00A26D3E" w:rsidRDefault="00067DB2" w:rsidP="00946081">
      <w:pPr>
        <w:widowControl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067DB2">
        <w:rPr>
          <w:color w:val="000000"/>
          <w:sz w:val="24"/>
          <w:szCs w:val="24"/>
        </w:rPr>
        <w:t>Durante o período de análise, o</w:t>
      </w:r>
      <w:r w:rsidR="00EF002E">
        <w:rPr>
          <w:color w:val="000000"/>
          <w:sz w:val="24"/>
          <w:szCs w:val="24"/>
        </w:rPr>
        <w:t xml:space="preserve"> </w:t>
      </w:r>
      <w:r w:rsidR="00EF002E" w:rsidRPr="004D77C0">
        <w:rPr>
          <w:color w:val="000000"/>
          <w:sz w:val="24"/>
          <w:szCs w:val="24"/>
        </w:rPr>
        <w:t>sesquiterpeno</w:t>
      </w:r>
      <w:r w:rsidR="00EF002E" w:rsidRPr="004D77C0">
        <w:rPr>
          <w:i/>
          <w:color w:val="000000"/>
          <w:sz w:val="24"/>
          <w:szCs w:val="24"/>
        </w:rPr>
        <w:t xml:space="preserve"> </w:t>
      </w:r>
      <w:r w:rsidRPr="004D77C0">
        <w:rPr>
          <w:i/>
          <w:color w:val="000000"/>
          <w:sz w:val="24"/>
          <w:szCs w:val="24"/>
        </w:rPr>
        <w:t>E</w:t>
      </w:r>
      <w:r w:rsidRPr="00067DB2">
        <w:rPr>
          <w:color w:val="000000"/>
          <w:sz w:val="24"/>
          <w:szCs w:val="24"/>
        </w:rPr>
        <w:t>-cariofileno foi o principal componente dos óleos essenciais, variando entre 16,5% em agosto e 21,7% em maio. Outros</w:t>
      </w:r>
      <w:r w:rsidR="00AF4B6F">
        <w:rPr>
          <w:color w:val="000000"/>
          <w:sz w:val="24"/>
          <w:szCs w:val="24"/>
        </w:rPr>
        <w:t xml:space="preserve"> sesquiterpenos</w:t>
      </w:r>
      <w:r w:rsidRPr="00067DB2">
        <w:rPr>
          <w:color w:val="000000"/>
          <w:sz w:val="24"/>
          <w:szCs w:val="24"/>
        </w:rPr>
        <w:t>, como germacreno D e δ-cadineno, também apresentaram concentrações significativas</w:t>
      </w:r>
      <w:r>
        <w:rPr>
          <w:color w:val="000000"/>
          <w:sz w:val="24"/>
          <w:szCs w:val="24"/>
        </w:rPr>
        <w:t xml:space="preserve"> </w:t>
      </w:r>
      <w:r w:rsidRPr="001E5ECA">
        <w:rPr>
          <w:color w:val="000000"/>
          <w:sz w:val="24"/>
          <w:szCs w:val="24"/>
        </w:rPr>
        <w:t>(&gt;8%)</w:t>
      </w:r>
      <w:r w:rsidR="008F6454">
        <w:rPr>
          <w:color w:val="000000"/>
          <w:sz w:val="24"/>
          <w:szCs w:val="24"/>
        </w:rPr>
        <w:t>. O sesquiterpeno oxigenado</w:t>
      </w:r>
      <w:r w:rsidRPr="00067DB2">
        <w:rPr>
          <w:color w:val="000000"/>
          <w:sz w:val="24"/>
          <w:szCs w:val="24"/>
        </w:rPr>
        <w:t xml:space="preserve"> </w:t>
      </w:r>
      <w:r w:rsidR="008F6454" w:rsidRPr="00067DB2">
        <w:rPr>
          <w:color w:val="000000"/>
          <w:sz w:val="24"/>
          <w:szCs w:val="24"/>
        </w:rPr>
        <w:t>α-cadinol variou de 6,2%</w:t>
      </w:r>
      <w:r w:rsidR="008F6454">
        <w:rPr>
          <w:color w:val="000000"/>
          <w:sz w:val="24"/>
          <w:szCs w:val="24"/>
        </w:rPr>
        <w:t xml:space="preserve"> (maio) </w:t>
      </w:r>
      <w:r w:rsidR="008F6454" w:rsidRPr="00067DB2">
        <w:rPr>
          <w:color w:val="000000"/>
          <w:sz w:val="24"/>
          <w:szCs w:val="24"/>
        </w:rPr>
        <w:t>a 8,4%</w:t>
      </w:r>
      <w:r w:rsidR="008F6454">
        <w:rPr>
          <w:color w:val="000000"/>
          <w:sz w:val="24"/>
          <w:szCs w:val="24"/>
        </w:rPr>
        <w:t xml:space="preserve"> (fevereiro). Outro sesquiterpeno oxigenado, o </w:t>
      </w:r>
      <w:r w:rsidRPr="004D77C0">
        <w:rPr>
          <w:i/>
          <w:color w:val="000000"/>
          <w:sz w:val="24"/>
          <w:szCs w:val="24"/>
        </w:rPr>
        <w:t>E</w:t>
      </w:r>
      <w:r w:rsidR="008F6454">
        <w:rPr>
          <w:color w:val="000000"/>
          <w:sz w:val="24"/>
          <w:szCs w:val="24"/>
        </w:rPr>
        <w:t>-nerolidol, apresentou</w:t>
      </w:r>
      <w:r w:rsidRPr="00067DB2">
        <w:rPr>
          <w:color w:val="000000"/>
          <w:sz w:val="24"/>
          <w:szCs w:val="24"/>
        </w:rPr>
        <w:t xml:space="preserve"> elevado </w:t>
      </w:r>
      <w:r w:rsidR="008F6454">
        <w:rPr>
          <w:color w:val="000000"/>
          <w:sz w:val="24"/>
          <w:szCs w:val="24"/>
        </w:rPr>
        <w:t xml:space="preserve">teor </w:t>
      </w:r>
      <w:r w:rsidRPr="00067DB2">
        <w:rPr>
          <w:color w:val="000000"/>
          <w:sz w:val="24"/>
          <w:szCs w:val="24"/>
        </w:rPr>
        <w:t>no período de transição (maio) com 29,8%, em contraste com fevereiro</w:t>
      </w:r>
      <w:r>
        <w:rPr>
          <w:color w:val="000000"/>
          <w:sz w:val="24"/>
          <w:szCs w:val="24"/>
        </w:rPr>
        <w:t xml:space="preserve"> (8,0</w:t>
      </w:r>
      <w:r w:rsidR="00A26D3E">
        <w:rPr>
          <w:color w:val="000000"/>
          <w:sz w:val="24"/>
          <w:szCs w:val="24"/>
        </w:rPr>
        <w:t>%</w:t>
      </w:r>
      <w:r>
        <w:rPr>
          <w:color w:val="000000"/>
          <w:sz w:val="24"/>
          <w:szCs w:val="24"/>
        </w:rPr>
        <w:t>)</w:t>
      </w:r>
      <w:r w:rsidR="008F6454">
        <w:rPr>
          <w:color w:val="000000"/>
          <w:sz w:val="24"/>
          <w:szCs w:val="24"/>
        </w:rPr>
        <w:t xml:space="preserve">. </w:t>
      </w:r>
    </w:p>
    <w:p w14:paraId="3B0CADBF" w14:textId="3C1D8618" w:rsidR="007B49A5" w:rsidRDefault="00A26D3E" w:rsidP="00946081">
      <w:pPr>
        <w:widowControl/>
        <w:spacing w:line="360" w:lineRule="auto"/>
        <w:ind w:firstLine="709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Os</w:t>
      </w:r>
      <w:r w:rsidR="00067DB2" w:rsidRPr="00067DB2">
        <w:rPr>
          <w:color w:val="000000"/>
          <w:sz w:val="24"/>
          <w:szCs w:val="24"/>
        </w:rPr>
        <w:t xml:space="preserve"> compostos </w:t>
      </w:r>
      <w:r w:rsidR="004D77C0">
        <w:rPr>
          <w:color w:val="000000"/>
          <w:sz w:val="24"/>
          <w:szCs w:val="24"/>
        </w:rPr>
        <w:t xml:space="preserve">identificados </w:t>
      </w:r>
      <w:r>
        <w:rPr>
          <w:color w:val="000000"/>
          <w:sz w:val="24"/>
          <w:szCs w:val="24"/>
        </w:rPr>
        <w:t xml:space="preserve">em maior teor no óleo </w:t>
      </w:r>
      <w:r w:rsidR="004D77C0">
        <w:rPr>
          <w:color w:val="000000"/>
          <w:sz w:val="24"/>
          <w:szCs w:val="24"/>
        </w:rPr>
        <w:t xml:space="preserve">de </w:t>
      </w:r>
      <w:r w:rsidRPr="00A26D3E">
        <w:rPr>
          <w:i/>
          <w:iCs/>
          <w:color w:val="000000"/>
          <w:sz w:val="24"/>
          <w:szCs w:val="24"/>
        </w:rPr>
        <w:t xml:space="preserve">P. </w:t>
      </w:r>
      <w:r w:rsidR="00863025">
        <w:rPr>
          <w:i/>
          <w:iCs/>
          <w:color w:val="000000"/>
          <w:sz w:val="24"/>
          <w:szCs w:val="24"/>
        </w:rPr>
        <w:t>l</w:t>
      </w:r>
      <w:r w:rsidRPr="00A26D3E">
        <w:rPr>
          <w:i/>
          <w:iCs/>
          <w:color w:val="000000"/>
          <w:sz w:val="24"/>
          <w:szCs w:val="24"/>
        </w:rPr>
        <w:t>ongum</w:t>
      </w:r>
      <w:r>
        <w:rPr>
          <w:color w:val="000000"/>
          <w:sz w:val="24"/>
          <w:szCs w:val="24"/>
        </w:rPr>
        <w:t xml:space="preserve"> </w:t>
      </w:r>
      <w:r w:rsidR="00067DB2" w:rsidRPr="00067DB2">
        <w:rPr>
          <w:color w:val="000000"/>
          <w:sz w:val="24"/>
          <w:szCs w:val="24"/>
        </w:rPr>
        <w:t xml:space="preserve">possuem diversas atividades biológicas, especialmente </w:t>
      </w:r>
      <w:r w:rsidR="004D77C0">
        <w:rPr>
          <w:color w:val="000000"/>
          <w:sz w:val="24"/>
          <w:szCs w:val="24"/>
        </w:rPr>
        <w:t xml:space="preserve">o </w:t>
      </w:r>
      <w:r w:rsidR="00067DB2" w:rsidRPr="00A26D3E">
        <w:rPr>
          <w:i/>
          <w:iCs/>
          <w:color w:val="000000"/>
          <w:sz w:val="24"/>
          <w:szCs w:val="24"/>
        </w:rPr>
        <w:t>E</w:t>
      </w:r>
      <w:r w:rsidR="00067DB2" w:rsidRPr="00067DB2">
        <w:rPr>
          <w:color w:val="000000"/>
          <w:sz w:val="24"/>
          <w:szCs w:val="24"/>
        </w:rPr>
        <w:t xml:space="preserve">-cariofileno e </w:t>
      </w:r>
      <w:r w:rsidR="00067DB2" w:rsidRPr="00A26D3E">
        <w:rPr>
          <w:i/>
          <w:iCs/>
          <w:color w:val="000000"/>
          <w:sz w:val="24"/>
          <w:szCs w:val="24"/>
        </w:rPr>
        <w:t>E</w:t>
      </w:r>
      <w:r w:rsidR="00067DB2" w:rsidRPr="00067DB2">
        <w:rPr>
          <w:color w:val="000000"/>
          <w:sz w:val="24"/>
          <w:szCs w:val="24"/>
        </w:rPr>
        <w:t xml:space="preserve">-nerolidol, que apresentam ações </w:t>
      </w:r>
      <w:r w:rsidR="00067DB2" w:rsidRPr="008F6454">
        <w:rPr>
          <w:color w:val="000000"/>
          <w:sz w:val="24"/>
          <w:szCs w:val="24"/>
        </w:rPr>
        <w:t>farmacológicas</w:t>
      </w:r>
      <w:r w:rsidR="004D77C0">
        <w:rPr>
          <w:color w:val="000000"/>
          <w:sz w:val="24"/>
          <w:szCs w:val="24"/>
        </w:rPr>
        <w:t xml:space="preserve"> similares</w:t>
      </w:r>
      <w:r w:rsidR="00067DB2" w:rsidRPr="008F6454">
        <w:rPr>
          <w:color w:val="000000"/>
          <w:sz w:val="24"/>
          <w:szCs w:val="24"/>
        </w:rPr>
        <w:t>, como a atividade anti-inflamatória</w:t>
      </w:r>
      <w:r w:rsidR="004D77C0">
        <w:rPr>
          <w:color w:val="000000"/>
          <w:sz w:val="24"/>
          <w:szCs w:val="24"/>
        </w:rPr>
        <w:t xml:space="preserve"> (</w:t>
      </w:r>
      <w:r w:rsidR="004D77C0" w:rsidRPr="00F475C1">
        <w:rPr>
          <w:sz w:val="24"/>
          <w:szCs w:val="24"/>
          <w:lang w:val="pt-BR"/>
        </w:rPr>
        <w:t xml:space="preserve">Bezerra </w:t>
      </w:r>
      <w:r w:rsidR="004D77C0" w:rsidRPr="00F475C1">
        <w:rPr>
          <w:i/>
          <w:sz w:val="24"/>
          <w:szCs w:val="24"/>
          <w:lang w:val="pt-BR"/>
        </w:rPr>
        <w:t>et al</w:t>
      </w:r>
      <w:r w:rsidR="004D77C0" w:rsidRPr="00F475C1">
        <w:rPr>
          <w:sz w:val="24"/>
          <w:szCs w:val="24"/>
          <w:lang w:val="pt-BR"/>
        </w:rPr>
        <w:t>., 2013)</w:t>
      </w:r>
      <w:r w:rsidR="00067DB2" w:rsidRPr="008F6454">
        <w:rPr>
          <w:color w:val="000000"/>
          <w:sz w:val="24"/>
          <w:szCs w:val="24"/>
        </w:rPr>
        <w:t>.</w:t>
      </w:r>
      <w:r w:rsidR="007863CC" w:rsidRPr="008F6454">
        <w:rPr>
          <w:color w:val="000000"/>
          <w:sz w:val="24"/>
          <w:szCs w:val="24"/>
        </w:rPr>
        <w:t xml:space="preserve"> </w:t>
      </w:r>
      <w:r w:rsidR="009E4C94" w:rsidRPr="008F6454">
        <w:rPr>
          <w:sz w:val="24"/>
          <w:szCs w:val="24"/>
        </w:rPr>
        <w:t xml:space="preserve">Dessa forma, </w:t>
      </w:r>
      <w:r w:rsidR="00D77789" w:rsidRPr="008F6454">
        <w:rPr>
          <w:sz w:val="24"/>
          <w:szCs w:val="24"/>
        </w:rPr>
        <w:t>c</w:t>
      </w:r>
      <w:r w:rsidR="007B49A5" w:rsidRPr="008F6454">
        <w:rPr>
          <w:sz w:val="24"/>
          <w:szCs w:val="24"/>
        </w:rPr>
        <w:t xml:space="preserve">onsiderando a relevância biológica desses compostos, </w:t>
      </w:r>
      <w:r w:rsidR="004D77C0">
        <w:rPr>
          <w:rStyle w:val="nfase"/>
          <w:sz w:val="24"/>
          <w:szCs w:val="24"/>
        </w:rPr>
        <w:t>P.</w:t>
      </w:r>
      <w:r w:rsidR="007B49A5" w:rsidRPr="008F6454">
        <w:rPr>
          <w:rStyle w:val="nfase"/>
          <w:sz w:val="24"/>
          <w:szCs w:val="24"/>
        </w:rPr>
        <w:t xml:space="preserve"> longum</w:t>
      </w:r>
      <w:r w:rsidR="007B49A5" w:rsidRPr="008F6454">
        <w:rPr>
          <w:sz w:val="24"/>
          <w:szCs w:val="24"/>
        </w:rPr>
        <w:t xml:space="preserve"> </w:t>
      </w:r>
      <w:r w:rsidR="00D77789" w:rsidRPr="008F6454">
        <w:rPr>
          <w:sz w:val="24"/>
          <w:szCs w:val="24"/>
        </w:rPr>
        <w:t>demostrou</w:t>
      </w:r>
      <w:r w:rsidR="007B49A5" w:rsidRPr="008F6454">
        <w:rPr>
          <w:sz w:val="24"/>
          <w:szCs w:val="24"/>
        </w:rPr>
        <w:t xml:space="preserve">-se como uma fonte de </w:t>
      </w:r>
      <w:r w:rsidR="007B49A5" w:rsidRPr="008F6454">
        <w:rPr>
          <w:i/>
          <w:sz w:val="24"/>
          <w:szCs w:val="24"/>
        </w:rPr>
        <w:t>E</w:t>
      </w:r>
      <w:r w:rsidR="007B49A5" w:rsidRPr="008F6454">
        <w:rPr>
          <w:sz w:val="24"/>
          <w:szCs w:val="24"/>
        </w:rPr>
        <w:t>-cariofileno, apresen</w:t>
      </w:r>
      <w:r w:rsidR="009D3B24">
        <w:rPr>
          <w:sz w:val="24"/>
          <w:szCs w:val="24"/>
        </w:rPr>
        <w:t>tando maior teor durante o</w:t>
      </w:r>
      <w:r w:rsidR="007B49A5" w:rsidRPr="008F6454">
        <w:rPr>
          <w:sz w:val="24"/>
          <w:szCs w:val="24"/>
        </w:rPr>
        <w:t xml:space="preserve"> estudo, com</w:t>
      </w:r>
      <w:r w:rsidR="009D3B24">
        <w:rPr>
          <w:sz w:val="24"/>
          <w:szCs w:val="24"/>
        </w:rPr>
        <w:t xml:space="preserve"> o pico no mês de transição (21,</w:t>
      </w:r>
      <w:r w:rsidR="007B49A5" w:rsidRPr="008F6454">
        <w:rPr>
          <w:sz w:val="24"/>
          <w:szCs w:val="24"/>
        </w:rPr>
        <w:t>7%).</w:t>
      </w:r>
      <w:r w:rsidR="00D77789" w:rsidRPr="008F6454">
        <w:rPr>
          <w:sz w:val="24"/>
          <w:szCs w:val="24"/>
        </w:rPr>
        <w:t xml:space="preserve"> Ainda</w:t>
      </w:r>
      <w:r w:rsidR="007B49A5" w:rsidRPr="008F6454">
        <w:rPr>
          <w:sz w:val="24"/>
          <w:szCs w:val="24"/>
        </w:rPr>
        <w:t xml:space="preserve">, </w:t>
      </w:r>
      <w:r w:rsidR="009D3B24">
        <w:rPr>
          <w:sz w:val="24"/>
          <w:szCs w:val="24"/>
        </w:rPr>
        <w:t xml:space="preserve">o </w:t>
      </w:r>
      <w:r w:rsidR="007B49A5" w:rsidRPr="008F6454">
        <w:rPr>
          <w:i/>
          <w:sz w:val="24"/>
          <w:szCs w:val="24"/>
        </w:rPr>
        <w:t>E</w:t>
      </w:r>
      <w:r w:rsidR="007B49A5" w:rsidRPr="008F6454">
        <w:rPr>
          <w:sz w:val="24"/>
          <w:szCs w:val="24"/>
        </w:rPr>
        <w:t xml:space="preserve">-nerolidol </w:t>
      </w:r>
      <w:r w:rsidR="00D77789" w:rsidRPr="008F6454">
        <w:rPr>
          <w:sz w:val="24"/>
          <w:szCs w:val="24"/>
        </w:rPr>
        <w:t>expressou</w:t>
      </w:r>
      <w:r w:rsidR="007B49A5" w:rsidRPr="008F6454">
        <w:rPr>
          <w:sz w:val="24"/>
          <w:szCs w:val="24"/>
        </w:rPr>
        <w:t>-se em maior concentração no mesmo mê</w:t>
      </w:r>
      <w:r w:rsidR="009D3B24">
        <w:rPr>
          <w:sz w:val="24"/>
          <w:szCs w:val="24"/>
        </w:rPr>
        <w:t xml:space="preserve">s (29,8%) </w:t>
      </w:r>
      <w:r w:rsidR="007B49A5" w:rsidRPr="008F6454">
        <w:rPr>
          <w:sz w:val="24"/>
          <w:szCs w:val="24"/>
        </w:rPr>
        <w:t xml:space="preserve">. Esses resultados evidenciam que o </w:t>
      </w:r>
      <w:r w:rsidR="009D3B24">
        <w:rPr>
          <w:sz w:val="24"/>
          <w:szCs w:val="24"/>
        </w:rPr>
        <w:t xml:space="preserve">período </w:t>
      </w:r>
      <w:r w:rsidR="007B49A5" w:rsidRPr="008F6454">
        <w:rPr>
          <w:sz w:val="24"/>
          <w:szCs w:val="24"/>
        </w:rPr>
        <w:t xml:space="preserve">de transição (maio) </w:t>
      </w:r>
      <w:r w:rsidR="009D3B24">
        <w:rPr>
          <w:sz w:val="24"/>
          <w:szCs w:val="24"/>
        </w:rPr>
        <w:t xml:space="preserve">os </w:t>
      </w:r>
      <w:r w:rsidR="007B49A5" w:rsidRPr="008F6454">
        <w:rPr>
          <w:sz w:val="24"/>
          <w:szCs w:val="24"/>
        </w:rPr>
        <w:t>compostos bioativos apresentaram os maiores teores, indicando uma maior concentração desses sesquiterpenos com potencial anti-inflamatório.</w:t>
      </w:r>
    </w:p>
    <w:p w14:paraId="4966A992" w14:textId="0F70B38C" w:rsidR="00027873" w:rsidRPr="009E4C94" w:rsidRDefault="006A2A37" w:rsidP="00946081">
      <w:pPr>
        <w:widowControl/>
        <w:spacing w:line="360" w:lineRule="auto"/>
        <w:ind w:firstLine="709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Em estudos anteriores, o</w:t>
      </w:r>
      <w:r w:rsidR="009A0CFB">
        <w:rPr>
          <w:color w:val="000000"/>
          <w:sz w:val="24"/>
          <w:szCs w:val="24"/>
        </w:rPr>
        <w:t xml:space="preserve"> </w:t>
      </w:r>
      <w:r w:rsidR="009A0CFB" w:rsidRPr="006A2A37">
        <w:rPr>
          <w:i/>
          <w:iCs/>
          <w:color w:val="000000"/>
          <w:sz w:val="24"/>
          <w:szCs w:val="24"/>
        </w:rPr>
        <w:t>E</w:t>
      </w:r>
      <w:r w:rsidR="00027873">
        <w:rPr>
          <w:color w:val="000000"/>
          <w:sz w:val="24"/>
          <w:szCs w:val="24"/>
        </w:rPr>
        <w:t>-</w:t>
      </w:r>
      <w:r w:rsidR="008913FF">
        <w:rPr>
          <w:color w:val="000000"/>
          <w:sz w:val="24"/>
          <w:szCs w:val="24"/>
        </w:rPr>
        <w:t xml:space="preserve">cariofileno </w:t>
      </w:r>
      <w:r w:rsidR="00027873">
        <w:rPr>
          <w:color w:val="000000"/>
          <w:sz w:val="24"/>
          <w:szCs w:val="24"/>
        </w:rPr>
        <w:t>ex</w:t>
      </w:r>
      <w:r w:rsidR="00AB0D8C">
        <w:rPr>
          <w:color w:val="000000"/>
          <w:sz w:val="24"/>
          <w:szCs w:val="24"/>
        </w:rPr>
        <w:t>pressou</w:t>
      </w:r>
      <w:r w:rsidR="00E32882">
        <w:rPr>
          <w:color w:val="000000"/>
          <w:sz w:val="24"/>
          <w:szCs w:val="24"/>
        </w:rPr>
        <w:t xml:space="preserve"> </w:t>
      </w:r>
      <w:r w:rsidR="00E32882" w:rsidRPr="00E32882">
        <w:rPr>
          <w:color w:val="000000"/>
          <w:sz w:val="24"/>
          <w:szCs w:val="24"/>
        </w:rPr>
        <w:t xml:space="preserve">efeitos anti-inflamatórios ao diminuir a atividade da </w:t>
      </w:r>
      <w:r w:rsidR="00D77789">
        <w:rPr>
          <w:color w:val="000000"/>
          <w:sz w:val="24"/>
          <w:szCs w:val="24"/>
        </w:rPr>
        <w:t xml:space="preserve">enzima </w:t>
      </w:r>
      <w:r w:rsidR="00E32882">
        <w:rPr>
          <w:color w:val="000000"/>
          <w:sz w:val="24"/>
          <w:szCs w:val="24"/>
        </w:rPr>
        <w:t>óxido nítrico</w:t>
      </w:r>
      <w:r w:rsidR="00D77789">
        <w:rPr>
          <w:color w:val="000000"/>
          <w:sz w:val="24"/>
          <w:szCs w:val="24"/>
        </w:rPr>
        <w:t xml:space="preserve"> sintase</w:t>
      </w:r>
      <w:r w:rsidR="00E32882" w:rsidRPr="00E32882">
        <w:rPr>
          <w:color w:val="000000"/>
          <w:sz w:val="24"/>
          <w:szCs w:val="24"/>
        </w:rPr>
        <w:t xml:space="preserve">, reduzindo a produção de óxido nítrico ligada ao estresse oxidativo e inflamação. </w:t>
      </w:r>
      <w:r w:rsidR="00AB0D8C">
        <w:rPr>
          <w:color w:val="000000"/>
          <w:sz w:val="24"/>
          <w:szCs w:val="24"/>
        </w:rPr>
        <w:t xml:space="preserve">Inibiu </w:t>
      </w:r>
      <w:r w:rsidR="00E32882" w:rsidRPr="00E32882">
        <w:rPr>
          <w:color w:val="000000"/>
          <w:sz w:val="24"/>
          <w:szCs w:val="24"/>
        </w:rPr>
        <w:t>a expressão de citocinas inflamat</w:t>
      </w:r>
      <w:r w:rsidR="00AB0D8C">
        <w:rPr>
          <w:color w:val="000000"/>
          <w:sz w:val="24"/>
          <w:szCs w:val="24"/>
        </w:rPr>
        <w:t>órias</w:t>
      </w:r>
      <w:r w:rsidR="00E32882">
        <w:rPr>
          <w:color w:val="000000"/>
          <w:sz w:val="24"/>
          <w:szCs w:val="24"/>
        </w:rPr>
        <w:t>,</w:t>
      </w:r>
      <w:r w:rsidR="00AB0D8C">
        <w:rPr>
          <w:color w:val="000000"/>
          <w:sz w:val="24"/>
          <w:szCs w:val="24"/>
        </w:rPr>
        <w:t xml:space="preserve"> aumentou </w:t>
      </w:r>
      <w:r w:rsidR="00E32882" w:rsidRPr="00E32882">
        <w:rPr>
          <w:color w:val="000000"/>
          <w:sz w:val="24"/>
          <w:szCs w:val="24"/>
        </w:rPr>
        <w:t xml:space="preserve">os níveis de glutationa no fígado, fortalecendo o sistema antioxidante. </w:t>
      </w:r>
      <w:r w:rsidR="00E32882">
        <w:rPr>
          <w:color w:val="000000"/>
          <w:sz w:val="24"/>
          <w:szCs w:val="24"/>
        </w:rPr>
        <w:t xml:space="preserve">Ademais, em </w:t>
      </w:r>
      <w:r w:rsidR="00E32882" w:rsidRPr="00E32882">
        <w:rPr>
          <w:color w:val="000000"/>
          <w:sz w:val="24"/>
          <w:szCs w:val="24"/>
        </w:rPr>
        <w:t>modelos de neuroinfl</w:t>
      </w:r>
      <w:r w:rsidR="00E32882">
        <w:rPr>
          <w:color w:val="000000"/>
          <w:sz w:val="24"/>
          <w:szCs w:val="24"/>
        </w:rPr>
        <w:t xml:space="preserve">amação, </w:t>
      </w:r>
      <w:r w:rsidR="00AB0D8C">
        <w:rPr>
          <w:color w:val="000000"/>
          <w:sz w:val="24"/>
          <w:szCs w:val="24"/>
        </w:rPr>
        <w:t xml:space="preserve">impediu </w:t>
      </w:r>
      <w:r w:rsidR="00E32882" w:rsidRPr="00E32882">
        <w:rPr>
          <w:color w:val="000000"/>
          <w:sz w:val="24"/>
          <w:szCs w:val="24"/>
        </w:rPr>
        <w:t>a produção de mediadores inflamatórios em células microgliais do sistema imunológico cerebral</w:t>
      </w:r>
      <w:r w:rsidR="00027873">
        <w:rPr>
          <w:color w:val="000000"/>
          <w:sz w:val="24"/>
          <w:szCs w:val="24"/>
        </w:rPr>
        <w:t xml:space="preserve"> (</w:t>
      </w:r>
      <w:r w:rsidR="00027873">
        <w:rPr>
          <w:sz w:val="24"/>
          <w:szCs w:val="24"/>
        </w:rPr>
        <w:t xml:space="preserve">Francomano </w:t>
      </w:r>
      <w:r w:rsidR="00027873" w:rsidRPr="00027873">
        <w:rPr>
          <w:i/>
          <w:sz w:val="24"/>
          <w:szCs w:val="24"/>
        </w:rPr>
        <w:t>e</w:t>
      </w:r>
      <w:r w:rsidR="00027873">
        <w:rPr>
          <w:i/>
          <w:sz w:val="24"/>
          <w:szCs w:val="24"/>
        </w:rPr>
        <w:t xml:space="preserve">t </w:t>
      </w:r>
      <w:r w:rsidR="00027873" w:rsidRPr="00027873">
        <w:rPr>
          <w:i/>
          <w:sz w:val="24"/>
          <w:szCs w:val="24"/>
        </w:rPr>
        <w:t>al</w:t>
      </w:r>
      <w:r w:rsidR="00027873">
        <w:rPr>
          <w:i/>
          <w:sz w:val="24"/>
          <w:szCs w:val="24"/>
        </w:rPr>
        <w:t xml:space="preserve">, </w:t>
      </w:r>
      <w:r w:rsidR="00027873">
        <w:rPr>
          <w:sz w:val="24"/>
          <w:szCs w:val="24"/>
        </w:rPr>
        <w:t xml:space="preserve">2019). </w:t>
      </w:r>
    </w:p>
    <w:p w14:paraId="3255223D" w14:textId="01F3BB1C" w:rsidR="00067DB2" w:rsidRDefault="007863CC" w:rsidP="00946081">
      <w:pPr>
        <w:widowControl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Além disso, o</w:t>
      </w:r>
      <w:r w:rsidR="00AB0D8C">
        <w:rPr>
          <w:sz w:val="24"/>
          <w:szCs w:val="24"/>
        </w:rPr>
        <w:t xml:space="preserve"> </w:t>
      </w:r>
      <w:r w:rsidR="00AB0D8C" w:rsidRPr="00B94AB5">
        <w:rPr>
          <w:i/>
          <w:iCs/>
          <w:sz w:val="24"/>
          <w:szCs w:val="24"/>
        </w:rPr>
        <w:t>E</w:t>
      </w:r>
      <w:r w:rsidR="00AB0D8C">
        <w:rPr>
          <w:sz w:val="24"/>
          <w:szCs w:val="24"/>
        </w:rPr>
        <w:t xml:space="preserve">-nerolidol apresentou efeitos </w:t>
      </w:r>
      <w:r w:rsidR="00AB0D8C" w:rsidRPr="00AB0D8C">
        <w:rPr>
          <w:sz w:val="24"/>
          <w:szCs w:val="24"/>
        </w:rPr>
        <w:t>an</w:t>
      </w:r>
      <w:r w:rsidR="00AB0D8C">
        <w:rPr>
          <w:sz w:val="24"/>
          <w:szCs w:val="24"/>
        </w:rPr>
        <w:t xml:space="preserve">ti-inflamatórios significativos em </w:t>
      </w:r>
      <w:r w:rsidR="00AB0D8C" w:rsidRPr="00AB0D8C">
        <w:rPr>
          <w:sz w:val="24"/>
          <w:szCs w:val="24"/>
        </w:rPr>
        <w:t>modelos experimentais de dor em camundongos</w:t>
      </w:r>
      <w:r w:rsidR="00AB0D8C">
        <w:rPr>
          <w:sz w:val="24"/>
          <w:szCs w:val="24"/>
        </w:rPr>
        <w:t xml:space="preserve">, reduzindo </w:t>
      </w:r>
      <w:r w:rsidR="00AB0D8C" w:rsidRPr="00AB0D8C">
        <w:rPr>
          <w:sz w:val="24"/>
          <w:szCs w:val="24"/>
        </w:rPr>
        <w:t>o edema de pata indu</w:t>
      </w:r>
      <w:r w:rsidR="00AB0D8C">
        <w:rPr>
          <w:sz w:val="24"/>
          <w:szCs w:val="24"/>
        </w:rPr>
        <w:t xml:space="preserve">zido por carragenina e diminuimdo </w:t>
      </w:r>
      <w:r w:rsidR="00AB0D8C" w:rsidRPr="00AB0D8C">
        <w:rPr>
          <w:sz w:val="24"/>
          <w:szCs w:val="24"/>
        </w:rPr>
        <w:t xml:space="preserve">os níveis dos citocinas pró-inflamatórias, destacando seu potencial </w:t>
      </w:r>
      <w:r w:rsidR="00AB0D8C">
        <w:rPr>
          <w:sz w:val="24"/>
          <w:szCs w:val="24"/>
        </w:rPr>
        <w:t>farmacológico (</w:t>
      </w:r>
      <w:r w:rsidR="00AB0D8C" w:rsidRPr="00EB1C67">
        <w:rPr>
          <w:sz w:val="24"/>
          <w:szCs w:val="24"/>
        </w:rPr>
        <w:t>Fonsêca</w:t>
      </w:r>
      <w:r w:rsidR="00EB1C67" w:rsidRPr="00EB1C67">
        <w:rPr>
          <w:sz w:val="24"/>
          <w:szCs w:val="24"/>
        </w:rPr>
        <w:t xml:space="preserve"> </w:t>
      </w:r>
      <w:r w:rsidR="00294CFD">
        <w:rPr>
          <w:i/>
          <w:sz w:val="24"/>
          <w:szCs w:val="24"/>
        </w:rPr>
        <w:t xml:space="preserve">et </w:t>
      </w:r>
      <w:r w:rsidR="00EB1C67" w:rsidRPr="00EB1C67">
        <w:rPr>
          <w:i/>
          <w:sz w:val="24"/>
          <w:szCs w:val="24"/>
        </w:rPr>
        <w:t>al.</w:t>
      </w:r>
      <w:r w:rsidR="00EB1C67" w:rsidRPr="00EB1C67">
        <w:rPr>
          <w:sz w:val="24"/>
          <w:szCs w:val="24"/>
        </w:rPr>
        <w:t>, 2016)</w:t>
      </w:r>
      <w:r w:rsidR="00EB1C67">
        <w:rPr>
          <w:sz w:val="24"/>
          <w:szCs w:val="24"/>
        </w:rPr>
        <w:t xml:space="preserve">. Ademais, </w:t>
      </w:r>
      <w:r w:rsidR="00853075">
        <w:rPr>
          <w:sz w:val="24"/>
          <w:szCs w:val="24"/>
        </w:rPr>
        <w:t>um</w:t>
      </w:r>
      <w:r w:rsidR="00EB1C67">
        <w:rPr>
          <w:sz w:val="24"/>
          <w:szCs w:val="24"/>
        </w:rPr>
        <w:t xml:space="preserve">a fomulação de </w:t>
      </w:r>
      <w:r w:rsidR="00853075" w:rsidRPr="00B94AB5">
        <w:rPr>
          <w:i/>
          <w:iCs/>
          <w:sz w:val="24"/>
          <w:szCs w:val="24"/>
        </w:rPr>
        <w:t>E</w:t>
      </w:r>
      <w:r w:rsidR="00853075">
        <w:rPr>
          <w:sz w:val="24"/>
          <w:szCs w:val="24"/>
        </w:rPr>
        <w:t>-</w:t>
      </w:r>
      <w:r w:rsidR="00EB1C67" w:rsidRPr="00EB1C67">
        <w:rPr>
          <w:sz w:val="24"/>
          <w:szCs w:val="24"/>
        </w:rPr>
        <w:t>nerolidol nanoencapsulado</w:t>
      </w:r>
      <w:r w:rsidR="00853075">
        <w:rPr>
          <w:sz w:val="24"/>
          <w:szCs w:val="24"/>
        </w:rPr>
        <w:t xml:space="preserve"> avaliada em </w:t>
      </w:r>
      <w:r w:rsidR="00853075" w:rsidRPr="00853075">
        <w:rPr>
          <w:sz w:val="24"/>
          <w:szCs w:val="24"/>
        </w:rPr>
        <w:t>um modelo de artrite induzida por zimosano</w:t>
      </w:r>
      <w:r w:rsidR="00853075">
        <w:rPr>
          <w:sz w:val="24"/>
          <w:szCs w:val="24"/>
        </w:rPr>
        <w:t xml:space="preserve"> em camundongos</w:t>
      </w:r>
      <w:r w:rsidR="00853075" w:rsidRPr="00853075">
        <w:rPr>
          <w:sz w:val="24"/>
          <w:szCs w:val="24"/>
        </w:rPr>
        <w:t>,</w:t>
      </w:r>
      <w:r w:rsidR="00853075" w:rsidRPr="00853075">
        <w:t xml:space="preserve"> </w:t>
      </w:r>
      <w:r w:rsidR="00853075">
        <w:t xml:space="preserve">demostrou </w:t>
      </w:r>
      <w:r w:rsidR="00853075" w:rsidRPr="00853075">
        <w:rPr>
          <w:sz w:val="24"/>
          <w:szCs w:val="24"/>
        </w:rPr>
        <w:t>menor infiltração inflamatória e edema na membrana sinovial em comparação ao grupo controle</w:t>
      </w:r>
      <w:r w:rsidR="00853075">
        <w:rPr>
          <w:sz w:val="24"/>
          <w:szCs w:val="24"/>
        </w:rPr>
        <w:t xml:space="preserve"> (Souza </w:t>
      </w:r>
      <w:r w:rsidR="00853075" w:rsidRPr="00853075">
        <w:rPr>
          <w:i/>
          <w:sz w:val="24"/>
          <w:szCs w:val="24"/>
        </w:rPr>
        <w:t>et al.</w:t>
      </w:r>
      <w:r w:rsidR="00853075">
        <w:rPr>
          <w:sz w:val="24"/>
          <w:szCs w:val="24"/>
        </w:rPr>
        <w:t>, 20</w:t>
      </w:r>
      <w:r w:rsidR="007B7999">
        <w:rPr>
          <w:sz w:val="24"/>
          <w:szCs w:val="24"/>
        </w:rPr>
        <w:t>19)</w:t>
      </w:r>
      <w:r w:rsidR="00853075" w:rsidRPr="00853075">
        <w:rPr>
          <w:sz w:val="24"/>
          <w:szCs w:val="24"/>
        </w:rPr>
        <w:t>.</w:t>
      </w:r>
    </w:p>
    <w:p w14:paraId="58BBDFAB" w14:textId="64D6F3F0" w:rsidR="00D77789" w:rsidRDefault="00067DB2" w:rsidP="00946081">
      <w:pPr>
        <w:widowControl/>
        <w:spacing w:line="360" w:lineRule="auto"/>
        <w:ind w:firstLine="709"/>
        <w:jc w:val="both"/>
        <w:rPr>
          <w:sz w:val="24"/>
          <w:szCs w:val="24"/>
        </w:rPr>
      </w:pPr>
      <w:r w:rsidRPr="00067DB2">
        <w:rPr>
          <w:sz w:val="24"/>
          <w:szCs w:val="24"/>
        </w:rPr>
        <w:t xml:space="preserve">A análise de correlação de Pearson </w:t>
      </w:r>
      <w:r>
        <w:rPr>
          <w:sz w:val="24"/>
          <w:szCs w:val="24"/>
        </w:rPr>
        <w:t xml:space="preserve">indicou </w:t>
      </w:r>
      <w:r w:rsidRPr="00067DB2">
        <w:rPr>
          <w:sz w:val="24"/>
          <w:szCs w:val="24"/>
        </w:rPr>
        <w:t xml:space="preserve">que temperatura, insolação e umidade relativa do ar não </w:t>
      </w:r>
      <w:r>
        <w:rPr>
          <w:sz w:val="24"/>
          <w:szCs w:val="24"/>
        </w:rPr>
        <w:t xml:space="preserve">expressaran </w:t>
      </w:r>
      <w:r w:rsidRPr="00067DB2">
        <w:rPr>
          <w:sz w:val="24"/>
          <w:szCs w:val="24"/>
        </w:rPr>
        <w:t xml:space="preserve">correlação significativa com os principais constituintes do óleo essencial de </w:t>
      </w:r>
      <w:r w:rsidRPr="00067DB2">
        <w:rPr>
          <w:i/>
          <w:sz w:val="24"/>
          <w:szCs w:val="24"/>
        </w:rPr>
        <w:t>Piper longum</w:t>
      </w:r>
      <w:r w:rsidRPr="00067DB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Apenas </w:t>
      </w:r>
      <w:r w:rsidRPr="00067DB2">
        <w:rPr>
          <w:sz w:val="24"/>
          <w:szCs w:val="24"/>
        </w:rPr>
        <w:t>os hidrocarbonetos monoterpênicos e os monoterpenos oxigenados apresentaram correlação forte, negativa e significativa (p&lt;0,05) com a precipitação (r = -1,00). Embora fatores climáticos não tenham influenciado significativamente outras classes químicas, a obtenção de compostos bioativos pode ocorrer em períodos de maior concentração, como o de transição. Variações quantitativas podem ser atribuídas à fisiologia da planta, localização geográfica, aspectos ecológicos, período de coleta, condições de armazenamento e método de ext</w:t>
      </w:r>
      <w:r>
        <w:rPr>
          <w:sz w:val="24"/>
          <w:szCs w:val="24"/>
        </w:rPr>
        <w:t>ração de óleo</w:t>
      </w:r>
      <w:r w:rsidR="000916DB" w:rsidRPr="000916DB">
        <w:rPr>
          <w:sz w:val="24"/>
          <w:szCs w:val="24"/>
        </w:rPr>
        <w:t xml:space="preserve"> (Figueiredo </w:t>
      </w:r>
      <w:r w:rsidR="000916DB" w:rsidRPr="00067DB2">
        <w:rPr>
          <w:i/>
          <w:sz w:val="24"/>
          <w:szCs w:val="24"/>
        </w:rPr>
        <w:t>et al</w:t>
      </w:r>
      <w:r w:rsidR="000916DB" w:rsidRPr="000916DB">
        <w:rPr>
          <w:sz w:val="24"/>
          <w:szCs w:val="24"/>
        </w:rPr>
        <w:t>., 2008).</w:t>
      </w:r>
    </w:p>
    <w:p w14:paraId="56FB5208" w14:textId="7ECC8F2F" w:rsidR="000916DB" w:rsidRDefault="000916DB" w:rsidP="000916DB">
      <w:pPr>
        <w:widowControl/>
        <w:spacing w:before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 CONSIDERAÇÕES FINAIS</w:t>
      </w:r>
    </w:p>
    <w:p w14:paraId="7EE213C4" w14:textId="54264533" w:rsidR="00175364" w:rsidRPr="00067DB2" w:rsidRDefault="00067DB2" w:rsidP="00175364">
      <w:pPr>
        <w:widowControl/>
        <w:spacing w:before="240" w:line="360" w:lineRule="auto"/>
        <w:ind w:firstLine="709"/>
        <w:jc w:val="both"/>
        <w:rPr>
          <w:sz w:val="24"/>
          <w:szCs w:val="24"/>
        </w:rPr>
      </w:pPr>
      <w:r w:rsidRPr="00067DB2">
        <w:rPr>
          <w:sz w:val="24"/>
          <w:szCs w:val="24"/>
        </w:rPr>
        <w:t xml:space="preserve">A influência das condições sazonais na biossíntese de compostos bioativos de </w:t>
      </w:r>
      <w:r w:rsidRPr="00067DB2">
        <w:rPr>
          <w:i/>
          <w:sz w:val="24"/>
          <w:szCs w:val="24"/>
        </w:rPr>
        <w:t>Piper longum</w:t>
      </w:r>
      <w:r w:rsidRPr="00067DB2">
        <w:rPr>
          <w:sz w:val="24"/>
          <w:szCs w:val="24"/>
        </w:rPr>
        <w:t xml:space="preserve"> destaca a importância de estudos ambientais para otimizar o uso de espécies amazônicas na produção de óleos essenciais. Resultados indica</w:t>
      </w:r>
      <w:r>
        <w:rPr>
          <w:sz w:val="24"/>
          <w:szCs w:val="24"/>
        </w:rPr>
        <w:t>ra</w:t>
      </w:r>
      <w:r w:rsidRPr="00067DB2">
        <w:rPr>
          <w:sz w:val="24"/>
          <w:szCs w:val="24"/>
        </w:rPr>
        <w:t xml:space="preserve">m que o planejamento das coletas pode melhorar a </w:t>
      </w:r>
      <w:r w:rsidR="00D77789">
        <w:rPr>
          <w:sz w:val="24"/>
          <w:szCs w:val="24"/>
        </w:rPr>
        <w:t xml:space="preserve">extração </w:t>
      </w:r>
      <w:r w:rsidRPr="00067DB2">
        <w:rPr>
          <w:sz w:val="24"/>
          <w:szCs w:val="24"/>
        </w:rPr>
        <w:t xml:space="preserve">de componentes farmacológicos, contribuindo para estratégias de manejo sustentável diante das mudanças climáticas. Estudos mais detalhados são necessários para confirmar as atividades biológicas dos compostos. </w:t>
      </w:r>
      <w:r w:rsidR="00222F17">
        <w:rPr>
          <w:sz w:val="24"/>
          <w:szCs w:val="24"/>
        </w:rPr>
        <w:t>Portanto, e</w:t>
      </w:r>
      <w:r w:rsidRPr="00067DB2">
        <w:rPr>
          <w:sz w:val="24"/>
          <w:szCs w:val="24"/>
        </w:rPr>
        <w:t xml:space="preserve">ste estudo </w:t>
      </w:r>
      <w:r>
        <w:rPr>
          <w:sz w:val="24"/>
          <w:szCs w:val="24"/>
        </w:rPr>
        <w:t xml:space="preserve">contribuiu para </w:t>
      </w:r>
      <w:r w:rsidRPr="00067DB2">
        <w:rPr>
          <w:sz w:val="24"/>
          <w:szCs w:val="24"/>
        </w:rPr>
        <w:t xml:space="preserve">o conhecimento fitoquímico de </w:t>
      </w:r>
      <w:r w:rsidRPr="00067DB2">
        <w:rPr>
          <w:i/>
          <w:sz w:val="24"/>
          <w:szCs w:val="24"/>
        </w:rPr>
        <w:t>P. longum</w:t>
      </w:r>
      <w:r w:rsidRPr="00067DB2">
        <w:rPr>
          <w:sz w:val="24"/>
          <w:szCs w:val="24"/>
        </w:rPr>
        <w:t xml:space="preserve"> na Amazônia paraense.</w:t>
      </w:r>
    </w:p>
    <w:p w14:paraId="34FBE7B4" w14:textId="77777777" w:rsidR="000916DB" w:rsidRPr="000916DB" w:rsidRDefault="000916DB" w:rsidP="000916DB">
      <w:pPr>
        <w:widowControl/>
        <w:spacing w:line="360" w:lineRule="auto"/>
        <w:jc w:val="both"/>
        <w:rPr>
          <w:sz w:val="24"/>
          <w:szCs w:val="24"/>
        </w:rPr>
      </w:pPr>
    </w:p>
    <w:p w14:paraId="1880A45E" w14:textId="7F12CA97" w:rsidR="00EA7623" w:rsidRPr="00F475C1" w:rsidRDefault="003949CE" w:rsidP="00EA7623">
      <w:pPr>
        <w:widowControl/>
        <w:tabs>
          <w:tab w:val="left" w:pos="1290"/>
        </w:tabs>
        <w:spacing w:after="160" w:line="259" w:lineRule="auto"/>
        <w:jc w:val="both"/>
        <w:rPr>
          <w:color w:val="FF0000"/>
          <w:sz w:val="24"/>
          <w:szCs w:val="24"/>
          <w:lang w:val="en-US"/>
        </w:rPr>
      </w:pPr>
      <w:r w:rsidRPr="00F475C1">
        <w:rPr>
          <w:b/>
          <w:sz w:val="24"/>
          <w:szCs w:val="24"/>
          <w:lang w:val="en-US"/>
        </w:rPr>
        <w:t xml:space="preserve">REFERÊNCIAS </w:t>
      </w:r>
      <w:bookmarkStart w:id="0" w:name="_gjdgxs" w:colFirst="0" w:colLast="0"/>
      <w:bookmarkEnd w:id="0"/>
    </w:p>
    <w:p w14:paraId="1A2E760E" w14:textId="77777777" w:rsidR="00EA7623" w:rsidRPr="00F475C1" w:rsidRDefault="00EA7623" w:rsidP="00EC1493">
      <w:pPr>
        <w:spacing w:after="240"/>
        <w:rPr>
          <w:sz w:val="24"/>
          <w:szCs w:val="24"/>
          <w:lang w:val="en-US"/>
        </w:rPr>
      </w:pPr>
      <w:r w:rsidRPr="00F475C1">
        <w:rPr>
          <w:sz w:val="24"/>
          <w:szCs w:val="24"/>
          <w:lang w:val="en-US"/>
        </w:rPr>
        <w:t xml:space="preserve">ADAMS, R. P. </w:t>
      </w:r>
      <w:r w:rsidRPr="00F475C1">
        <w:rPr>
          <w:b/>
          <w:bCs/>
          <w:sz w:val="24"/>
          <w:szCs w:val="24"/>
          <w:lang w:val="en-US"/>
        </w:rPr>
        <w:t>Identification of essential oil components by gas chromatography/mass spectrometry</w:t>
      </w:r>
      <w:r w:rsidRPr="00F475C1">
        <w:rPr>
          <w:sz w:val="24"/>
          <w:szCs w:val="24"/>
          <w:lang w:val="en-US"/>
        </w:rPr>
        <w:t xml:space="preserve">. 4. ed. Carol Stream: Allured Publishing Corporation, p. 804. 2007. </w:t>
      </w:r>
    </w:p>
    <w:p w14:paraId="0373AAA4" w14:textId="29C4C674" w:rsidR="00EA7623" w:rsidRPr="00F475C1" w:rsidRDefault="00EA7623" w:rsidP="00EC1493">
      <w:pPr>
        <w:spacing w:after="240"/>
        <w:rPr>
          <w:sz w:val="24"/>
          <w:szCs w:val="24"/>
          <w:lang w:val="en-US"/>
        </w:rPr>
      </w:pPr>
      <w:r w:rsidRPr="00F475C1">
        <w:rPr>
          <w:sz w:val="24"/>
          <w:szCs w:val="24"/>
          <w:lang w:val="en-US"/>
        </w:rPr>
        <w:t xml:space="preserve">ANDRADE, E. H. A. </w:t>
      </w:r>
      <w:r w:rsidRPr="00F475C1">
        <w:rPr>
          <w:i/>
          <w:iCs/>
          <w:sz w:val="24"/>
          <w:szCs w:val="24"/>
          <w:lang w:val="en-US"/>
        </w:rPr>
        <w:t>et al</w:t>
      </w:r>
      <w:r w:rsidRPr="00F475C1">
        <w:rPr>
          <w:sz w:val="24"/>
          <w:szCs w:val="24"/>
          <w:lang w:val="en-US"/>
        </w:rPr>
        <w:t xml:space="preserve">. Variability in essential oil composition of Piper dilatatum L. C. Rich. </w:t>
      </w:r>
      <w:r w:rsidRPr="00F475C1">
        <w:rPr>
          <w:b/>
          <w:bCs/>
          <w:sz w:val="24"/>
          <w:szCs w:val="24"/>
          <w:lang w:val="en-US"/>
        </w:rPr>
        <w:t>Biochemical Systematics and Ecology</w:t>
      </w:r>
      <w:r w:rsidRPr="00F475C1">
        <w:rPr>
          <w:sz w:val="24"/>
          <w:szCs w:val="24"/>
          <w:lang w:val="en-US"/>
        </w:rPr>
        <w:t>, v. 39, n. 4-</w:t>
      </w:r>
      <w:r w:rsidR="007B49A5" w:rsidRPr="00F475C1">
        <w:rPr>
          <w:sz w:val="24"/>
          <w:szCs w:val="24"/>
          <w:lang w:val="en-US"/>
        </w:rPr>
        <w:t xml:space="preserve">6, p. 669-675, 2011. Disponível </w:t>
      </w:r>
      <w:r w:rsidRPr="00F475C1">
        <w:rPr>
          <w:sz w:val="24"/>
          <w:szCs w:val="24"/>
          <w:lang w:val="en-US"/>
        </w:rPr>
        <w:t>em: https://www.sciencedirect.com/science/article/pii/S0305197811001165. Acesso em: 25 out. 2024.</w:t>
      </w:r>
    </w:p>
    <w:p w14:paraId="2069C9E4" w14:textId="63EC4741" w:rsidR="004D77C0" w:rsidRPr="00AF4B6F" w:rsidRDefault="004D77C0" w:rsidP="004D77C0">
      <w:pPr>
        <w:spacing w:after="240"/>
        <w:rPr>
          <w:sz w:val="24"/>
          <w:szCs w:val="24"/>
          <w:lang w:val="pt-BR"/>
        </w:rPr>
      </w:pPr>
      <w:r w:rsidRPr="005355B0">
        <w:rPr>
          <w:sz w:val="24"/>
          <w:szCs w:val="24"/>
          <w:lang w:val="en-US"/>
        </w:rPr>
        <w:t xml:space="preserve">BEZERRA, D. P. </w:t>
      </w:r>
      <w:r w:rsidRPr="005355B0">
        <w:rPr>
          <w:i/>
          <w:sz w:val="24"/>
          <w:szCs w:val="24"/>
          <w:lang w:val="en-US"/>
        </w:rPr>
        <w:t>et al</w:t>
      </w:r>
      <w:r w:rsidRPr="005355B0">
        <w:rPr>
          <w:sz w:val="24"/>
          <w:szCs w:val="24"/>
          <w:lang w:val="en-US"/>
        </w:rPr>
        <w:t xml:space="preserve">. </w:t>
      </w:r>
      <w:r w:rsidRPr="00FC50C1">
        <w:rPr>
          <w:sz w:val="24"/>
          <w:szCs w:val="24"/>
          <w:lang w:val="en-US"/>
        </w:rPr>
        <w:t xml:space="preserve">Overview of the therapeutic potential of piplartine (piperlongumine). </w:t>
      </w:r>
      <w:r w:rsidRPr="001A02F2">
        <w:rPr>
          <w:b/>
          <w:sz w:val="24"/>
          <w:szCs w:val="24"/>
          <w:lang w:val="pt-BR"/>
        </w:rPr>
        <w:t>European Journal of Pharmaceutical Sciences</w:t>
      </w:r>
      <w:r w:rsidRPr="00FC50C1">
        <w:rPr>
          <w:sz w:val="24"/>
          <w:szCs w:val="24"/>
          <w:lang w:val="pt-BR"/>
        </w:rPr>
        <w:t>, v. 48, p. 453-463, 2013. Disponível em: https://pubmed.ncbi.nlm</w:t>
      </w:r>
      <w:r>
        <w:rPr>
          <w:sz w:val="24"/>
          <w:szCs w:val="24"/>
          <w:lang w:val="pt-BR"/>
        </w:rPr>
        <w:t>.nih.gov/23238172/. Aceso em: 11 nov</w:t>
      </w:r>
      <w:r w:rsidRPr="00FC50C1">
        <w:rPr>
          <w:sz w:val="24"/>
          <w:szCs w:val="24"/>
          <w:lang w:val="pt-BR"/>
        </w:rPr>
        <w:t>. 2024.</w:t>
      </w:r>
    </w:p>
    <w:p w14:paraId="076607DC" w14:textId="77777777" w:rsidR="00EA7623" w:rsidRPr="00F475C1" w:rsidRDefault="00EA7623" w:rsidP="00EC1493">
      <w:pPr>
        <w:spacing w:after="240"/>
        <w:rPr>
          <w:sz w:val="24"/>
          <w:szCs w:val="24"/>
          <w:lang w:val="en-US"/>
        </w:rPr>
      </w:pPr>
      <w:r w:rsidRPr="00AF4B6F">
        <w:rPr>
          <w:sz w:val="24"/>
          <w:szCs w:val="24"/>
          <w:lang w:val="pt-BR"/>
        </w:rPr>
        <w:t xml:space="preserve">CARVALHO, A. S. </w:t>
      </w:r>
      <w:r w:rsidRPr="00AF4B6F">
        <w:rPr>
          <w:i/>
          <w:sz w:val="24"/>
          <w:szCs w:val="24"/>
          <w:lang w:val="pt-BR"/>
        </w:rPr>
        <w:t>et al</w:t>
      </w:r>
      <w:r w:rsidRPr="00AF4B6F">
        <w:rPr>
          <w:sz w:val="24"/>
          <w:szCs w:val="24"/>
          <w:lang w:val="pt-BR"/>
        </w:rPr>
        <w:t xml:space="preserve">. Mudanças climáticas em avaliação de impactos ambientais. </w:t>
      </w:r>
      <w:r w:rsidRPr="00AF4B6F">
        <w:rPr>
          <w:b/>
          <w:sz w:val="24"/>
          <w:szCs w:val="24"/>
          <w:lang w:val="pt-BR"/>
        </w:rPr>
        <w:t>Boletim de Conjuntura</w:t>
      </w:r>
      <w:r w:rsidRPr="00AF4B6F">
        <w:rPr>
          <w:sz w:val="24"/>
          <w:szCs w:val="24"/>
          <w:lang w:val="pt-BR"/>
        </w:rPr>
        <w:t xml:space="preserve"> </w:t>
      </w:r>
      <w:r w:rsidRPr="00AF4B6F">
        <w:rPr>
          <w:b/>
          <w:sz w:val="24"/>
          <w:szCs w:val="24"/>
          <w:lang w:val="pt-BR"/>
        </w:rPr>
        <w:t>(BOCA)</w:t>
      </w:r>
      <w:r w:rsidRPr="00AF4B6F">
        <w:rPr>
          <w:sz w:val="24"/>
          <w:szCs w:val="24"/>
          <w:lang w:val="pt-BR"/>
        </w:rPr>
        <w:t xml:space="preserve">, Boa Vista, v. 18, n. 53, p. 192–210, 2024. Disponível em: https://revista.ioles.com.br/boca/index.php/revista/article/view/4313/1158. </w:t>
      </w:r>
      <w:r w:rsidRPr="00F475C1">
        <w:rPr>
          <w:sz w:val="24"/>
          <w:szCs w:val="24"/>
          <w:lang w:val="en-US"/>
        </w:rPr>
        <w:t>Acesso em: 24 out. 2024.</w:t>
      </w:r>
    </w:p>
    <w:p w14:paraId="704831D3" w14:textId="77777777" w:rsidR="00EA7623" w:rsidRPr="00AF4B6F" w:rsidRDefault="00EA7623" w:rsidP="00EC1493">
      <w:pPr>
        <w:spacing w:after="240"/>
        <w:rPr>
          <w:sz w:val="24"/>
          <w:szCs w:val="24"/>
          <w:lang w:val="pt-BR"/>
        </w:rPr>
      </w:pPr>
      <w:r w:rsidRPr="00F475C1">
        <w:rPr>
          <w:sz w:val="24"/>
          <w:szCs w:val="24"/>
          <w:lang w:val="en-US"/>
        </w:rPr>
        <w:t xml:space="preserve">COSTA, J. S. </w:t>
      </w:r>
      <w:r w:rsidRPr="00F475C1">
        <w:rPr>
          <w:i/>
          <w:iCs/>
          <w:sz w:val="24"/>
          <w:szCs w:val="24"/>
          <w:lang w:val="en-US"/>
        </w:rPr>
        <w:t>et al</w:t>
      </w:r>
      <w:r w:rsidRPr="00F475C1">
        <w:rPr>
          <w:sz w:val="24"/>
          <w:szCs w:val="24"/>
          <w:lang w:val="en-US"/>
        </w:rPr>
        <w:t xml:space="preserve">. Chemical Composition and Variability of the Volatile Components of Myrciaria Species Growing in the Amazon Region. </w:t>
      </w:r>
      <w:r w:rsidRPr="00AF4B6F">
        <w:rPr>
          <w:b/>
          <w:sz w:val="24"/>
          <w:szCs w:val="24"/>
          <w:lang w:val="pt-BR"/>
        </w:rPr>
        <w:t>Molecules</w:t>
      </w:r>
      <w:r w:rsidRPr="00AF4B6F">
        <w:rPr>
          <w:sz w:val="24"/>
          <w:szCs w:val="24"/>
          <w:lang w:val="pt-BR"/>
        </w:rPr>
        <w:t>, v. 27, n. 7, 2022. Disponível em: https://doi.org/10.3390/molecules27072234. Acesso em: 23 out. 2024.</w:t>
      </w:r>
    </w:p>
    <w:p w14:paraId="1CAC609E" w14:textId="77777777" w:rsidR="00EA7623" w:rsidRPr="00AF4B6F" w:rsidRDefault="00EA7623" w:rsidP="00EC1493">
      <w:pPr>
        <w:spacing w:after="240"/>
        <w:rPr>
          <w:sz w:val="24"/>
          <w:szCs w:val="24"/>
          <w:lang w:val="pt-BR"/>
        </w:rPr>
      </w:pPr>
      <w:r w:rsidRPr="00AF4B6F">
        <w:rPr>
          <w:sz w:val="24"/>
          <w:szCs w:val="24"/>
          <w:lang w:val="pt-BR"/>
        </w:rPr>
        <w:t xml:space="preserve">FIGUEIREDO, A. C. </w:t>
      </w:r>
      <w:r w:rsidRPr="00AF4B6F">
        <w:rPr>
          <w:i/>
          <w:iCs/>
          <w:sz w:val="24"/>
          <w:szCs w:val="24"/>
          <w:lang w:val="pt-BR"/>
        </w:rPr>
        <w:t>et al</w:t>
      </w:r>
      <w:r w:rsidRPr="00AF4B6F">
        <w:rPr>
          <w:sz w:val="24"/>
          <w:szCs w:val="24"/>
          <w:lang w:val="pt-BR"/>
        </w:rPr>
        <w:t xml:space="preserve">. </w:t>
      </w:r>
      <w:r w:rsidRPr="00F475C1">
        <w:rPr>
          <w:sz w:val="24"/>
          <w:szCs w:val="24"/>
          <w:lang w:val="en-US"/>
        </w:rPr>
        <w:t xml:space="preserve">Factors affecting secondary metabolite production in plants: volatile components and essential oils. </w:t>
      </w:r>
      <w:r w:rsidRPr="00AF4B6F">
        <w:rPr>
          <w:b/>
          <w:bCs/>
          <w:sz w:val="24"/>
          <w:szCs w:val="24"/>
          <w:lang w:val="pt-BR"/>
        </w:rPr>
        <w:t>Flavour and Fragrance Journal</w:t>
      </w:r>
      <w:r w:rsidRPr="00AF4B6F">
        <w:rPr>
          <w:sz w:val="24"/>
          <w:szCs w:val="24"/>
          <w:lang w:val="pt-BR"/>
        </w:rPr>
        <w:t>, v. 23, n. 4, p. 213-226, 2008. Disponível em: https://onlinelibrary.wiley.com/doi/abs/10.1002/ffj.1875. Acesso em: 25 out. 2024.</w:t>
      </w:r>
    </w:p>
    <w:p w14:paraId="1C0355B5" w14:textId="77777777" w:rsidR="00EA7623" w:rsidRPr="00F475C1" w:rsidRDefault="00EA7623" w:rsidP="00EC1493">
      <w:pPr>
        <w:spacing w:after="240"/>
        <w:rPr>
          <w:sz w:val="24"/>
          <w:szCs w:val="24"/>
          <w:lang w:val="en-US"/>
        </w:rPr>
      </w:pPr>
      <w:r w:rsidRPr="00AF4B6F">
        <w:rPr>
          <w:sz w:val="24"/>
          <w:szCs w:val="24"/>
          <w:lang w:val="pt-BR"/>
        </w:rPr>
        <w:t xml:space="preserve">FONSÊCA, D. V. </w:t>
      </w:r>
      <w:r w:rsidRPr="00AF4B6F">
        <w:rPr>
          <w:i/>
          <w:sz w:val="24"/>
          <w:szCs w:val="24"/>
          <w:lang w:val="pt-BR"/>
        </w:rPr>
        <w:t>et al</w:t>
      </w:r>
      <w:r w:rsidRPr="00AF4B6F">
        <w:rPr>
          <w:sz w:val="24"/>
          <w:szCs w:val="24"/>
          <w:lang w:val="pt-BR"/>
        </w:rPr>
        <w:t xml:space="preserve">. </w:t>
      </w:r>
      <w:r w:rsidRPr="00F475C1">
        <w:rPr>
          <w:sz w:val="24"/>
          <w:szCs w:val="24"/>
          <w:lang w:val="en-US"/>
        </w:rPr>
        <w:t>Nerolidol exhibits antinociceptive and anti-inflammatory activity: involvement of the GABAergic system and proinflammatory cytokines</w:t>
      </w:r>
      <w:r w:rsidRPr="00F475C1">
        <w:rPr>
          <w:b/>
          <w:i/>
          <w:sz w:val="24"/>
          <w:szCs w:val="24"/>
          <w:lang w:val="en-US"/>
        </w:rPr>
        <w:t xml:space="preserve">. </w:t>
      </w:r>
      <w:r w:rsidRPr="00AF4B6F">
        <w:rPr>
          <w:rStyle w:val="nfase"/>
          <w:b/>
          <w:i w:val="0"/>
          <w:sz w:val="24"/>
          <w:szCs w:val="24"/>
          <w:lang w:val="pt-BR"/>
        </w:rPr>
        <w:t>Fundamental &amp; Clinical Pharmacology</w:t>
      </w:r>
      <w:r w:rsidRPr="00AF4B6F">
        <w:rPr>
          <w:sz w:val="24"/>
          <w:szCs w:val="24"/>
          <w:lang w:val="pt-BR"/>
        </w:rPr>
        <w:t xml:space="preserve">, v. 30, n. 1, p. 14–22, 2016. Disponível em: https://doi.org/10.1111/fcp.12166. </w:t>
      </w:r>
      <w:r w:rsidRPr="00F475C1">
        <w:rPr>
          <w:sz w:val="24"/>
          <w:szCs w:val="24"/>
          <w:lang w:val="en-US"/>
        </w:rPr>
        <w:t>Acesso em: 25 out. 2024.</w:t>
      </w:r>
    </w:p>
    <w:p w14:paraId="46FBBF18" w14:textId="77777777" w:rsidR="00EA7623" w:rsidRPr="00AF4B6F" w:rsidRDefault="00EA7623" w:rsidP="00EC1493">
      <w:pPr>
        <w:spacing w:after="240"/>
        <w:rPr>
          <w:sz w:val="24"/>
          <w:szCs w:val="24"/>
          <w:lang w:val="pt-BR"/>
        </w:rPr>
      </w:pPr>
      <w:r w:rsidRPr="00F475C1">
        <w:rPr>
          <w:sz w:val="24"/>
          <w:szCs w:val="24"/>
          <w:lang w:val="en-US"/>
        </w:rPr>
        <w:lastRenderedPageBreak/>
        <w:t xml:space="preserve">FRANCOMANO, F. </w:t>
      </w:r>
      <w:r w:rsidRPr="00F475C1">
        <w:rPr>
          <w:i/>
          <w:sz w:val="24"/>
          <w:szCs w:val="24"/>
          <w:lang w:val="en-US"/>
        </w:rPr>
        <w:t>et al</w:t>
      </w:r>
      <w:r w:rsidRPr="00F475C1">
        <w:rPr>
          <w:sz w:val="24"/>
          <w:szCs w:val="24"/>
          <w:lang w:val="en-US"/>
        </w:rPr>
        <w:t xml:space="preserve">. </w:t>
      </w:r>
      <w:r w:rsidRPr="00AF4B6F">
        <w:rPr>
          <w:sz w:val="24"/>
          <w:szCs w:val="24"/>
          <w:lang w:val="pt-BR"/>
        </w:rPr>
        <w:t>β</w:t>
      </w:r>
      <w:r w:rsidRPr="00F475C1">
        <w:rPr>
          <w:sz w:val="24"/>
          <w:szCs w:val="24"/>
          <w:lang w:val="en-US"/>
        </w:rPr>
        <w:t xml:space="preserve">-Caryophyllene: A Sesquiterpene with Countless Biological Properties. </w:t>
      </w:r>
      <w:r w:rsidRPr="00AF4B6F">
        <w:rPr>
          <w:b/>
          <w:iCs/>
          <w:sz w:val="24"/>
          <w:szCs w:val="24"/>
          <w:lang w:val="pt-BR"/>
        </w:rPr>
        <w:t>Applied Sciences</w:t>
      </w:r>
      <w:r w:rsidRPr="00AF4B6F">
        <w:rPr>
          <w:sz w:val="24"/>
          <w:szCs w:val="24"/>
          <w:lang w:val="pt-BR"/>
        </w:rPr>
        <w:t xml:space="preserve">, v. 9, n. 24, p. 5420, 2019. Disponível em: </w:t>
      </w:r>
      <w:hyperlink r:id="rId9" w:tgtFrame="_new" w:history="1">
        <w:r w:rsidRPr="00AF4B6F">
          <w:rPr>
            <w:sz w:val="24"/>
            <w:szCs w:val="24"/>
            <w:lang w:val="pt-BR"/>
          </w:rPr>
          <w:t>https://doi.org/10.3390/app9245420</w:t>
        </w:r>
      </w:hyperlink>
      <w:r w:rsidRPr="00AF4B6F">
        <w:rPr>
          <w:sz w:val="24"/>
          <w:szCs w:val="24"/>
          <w:lang w:val="pt-BR"/>
        </w:rPr>
        <w:t>. Acesso em: 24 out. 2024.</w:t>
      </w:r>
    </w:p>
    <w:p w14:paraId="42DEDA5A" w14:textId="77777777" w:rsidR="00EA7623" w:rsidRPr="00AF4B6F" w:rsidRDefault="00EA7623" w:rsidP="00EC1493">
      <w:pPr>
        <w:spacing w:after="240"/>
        <w:rPr>
          <w:sz w:val="24"/>
          <w:szCs w:val="24"/>
          <w:lang w:val="pt-BR"/>
        </w:rPr>
      </w:pPr>
      <w:r w:rsidRPr="00F475C1">
        <w:rPr>
          <w:sz w:val="24"/>
          <w:szCs w:val="24"/>
          <w:lang w:val="en-US"/>
        </w:rPr>
        <w:t xml:space="preserve">GOUVEA, D. R.; GOBBO-NETO, L.; LOPES, N. P. The influence of biotic and abiotic factors on the production of secondary metabolites in medicinal plants. </w:t>
      </w:r>
      <w:r w:rsidRPr="00F475C1">
        <w:rPr>
          <w:i/>
          <w:iCs/>
          <w:sz w:val="24"/>
          <w:szCs w:val="24"/>
          <w:lang w:val="en-US"/>
        </w:rPr>
        <w:t>In:</w:t>
      </w:r>
      <w:r w:rsidRPr="00F475C1">
        <w:rPr>
          <w:sz w:val="24"/>
          <w:szCs w:val="24"/>
          <w:lang w:val="en-US"/>
        </w:rPr>
        <w:t xml:space="preserve"> CECHINEL FILHO, V (ed.). </w:t>
      </w:r>
      <w:r w:rsidRPr="00F475C1">
        <w:rPr>
          <w:b/>
          <w:bCs/>
          <w:sz w:val="24"/>
          <w:szCs w:val="24"/>
          <w:lang w:val="en-US"/>
        </w:rPr>
        <w:t>Plant bioactives and drug discovery</w:t>
      </w:r>
      <w:r w:rsidRPr="00F475C1">
        <w:rPr>
          <w:sz w:val="24"/>
          <w:szCs w:val="24"/>
          <w:lang w:val="en-US"/>
        </w:rPr>
        <w:t xml:space="preserve">: principles, practice, and perspectives. </w:t>
      </w:r>
      <w:r w:rsidRPr="00AF4B6F">
        <w:rPr>
          <w:sz w:val="24"/>
          <w:szCs w:val="24"/>
          <w:lang w:val="pt-BR"/>
        </w:rPr>
        <w:t>John Wiley &amp; Sons, Inc., Hoboken, NJ, p. 419-452, 2012.</w:t>
      </w:r>
    </w:p>
    <w:p w14:paraId="7A6B9857" w14:textId="77777777" w:rsidR="00EA7623" w:rsidRPr="00F475C1" w:rsidRDefault="00EA7623" w:rsidP="00EC1493">
      <w:pPr>
        <w:spacing w:after="240"/>
        <w:rPr>
          <w:sz w:val="24"/>
          <w:szCs w:val="24"/>
          <w:lang w:val="en-US"/>
        </w:rPr>
      </w:pPr>
      <w:r w:rsidRPr="00AF4B6F">
        <w:rPr>
          <w:sz w:val="24"/>
          <w:szCs w:val="24"/>
          <w:lang w:val="pt-BR"/>
        </w:rPr>
        <w:t xml:space="preserve">INPE. INSTITUTO NACIONAL DE PESQUISAS ESPACIAIS. </w:t>
      </w:r>
      <w:r w:rsidRPr="00AF4B6F">
        <w:rPr>
          <w:b/>
          <w:bCs/>
          <w:sz w:val="24"/>
          <w:szCs w:val="24"/>
          <w:lang w:val="pt-BR"/>
        </w:rPr>
        <w:t>Condições de déficit de chuva na Amazônia</w:t>
      </w:r>
      <w:r w:rsidRPr="00AF4B6F">
        <w:rPr>
          <w:sz w:val="24"/>
          <w:szCs w:val="24"/>
          <w:lang w:val="pt-BR"/>
        </w:rPr>
        <w:t xml:space="preserve">. Nota técnica conjunta CPTEC/Inpe e Inmet, 2023, 3 p. Disponível em: https://clima.cptec.inpe.br/. </w:t>
      </w:r>
      <w:r w:rsidRPr="00F475C1">
        <w:rPr>
          <w:sz w:val="24"/>
          <w:szCs w:val="24"/>
          <w:lang w:val="en-US"/>
        </w:rPr>
        <w:t>Acesso em: 15 nov. 2023.</w:t>
      </w:r>
    </w:p>
    <w:p w14:paraId="0CC04628" w14:textId="0EB2729A" w:rsidR="00EA7623" w:rsidRPr="00AF4B6F" w:rsidRDefault="00EA7623" w:rsidP="00EC1493">
      <w:pPr>
        <w:spacing w:after="240"/>
        <w:rPr>
          <w:sz w:val="24"/>
          <w:szCs w:val="24"/>
          <w:lang w:val="pt-BR"/>
        </w:rPr>
      </w:pPr>
      <w:r w:rsidRPr="00F475C1">
        <w:rPr>
          <w:sz w:val="24"/>
          <w:szCs w:val="24"/>
          <w:lang w:val="en-US"/>
        </w:rPr>
        <w:t xml:space="preserve">KUMAR, S.; SHARMA, S.; VASUDEVA, N. Screening of antidiabetic and antihyperlipidemic potential of oil from Piper longum and piperine with their possible mechanism. </w:t>
      </w:r>
      <w:r w:rsidRPr="00AF4B6F">
        <w:rPr>
          <w:b/>
          <w:bCs/>
          <w:sz w:val="24"/>
          <w:szCs w:val="24"/>
          <w:lang w:val="pt-BR"/>
        </w:rPr>
        <w:t>Expert Opinion on Pharmacotherapy</w:t>
      </w:r>
      <w:r w:rsidRPr="00AF4B6F">
        <w:rPr>
          <w:sz w:val="24"/>
          <w:szCs w:val="24"/>
          <w:lang w:val="pt-BR"/>
        </w:rPr>
        <w:t>, v. 14, n. 13, p. 1723–1736, 2013. DOI: 10.1517/14656566.2013.815725. Disponível em: https://pubmed.ncbi.nlm.nih.gov/23875561/. Acesso em: 23 out. 2024.</w:t>
      </w:r>
    </w:p>
    <w:p w14:paraId="47502C72" w14:textId="77777777" w:rsidR="00EA7623" w:rsidRPr="00AF4B6F" w:rsidRDefault="00EA7623" w:rsidP="00EC1493">
      <w:pPr>
        <w:spacing w:after="240"/>
        <w:rPr>
          <w:sz w:val="24"/>
          <w:szCs w:val="24"/>
          <w:lang w:val="pt-BR"/>
        </w:rPr>
      </w:pPr>
      <w:r w:rsidRPr="00F475C1">
        <w:rPr>
          <w:sz w:val="24"/>
          <w:szCs w:val="24"/>
          <w:lang w:val="en-US"/>
        </w:rPr>
        <w:t xml:space="preserve">MONDELLO, L. </w:t>
      </w:r>
      <w:r w:rsidRPr="00F475C1">
        <w:rPr>
          <w:b/>
          <w:bCs/>
          <w:sz w:val="24"/>
          <w:szCs w:val="24"/>
          <w:lang w:val="en-US"/>
        </w:rPr>
        <w:t>FFNSC 2</w:t>
      </w:r>
      <w:r w:rsidRPr="00F475C1">
        <w:rPr>
          <w:sz w:val="24"/>
          <w:szCs w:val="24"/>
          <w:lang w:val="en-US"/>
        </w:rPr>
        <w:t xml:space="preserve">: Flavors and Fragrances of Natural and Synthetic Compounds, Mass Spectral Database. </w:t>
      </w:r>
      <w:r w:rsidRPr="00AF4B6F">
        <w:rPr>
          <w:sz w:val="24"/>
          <w:szCs w:val="24"/>
          <w:lang w:val="pt-BR"/>
        </w:rPr>
        <w:t>[</w:t>
      </w:r>
      <w:r w:rsidRPr="00AF4B6F">
        <w:rPr>
          <w:i/>
          <w:iCs/>
          <w:sz w:val="24"/>
          <w:szCs w:val="24"/>
          <w:lang w:val="pt-BR"/>
        </w:rPr>
        <w:t>S. l</w:t>
      </w:r>
      <w:r w:rsidRPr="00AF4B6F">
        <w:rPr>
          <w:sz w:val="24"/>
          <w:szCs w:val="24"/>
          <w:lang w:val="pt-BR"/>
        </w:rPr>
        <w:t>.] John Wiley &amp; Sons Inc, 2011.</w:t>
      </w:r>
    </w:p>
    <w:p w14:paraId="69C5E8EE" w14:textId="77777777" w:rsidR="00EA7623" w:rsidRPr="00AF4B6F" w:rsidRDefault="00EA7623" w:rsidP="00EC1493">
      <w:pPr>
        <w:spacing w:after="240"/>
        <w:rPr>
          <w:sz w:val="24"/>
          <w:szCs w:val="24"/>
          <w:lang w:val="pt-BR"/>
        </w:rPr>
      </w:pPr>
      <w:r w:rsidRPr="00AF4B6F">
        <w:rPr>
          <w:sz w:val="24"/>
          <w:szCs w:val="24"/>
          <w:lang w:val="pt-BR"/>
        </w:rPr>
        <w:t xml:space="preserve">RAMOS, Y. J. </w:t>
      </w:r>
      <w:r w:rsidRPr="00AF4B6F">
        <w:rPr>
          <w:i/>
          <w:iCs/>
          <w:sz w:val="24"/>
          <w:szCs w:val="24"/>
          <w:lang w:val="pt-BR"/>
        </w:rPr>
        <w:t>et al</w:t>
      </w:r>
      <w:r w:rsidRPr="00AF4B6F">
        <w:rPr>
          <w:sz w:val="24"/>
          <w:szCs w:val="24"/>
          <w:lang w:val="pt-BR"/>
        </w:rPr>
        <w:t xml:space="preserve">. </w:t>
      </w:r>
      <w:r w:rsidRPr="00AF4B6F">
        <w:rPr>
          <w:b/>
          <w:bCs/>
          <w:sz w:val="24"/>
          <w:szCs w:val="24"/>
          <w:lang w:val="pt-BR"/>
        </w:rPr>
        <w:t>Produção e variações químicas de óleos essenciais</w:t>
      </w:r>
      <w:r w:rsidRPr="00AF4B6F">
        <w:rPr>
          <w:sz w:val="24"/>
          <w:szCs w:val="24"/>
          <w:lang w:val="pt-BR"/>
        </w:rPr>
        <w:t xml:space="preserve">: uma breve revisão sobre os fatores que afetam a qualidade e a quantidade. </w:t>
      </w:r>
      <w:r w:rsidRPr="00AF4B6F">
        <w:rPr>
          <w:i/>
          <w:iCs/>
          <w:sz w:val="24"/>
          <w:szCs w:val="24"/>
          <w:lang w:val="pt-BR"/>
        </w:rPr>
        <w:t>In</w:t>
      </w:r>
      <w:r w:rsidRPr="00AF4B6F">
        <w:rPr>
          <w:sz w:val="24"/>
          <w:szCs w:val="24"/>
          <w:lang w:val="pt-BR"/>
        </w:rPr>
        <w:t xml:space="preserve">: FRANCISCO, A. L. O. (org). Avanços científicos, tecnológicos e de inovação na botânica. Ponta Grossa: Antena, p. 78-104, 2020. </w:t>
      </w:r>
    </w:p>
    <w:p w14:paraId="6885D24B" w14:textId="77777777" w:rsidR="00EA7623" w:rsidRPr="00F475C1" w:rsidRDefault="00EA7623" w:rsidP="00EC1493">
      <w:pPr>
        <w:spacing w:after="240"/>
        <w:rPr>
          <w:sz w:val="24"/>
          <w:szCs w:val="24"/>
          <w:lang w:val="en-US"/>
        </w:rPr>
      </w:pPr>
      <w:r w:rsidRPr="00AF4B6F">
        <w:rPr>
          <w:sz w:val="24"/>
          <w:szCs w:val="24"/>
          <w:lang w:val="pt-BR"/>
        </w:rPr>
        <w:t xml:space="preserve">RAPOSO, J. D. A. </w:t>
      </w:r>
      <w:r w:rsidRPr="00AF4B6F">
        <w:rPr>
          <w:i/>
          <w:iCs/>
          <w:sz w:val="24"/>
          <w:szCs w:val="24"/>
          <w:lang w:val="pt-BR"/>
        </w:rPr>
        <w:t>et al</w:t>
      </w:r>
      <w:r w:rsidRPr="00AF4B6F">
        <w:rPr>
          <w:sz w:val="24"/>
          <w:szCs w:val="24"/>
          <w:lang w:val="pt-BR"/>
        </w:rPr>
        <w:t xml:space="preserve">. </w:t>
      </w:r>
      <w:r w:rsidRPr="00F475C1">
        <w:rPr>
          <w:sz w:val="24"/>
          <w:szCs w:val="24"/>
          <w:lang w:val="en-US"/>
        </w:rPr>
        <w:t>Seasonal and circadian study of the essential oil of Myrcia sylvatica (G. Mey) DC., a valuable aromatic species occurring in the Lower Amazon River region</w:t>
      </w:r>
      <w:r w:rsidRPr="00F475C1">
        <w:rPr>
          <w:b/>
          <w:bCs/>
          <w:sz w:val="24"/>
          <w:szCs w:val="24"/>
          <w:lang w:val="en-US"/>
        </w:rPr>
        <w:t xml:space="preserve">. </w:t>
      </w:r>
      <w:r w:rsidRPr="00AF4B6F">
        <w:rPr>
          <w:b/>
          <w:bCs/>
          <w:sz w:val="24"/>
          <w:szCs w:val="24"/>
          <w:lang w:val="pt-BR"/>
        </w:rPr>
        <w:t>Biochem. Syst. Ecol.,</w:t>
      </w:r>
      <w:r w:rsidRPr="00AF4B6F">
        <w:rPr>
          <w:sz w:val="24"/>
          <w:szCs w:val="24"/>
          <w:lang w:val="pt-BR"/>
        </w:rPr>
        <w:t xml:space="preserve"> v. 79, p. 21–29, 2018. Disponível em: https://www.sciencedirect.com/science/article/abs/pii/S0305197818301881. </w:t>
      </w:r>
      <w:r w:rsidRPr="00F475C1">
        <w:rPr>
          <w:sz w:val="24"/>
          <w:szCs w:val="24"/>
          <w:lang w:val="en-US"/>
        </w:rPr>
        <w:t>Acesso em: 23 out. 2024.</w:t>
      </w:r>
    </w:p>
    <w:p w14:paraId="132AE596" w14:textId="77777777" w:rsidR="00EA7623" w:rsidRPr="00AF4B6F" w:rsidRDefault="00EA7623" w:rsidP="00EC1493">
      <w:pPr>
        <w:spacing w:after="240"/>
        <w:rPr>
          <w:sz w:val="24"/>
          <w:szCs w:val="24"/>
          <w:lang w:val="pt-BR"/>
        </w:rPr>
      </w:pPr>
      <w:r w:rsidRPr="00F475C1">
        <w:rPr>
          <w:sz w:val="24"/>
          <w:szCs w:val="24"/>
          <w:lang w:val="en-US"/>
        </w:rPr>
        <w:t xml:space="preserve">SINGH, T. U. </w:t>
      </w:r>
      <w:r w:rsidRPr="00F475C1">
        <w:rPr>
          <w:i/>
          <w:iCs/>
          <w:sz w:val="24"/>
          <w:szCs w:val="24"/>
          <w:lang w:val="en-US"/>
        </w:rPr>
        <w:t>et al</w:t>
      </w:r>
      <w:r w:rsidRPr="00F475C1">
        <w:rPr>
          <w:sz w:val="24"/>
          <w:szCs w:val="24"/>
          <w:lang w:val="en-US"/>
        </w:rPr>
        <w:t xml:space="preserve">. Inhibitory effect of essential oils of Allium sativum and Piper longum on spontaneous muscular activity of liver fluke, Fasciola gigantica. </w:t>
      </w:r>
      <w:r w:rsidRPr="00AF4B6F">
        <w:rPr>
          <w:b/>
          <w:bCs/>
          <w:sz w:val="24"/>
          <w:szCs w:val="24"/>
          <w:lang w:val="pt-BR"/>
        </w:rPr>
        <w:t>Exp Parasitol</w:t>
      </w:r>
      <w:r w:rsidRPr="00AF4B6F">
        <w:rPr>
          <w:sz w:val="24"/>
          <w:szCs w:val="24"/>
          <w:lang w:val="pt-BR"/>
        </w:rPr>
        <w:t xml:space="preserve">., v. 123, n. 4, p. 302-308, 2009 DOI: 10.1016/j.exppara.2009.08.002. Disponível em: https://www.sciencedirect.com/science/article/abs/pii/S001448940900215X. Acesso em: 23 out. 2024. </w:t>
      </w:r>
    </w:p>
    <w:p w14:paraId="6FB67166" w14:textId="77777777" w:rsidR="00EA7623" w:rsidRPr="00AF4B6F" w:rsidRDefault="00EA7623" w:rsidP="00EC1493">
      <w:pPr>
        <w:spacing w:after="240"/>
        <w:rPr>
          <w:sz w:val="24"/>
          <w:szCs w:val="24"/>
          <w:lang w:val="pt-BR"/>
        </w:rPr>
      </w:pPr>
      <w:r w:rsidRPr="00AF4B6F">
        <w:rPr>
          <w:sz w:val="24"/>
          <w:szCs w:val="24"/>
          <w:lang w:val="pt-BR"/>
        </w:rPr>
        <w:t xml:space="preserve">SOUZA, E. P. B. S.S. </w:t>
      </w:r>
      <w:r w:rsidRPr="00AF4B6F">
        <w:rPr>
          <w:i/>
          <w:sz w:val="24"/>
          <w:szCs w:val="24"/>
          <w:lang w:val="pt-BR"/>
        </w:rPr>
        <w:t>et al</w:t>
      </w:r>
      <w:r w:rsidRPr="00AF4B6F">
        <w:rPr>
          <w:sz w:val="24"/>
          <w:szCs w:val="24"/>
          <w:lang w:val="pt-BR"/>
        </w:rPr>
        <w:t xml:space="preserve">. </w:t>
      </w:r>
      <w:r w:rsidRPr="00F475C1">
        <w:rPr>
          <w:sz w:val="24"/>
          <w:szCs w:val="24"/>
          <w:lang w:val="en-US"/>
        </w:rPr>
        <w:t xml:space="preserve">Anti-inflammatory effect of nano-encapsulated nerolidol on zymosan-induced arthritis in mice. </w:t>
      </w:r>
      <w:r w:rsidRPr="00F475C1">
        <w:rPr>
          <w:b/>
          <w:sz w:val="24"/>
          <w:szCs w:val="24"/>
          <w:lang w:val="en-US"/>
        </w:rPr>
        <w:t>Food and Chemical Toxicology</w:t>
      </w:r>
      <w:r w:rsidRPr="00F475C1">
        <w:rPr>
          <w:sz w:val="24"/>
          <w:szCs w:val="24"/>
          <w:lang w:val="en-US"/>
        </w:rPr>
        <w:t xml:space="preserve">, v. 135, p. 110958, 2020. Disponível em: https://doi.org/10.1016/j.fct.2019.110958. </w:t>
      </w:r>
      <w:r w:rsidRPr="00AF4B6F">
        <w:rPr>
          <w:sz w:val="24"/>
          <w:szCs w:val="24"/>
          <w:lang w:val="pt-BR"/>
        </w:rPr>
        <w:t>Acesso em:25 out. 2024.</w:t>
      </w:r>
    </w:p>
    <w:p w14:paraId="452941F4" w14:textId="77777777" w:rsidR="00EA7623" w:rsidRPr="00AF4B6F" w:rsidRDefault="00EA7623" w:rsidP="00EC1493">
      <w:pPr>
        <w:spacing w:after="240"/>
        <w:rPr>
          <w:sz w:val="24"/>
          <w:szCs w:val="24"/>
          <w:lang w:val="pt-BR"/>
        </w:rPr>
      </w:pPr>
      <w:r w:rsidRPr="00AF4B6F">
        <w:rPr>
          <w:sz w:val="24"/>
          <w:szCs w:val="24"/>
          <w:lang w:val="pt-BR"/>
        </w:rPr>
        <w:t xml:space="preserve">TAIZ, L. </w:t>
      </w:r>
      <w:r w:rsidRPr="00AF4B6F">
        <w:rPr>
          <w:i/>
          <w:iCs/>
          <w:sz w:val="24"/>
          <w:szCs w:val="24"/>
          <w:lang w:val="pt-BR"/>
        </w:rPr>
        <w:t>et al</w:t>
      </w:r>
      <w:r w:rsidRPr="00AF4B6F">
        <w:rPr>
          <w:sz w:val="24"/>
          <w:szCs w:val="24"/>
          <w:lang w:val="pt-BR"/>
        </w:rPr>
        <w:t xml:space="preserve">. </w:t>
      </w:r>
      <w:r w:rsidRPr="00AF4B6F">
        <w:rPr>
          <w:b/>
          <w:bCs/>
          <w:sz w:val="24"/>
          <w:szCs w:val="24"/>
          <w:lang w:val="pt-BR"/>
        </w:rPr>
        <w:t>Fisiologia e Desenvolvimento Vegetal</w:t>
      </w:r>
      <w:r w:rsidRPr="00AF4B6F">
        <w:rPr>
          <w:sz w:val="24"/>
          <w:szCs w:val="24"/>
          <w:lang w:val="pt-BR"/>
        </w:rPr>
        <w:t>. 6ª Ed., Porto Alegre, Artmed, 2017.</w:t>
      </w:r>
    </w:p>
    <w:p w14:paraId="33AA9296" w14:textId="77777777" w:rsidR="00AA2412" w:rsidRDefault="00EA7623" w:rsidP="00EC1493">
      <w:pPr>
        <w:spacing w:after="240"/>
        <w:rPr>
          <w:sz w:val="24"/>
          <w:szCs w:val="24"/>
          <w:lang w:val="pt-BR"/>
        </w:rPr>
      </w:pPr>
      <w:r w:rsidRPr="00F475C1">
        <w:rPr>
          <w:sz w:val="24"/>
          <w:szCs w:val="24"/>
          <w:lang w:val="en-US"/>
        </w:rPr>
        <w:t xml:space="preserve">VARUGHESE, T. </w:t>
      </w:r>
      <w:r w:rsidRPr="00F475C1">
        <w:rPr>
          <w:i/>
          <w:iCs/>
          <w:sz w:val="24"/>
          <w:szCs w:val="24"/>
          <w:lang w:val="en-US"/>
        </w:rPr>
        <w:t>et al.</w:t>
      </w:r>
      <w:r w:rsidRPr="00F475C1">
        <w:rPr>
          <w:sz w:val="24"/>
          <w:szCs w:val="24"/>
          <w:lang w:val="en-US"/>
        </w:rPr>
        <w:t xml:space="preserve"> Chemical Composition of the Essential Oils from Stem,Root, Fruit and Leaf of Piper longum Linn, </w:t>
      </w:r>
      <w:r w:rsidRPr="00F475C1">
        <w:rPr>
          <w:b/>
          <w:bCs/>
          <w:sz w:val="24"/>
          <w:szCs w:val="24"/>
          <w:lang w:val="en-US"/>
        </w:rPr>
        <w:t>Journal of Essential Oil Bearing Plants</w:t>
      </w:r>
      <w:r w:rsidRPr="00F475C1">
        <w:rPr>
          <w:sz w:val="24"/>
          <w:szCs w:val="24"/>
          <w:lang w:val="en-US"/>
        </w:rPr>
        <w:t>, v. 19, n. 1, p. 52-</w:t>
      </w:r>
      <w:r w:rsidRPr="00F475C1">
        <w:rPr>
          <w:sz w:val="24"/>
          <w:szCs w:val="24"/>
          <w:lang w:val="en-US"/>
        </w:rPr>
        <w:lastRenderedPageBreak/>
        <w:t xml:space="preserve">58, 2016. </w:t>
      </w:r>
      <w:r w:rsidRPr="00AF4B6F">
        <w:rPr>
          <w:sz w:val="24"/>
          <w:szCs w:val="24"/>
          <w:lang w:val="pt-BR"/>
        </w:rPr>
        <w:t>DOI: 10.1080/0972060X.2015.1119065. Disponível me: https://www.tandfonline.com/doi/abs/10.1080/0972060X.2015.1119065. Acesso em: 23 out. 2023.</w:t>
      </w:r>
    </w:p>
    <w:p w14:paraId="10ABE854" w14:textId="31C656FD" w:rsidR="00EA7623" w:rsidRPr="00AF4B6F" w:rsidRDefault="00EA7623" w:rsidP="00EC1493">
      <w:pPr>
        <w:spacing w:after="240"/>
        <w:rPr>
          <w:sz w:val="24"/>
          <w:szCs w:val="24"/>
          <w:lang w:val="pt-BR"/>
        </w:rPr>
      </w:pPr>
      <w:bookmarkStart w:id="1" w:name="_GoBack"/>
      <w:bookmarkEnd w:id="1"/>
      <w:r w:rsidRPr="00AF4B6F">
        <w:rPr>
          <w:sz w:val="24"/>
          <w:szCs w:val="24"/>
          <w:lang w:val="pt-BR"/>
        </w:rPr>
        <w:t xml:space="preserve">VERÇOZA, F. C. Contribuição ao conhecimento da fenologia reprodutiva de Passiflora cuprea L. e P. suberosa L. (Passifloraceae) em floresta litorânea de solo arenoso da península de Varadero, Cidade de Matanzas, Cuba. </w:t>
      </w:r>
      <w:r w:rsidRPr="00AF4B6F">
        <w:rPr>
          <w:b/>
          <w:bCs/>
          <w:sz w:val="24"/>
          <w:szCs w:val="24"/>
          <w:lang w:val="pt-BR"/>
        </w:rPr>
        <w:t>Revista Souza Marques</w:t>
      </w:r>
      <w:r w:rsidRPr="00AF4B6F">
        <w:rPr>
          <w:sz w:val="24"/>
          <w:szCs w:val="24"/>
          <w:lang w:val="pt-BR"/>
        </w:rPr>
        <w:t>, v. 21, n. 40, p. 17-25, 2023. Disponível em: https://revista.souzamarques.br/index.php/REVISTA_SOUZA_MARQUES/article/view/553/645. Acesso em: 23 out. 2024.</w:t>
      </w:r>
    </w:p>
    <w:p w14:paraId="5C63FBF0" w14:textId="0E0D56AA" w:rsidR="003445A9" w:rsidRPr="00AF4B6F" w:rsidRDefault="00EA7623" w:rsidP="00EC1493">
      <w:pPr>
        <w:spacing w:after="240"/>
        <w:rPr>
          <w:sz w:val="24"/>
          <w:szCs w:val="24"/>
          <w:lang w:val="pt-BR"/>
        </w:rPr>
      </w:pPr>
      <w:r w:rsidRPr="00AF4B6F">
        <w:rPr>
          <w:sz w:val="24"/>
          <w:szCs w:val="24"/>
          <w:lang w:val="pt-BR"/>
        </w:rPr>
        <w:t xml:space="preserve">ZACARONI, L. M. </w:t>
      </w:r>
      <w:r w:rsidRPr="00AF4B6F">
        <w:rPr>
          <w:i/>
          <w:sz w:val="24"/>
          <w:szCs w:val="24"/>
          <w:lang w:val="pt-BR"/>
        </w:rPr>
        <w:t>et al</w:t>
      </w:r>
      <w:r w:rsidRPr="00AF4B6F">
        <w:rPr>
          <w:sz w:val="24"/>
          <w:szCs w:val="24"/>
          <w:lang w:val="pt-BR"/>
        </w:rPr>
        <w:t xml:space="preserve">. Potencial fungitóxico do óleo essencial de Piper hispidinervum (pimenta longa) sobre os fungos fitopatogênicos Bipolaris sorokiniana, Fusarium oxysporum e Colletotrichum gloeosporioides. </w:t>
      </w:r>
      <w:r w:rsidRPr="00AF4B6F">
        <w:rPr>
          <w:b/>
          <w:sz w:val="24"/>
          <w:szCs w:val="24"/>
          <w:lang w:val="pt-BR"/>
        </w:rPr>
        <w:t>Acta Amaz</w:t>
      </w:r>
      <w:r w:rsidRPr="00AF4B6F">
        <w:rPr>
          <w:sz w:val="24"/>
          <w:szCs w:val="24"/>
          <w:lang w:val="pt-BR"/>
        </w:rPr>
        <w:t>, v. 39, n. 1, 2009. Disponível em: https://doi.org/10.1590/S0044-596720090001000202009. Acesso em: 23 out. 2024.</w:t>
      </w:r>
    </w:p>
    <w:sectPr w:rsidR="003445A9" w:rsidRPr="00AF4B6F" w:rsidSect="005A1575">
      <w:headerReference w:type="default" r:id="rId10"/>
      <w:footerReference w:type="default" r:id="rId11"/>
      <w:type w:val="continuous"/>
      <w:pgSz w:w="11910" w:h="16840"/>
      <w:pgMar w:top="1701" w:right="1134" w:bottom="1134" w:left="1701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DFA988C" w16cid:durableId="3F23AE68"/>
  <w16cid:commentId w16cid:paraId="370C8659" w16cid:durableId="17213FBA"/>
  <w16cid:commentId w16cid:paraId="0D8AF625" w16cid:durableId="5BC8F17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9D38B" w14:textId="77777777" w:rsidR="00E7550E" w:rsidRDefault="00E7550E" w:rsidP="005A1575">
      <w:r>
        <w:separator/>
      </w:r>
    </w:p>
  </w:endnote>
  <w:endnote w:type="continuationSeparator" w:id="0">
    <w:p w14:paraId="5CFC4C6B" w14:textId="77777777" w:rsidR="00E7550E" w:rsidRDefault="00E7550E" w:rsidP="005A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7E4EA" w14:textId="32DC6FA7" w:rsidR="005A1575" w:rsidRDefault="006458BF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723264" behindDoc="0" locked="0" layoutInCell="1" allowOverlap="1" wp14:anchorId="35D9AF05" wp14:editId="5BA4D3A7">
          <wp:simplePos x="0" y="0"/>
          <wp:positionH relativeFrom="column">
            <wp:posOffset>771525</wp:posOffset>
          </wp:positionH>
          <wp:positionV relativeFrom="paragraph">
            <wp:posOffset>13335</wp:posOffset>
          </wp:positionV>
          <wp:extent cx="1447800" cy="398145"/>
          <wp:effectExtent l="0" t="0" r="0" b="1905"/>
          <wp:wrapSquare wrapText="bothSides"/>
          <wp:docPr id="114356247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98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B3806">
      <w:rPr>
        <w:noProof/>
        <w:lang w:val="pt-BR" w:eastAsia="pt-BR"/>
      </w:rPr>
      <w:drawing>
        <wp:anchor distT="0" distB="0" distL="114300" distR="114300" simplePos="0" relativeHeight="251624960" behindDoc="0" locked="0" layoutInCell="1" allowOverlap="1" wp14:anchorId="38BD3C9F" wp14:editId="6A9BCEB9">
          <wp:simplePos x="0" y="0"/>
          <wp:positionH relativeFrom="margin">
            <wp:align>left</wp:align>
          </wp:positionH>
          <wp:positionV relativeFrom="page">
            <wp:posOffset>9994265</wp:posOffset>
          </wp:positionV>
          <wp:extent cx="600075" cy="191770"/>
          <wp:effectExtent l="0" t="0" r="0" b="0"/>
          <wp:wrapSquare wrapText="bothSides"/>
          <wp:docPr id="133335861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191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3806">
      <w:rPr>
        <w:noProof/>
        <w:lang w:val="pt-BR" w:eastAsia="pt-BR"/>
      </w:rPr>
      <w:drawing>
        <wp:anchor distT="0" distB="0" distL="114300" distR="114300" simplePos="0" relativeHeight="251677184" behindDoc="0" locked="0" layoutInCell="1" allowOverlap="1" wp14:anchorId="133CF920" wp14:editId="4948997F">
          <wp:simplePos x="0" y="0"/>
          <wp:positionH relativeFrom="column">
            <wp:posOffset>2644140</wp:posOffset>
          </wp:positionH>
          <wp:positionV relativeFrom="page">
            <wp:posOffset>9987915</wp:posOffset>
          </wp:positionV>
          <wp:extent cx="419100" cy="241935"/>
          <wp:effectExtent l="0" t="0" r="0" b="0"/>
          <wp:wrapSquare wrapText="bothSides"/>
          <wp:docPr id="95454802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1575">
      <w:rPr>
        <w:noProof/>
        <w:lang w:val="pt-BR" w:eastAsia="pt-BR"/>
      </w:rPr>
      <w:drawing>
        <wp:anchor distT="0" distB="0" distL="114300" distR="114300" simplePos="0" relativeHeight="251693568" behindDoc="0" locked="0" layoutInCell="1" allowOverlap="1" wp14:anchorId="31A1BFA6" wp14:editId="130B738D">
          <wp:simplePos x="0" y="0"/>
          <wp:positionH relativeFrom="column">
            <wp:posOffset>3139440</wp:posOffset>
          </wp:positionH>
          <wp:positionV relativeFrom="page">
            <wp:posOffset>10172700</wp:posOffset>
          </wp:positionV>
          <wp:extent cx="542290" cy="384175"/>
          <wp:effectExtent l="0" t="0" r="0" b="0"/>
          <wp:wrapSquare wrapText="bothSides"/>
          <wp:docPr id="2023691315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1575">
      <w:rPr>
        <w:noProof/>
        <w:lang w:val="pt-BR" w:eastAsia="pt-BR"/>
      </w:rPr>
      <w:drawing>
        <wp:anchor distT="0" distB="0" distL="114300" distR="114300" simplePos="0" relativeHeight="251708928" behindDoc="0" locked="0" layoutInCell="1" allowOverlap="1" wp14:anchorId="2AE4657F" wp14:editId="21F15F58">
          <wp:simplePos x="0" y="0"/>
          <wp:positionH relativeFrom="column">
            <wp:posOffset>3910965</wp:posOffset>
          </wp:positionH>
          <wp:positionV relativeFrom="page">
            <wp:posOffset>10176510</wp:posOffset>
          </wp:positionV>
          <wp:extent cx="914400" cy="353695"/>
          <wp:effectExtent l="0" t="0" r="0" b="8255"/>
          <wp:wrapSquare wrapText="bothSides"/>
          <wp:docPr id="123103973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1575">
      <w:rPr>
        <w:noProof/>
        <w:lang w:val="pt-BR" w:eastAsia="pt-BR"/>
      </w:rPr>
      <w:drawing>
        <wp:anchor distT="0" distB="0" distL="114300" distR="114300" simplePos="0" relativeHeight="251721216" behindDoc="0" locked="0" layoutInCell="1" allowOverlap="1" wp14:anchorId="5853B3B1" wp14:editId="0E2B7A09">
          <wp:simplePos x="0" y="0"/>
          <wp:positionH relativeFrom="column">
            <wp:posOffset>5006340</wp:posOffset>
          </wp:positionH>
          <wp:positionV relativeFrom="page">
            <wp:posOffset>10182225</wp:posOffset>
          </wp:positionV>
          <wp:extent cx="756285" cy="335280"/>
          <wp:effectExtent l="0" t="0" r="5715" b="7620"/>
          <wp:wrapSquare wrapText="bothSides"/>
          <wp:docPr id="1212957140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1F2EA" w14:textId="77777777" w:rsidR="00E7550E" w:rsidRDefault="00E7550E" w:rsidP="005A1575">
      <w:r>
        <w:separator/>
      </w:r>
    </w:p>
  </w:footnote>
  <w:footnote w:type="continuationSeparator" w:id="0">
    <w:p w14:paraId="443F9597" w14:textId="77777777" w:rsidR="00E7550E" w:rsidRDefault="00E7550E" w:rsidP="005A1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287E9" w14:textId="21DA4F8D" w:rsidR="005A1575" w:rsidRPr="005A1575" w:rsidRDefault="00B13EDB" w:rsidP="005A1575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6EA61390" wp14:editId="10E16FEF">
          <wp:extent cx="1447800" cy="1447800"/>
          <wp:effectExtent l="0" t="0" r="0" b="0"/>
          <wp:docPr id="1437385373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5097"/>
    <w:multiLevelType w:val="hybridMultilevel"/>
    <w:tmpl w:val="F4366B92"/>
    <w:lvl w:ilvl="0" w:tplc="48DEDE6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67DCBFB4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E18AFBE4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F5CAE5BC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173CB83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4D0EA188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7B6C660E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B296967C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989AD612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54"/>
    <w:rsid w:val="000201EE"/>
    <w:rsid w:val="00027873"/>
    <w:rsid w:val="000352A7"/>
    <w:rsid w:val="000438B1"/>
    <w:rsid w:val="00051265"/>
    <w:rsid w:val="00067DB2"/>
    <w:rsid w:val="00082EE6"/>
    <w:rsid w:val="000916DB"/>
    <w:rsid w:val="000A4A4B"/>
    <w:rsid w:val="00102ED7"/>
    <w:rsid w:val="0013096F"/>
    <w:rsid w:val="00130B21"/>
    <w:rsid w:val="001514BB"/>
    <w:rsid w:val="00175364"/>
    <w:rsid w:val="00177FCA"/>
    <w:rsid w:val="001846E6"/>
    <w:rsid w:val="001C4607"/>
    <w:rsid w:val="001D2667"/>
    <w:rsid w:val="001D3BD6"/>
    <w:rsid w:val="001E43FD"/>
    <w:rsid w:val="001E5ECA"/>
    <w:rsid w:val="001F03B1"/>
    <w:rsid w:val="001F1AB5"/>
    <w:rsid w:val="00222F17"/>
    <w:rsid w:val="00237878"/>
    <w:rsid w:val="0024061B"/>
    <w:rsid w:val="00250EDA"/>
    <w:rsid w:val="00294CFD"/>
    <w:rsid w:val="0029541A"/>
    <w:rsid w:val="002973CB"/>
    <w:rsid w:val="0031571D"/>
    <w:rsid w:val="003445A9"/>
    <w:rsid w:val="003949CE"/>
    <w:rsid w:val="003A1D6E"/>
    <w:rsid w:val="003D0A29"/>
    <w:rsid w:val="003D593E"/>
    <w:rsid w:val="00425DAD"/>
    <w:rsid w:val="00440B68"/>
    <w:rsid w:val="004632C4"/>
    <w:rsid w:val="00490F4C"/>
    <w:rsid w:val="004B3806"/>
    <w:rsid w:val="004C1D1A"/>
    <w:rsid w:val="004D356E"/>
    <w:rsid w:val="004D77C0"/>
    <w:rsid w:val="004E409D"/>
    <w:rsid w:val="00526C80"/>
    <w:rsid w:val="00565164"/>
    <w:rsid w:val="00585209"/>
    <w:rsid w:val="00585CB1"/>
    <w:rsid w:val="0059394F"/>
    <w:rsid w:val="005A1575"/>
    <w:rsid w:val="005E636F"/>
    <w:rsid w:val="0060398E"/>
    <w:rsid w:val="00613D2E"/>
    <w:rsid w:val="0062368F"/>
    <w:rsid w:val="00625CF6"/>
    <w:rsid w:val="00644159"/>
    <w:rsid w:val="006458BF"/>
    <w:rsid w:val="00645E43"/>
    <w:rsid w:val="00660B1B"/>
    <w:rsid w:val="006740DB"/>
    <w:rsid w:val="0068490F"/>
    <w:rsid w:val="00694E4B"/>
    <w:rsid w:val="00696BD7"/>
    <w:rsid w:val="006A2A37"/>
    <w:rsid w:val="006A578B"/>
    <w:rsid w:val="006B006E"/>
    <w:rsid w:val="006D7A95"/>
    <w:rsid w:val="006F0EAD"/>
    <w:rsid w:val="006F2008"/>
    <w:rsid w:val="00701905"/>
    <w:rsid w:val="00710464"/>
    <w:rsid w:val="007113F4"/>
    <w:rsid w:val="00724CE2"/>
    <w:rsid w:val="00734691"/>
    <w:rsid w:val="00742F0B"/>
    <w:rsid w:val="00776778"/>
    <w:rsid w:val="007863CC"/>
    <w:rsid w:val="00790B0F"/>
    <w:rsid w:val="00795121"/>
    <w:rsid w:val="007A00B6"/>
    <w:rsid w:val="007B00E2"/>
    <w:rsid w:val="007B20B5"/>
    <w:rsid w:val="007B49A5"/>
    <w:rsid w:val="007B7999"/>
    <w:rsid w:val="007C65DB"/>
    <w:rsid w:val="00800BC6"/>
    <w:rsid w:val="00801BDD"/>
    <w:rsid w:val="00801E0F"/>
    <w:rsid w:val="0083089F"/>
    <w:rsid w:val="00836259"/>
    <w:rsid w:val="00853075"/>
    <w:rsid w:val="00861B7B"/>
    <w:rsid w:val="00863025"/>
    <w:rsid w:val="008913FF"/>
    <w:rsid w:val="008A28EA"/>
    <w:rsid w:val="008B24F1"/>
    <w:rsid w:val="008B742E"/>
    <w:rsid w:val="008B7562"/>
    <w:rsid w:val="008C0459"/>
    <w:rsid w:val="008F43C1"/>
    <w:rsid w:val="008F6454"/>
    <w:rsid w:val="00905C77"/>
    <w:rsid w:val="0090682D"/>
    <w:rsid w:val="009121D1"/>
    <w:rsid w:val="00920754"/>
    <w:rsid w:val="00924EDE"/>
    <w:rsid w:val="00942175"/>
    <w:rsid w:val="00946081"/>
    <w:rsid w:val="00956740"/>
    <w:rsid w:val="009673CB"/>
    <w:rsid w:val="009A0CFB"/>
    <w:rsid w:val="009D20AA"/>
    <w:rsid w:val="009D3B24"/>
    <w:rsid w:val="009E0427"/>
    <w:rsid w:val="009E4C94"/>
    <w:rsid w:val="00A054ED"/>
    <w:rsid w:val="00A2654C"/>
    <w:rsid w:val="00A26D3E"/>
    <w:rsid w:val="00A30254"/>
    <w:rsid w:val="00A37D9E"/>
    <w:rsid w:val="00A451A2"/>
    <w:rsid w:val="00A52233"/>
    <w:rsid w:val="00A534E1"/>
    <w:rsid w:val="00A71FC4"/>
    <w:rsid w:val="00AA2412"/>
    <w:rsid w:val="00AB0D8C"/>
    <w:rsid w:val="00AC4DF1"/>
    <w:rsid w:val="00AF4B6F"/>
    <w:rsid w:val="00B13EDB"/>
    <w:rsid w:val="00B2699B"/>
    <w:rsid w:val="00B3322A"/>
    <w:rsid w:val="00B50874"/>
    <w:rsid w:val="00B56B3A"/>
    <w:rsid w:val="00B61F60"/>
    <w:rsid w:val="00B63825"/>
    <w:rsid w:val="00B7308F"/>
    <w:rsid w:val="00B73137"/>
    <w:rsid w:val="00B75D4C"/>
    <w:rsid w:val="00B827A7"/>
    <w:rsid w:val="00B94AB5"/>
    <w:rsid w:val="00BC6AEB"/>
    <w:rsid w:val="00BD261C"/>
    <w:rsid w:val="00C47403"/>
    <w:rsid w:val="00C51B7A"/>
    <w:rsid w:val="00C5371F"/>
    <w:rsid w:val="00C66E0F"/>
    <w:rsid w:val="00CA7C11"/>
    <w:rsid w:val="00CB6F78"/>
    <w:rsid w:val="00CE4421"/>
    <w:rsid w:val="00D77789"/>
    <w:rsid w:val="00DB5854"/>
    <w:rsid w:val="00DC0EEC"/>
    <w:rsid w:val="00DD198F"/>
    <w:rsid w:val="00DD7889"/>
    <w:rsid w:val="00E23EAD"/>
    <w:rsid w:val="00E32882"/>
    <w:rsid w:val="00E370EA"/>
    <w:rsid w:val="00E56224"/>
    <w:rsid w:val="00E7550E"/>
    <w:rsid w:val="00EA7623"/>
    <w:rsid w:val="00EB1C67"/>
    <w:rsid w:val="00EB6253"/>
    <w:rsid w:val="00EC1493"/>
    <w:rsid w:val="00EC1B8D"/>
    <w:rsid w:val="00ED0CE5"/>
    <w:rsid w:val="00EF002E"/>
    <w:rsid w:val="00EF6C17"/>
    <w:rsid w:val="00F2170A"/>
    <w:rsid w:val="00F25D06"/>
    <w:rsid w:val="00F43A2A"/>
    <w:rsid w:val="00F46632"/>
    <w:rsid w:val="00F46BF8"/>
    <w:rsid w:val="00F475C1"/>
    <w:rsid w:val="00F667EF"/>
    <w:rsid w:val="00F901BD"/>
    <w:rsid w:val="00F948A7"/>
    <w:rsid w:val="00FB48E9"/>
    <w:rsid w:val="00FD7756"/>
    <w:rsid w:val="00FF1CBB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BC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A15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157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A15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1575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E0427"/>
    <w:rPr>
      <w:color w:val="0000FF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237878"/>
    <w:pPr>
      <w:spacing w:after="200"/>
    </w:pPr>
    <w:rPr>
      <w:i/>
      <w:iCs/>
      <w:color w:val="1F497D" w:themeColor="text2"/>
      <w:sz w:val="18"/>
      <w:szCs w:val="18"/>
    </w:rPr>
  </w:style>
  <w:style w:type="table" w:styleId="TabelaSimples2">
    <w:name w:val="Plain Table 2"/>
    <w:basedOn w:val="Tabelanormal"/>
    <w:uiPriority w:val="42"/>
    <w:rsid w:val="006A578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nfase">
    <w:name w:val="Emphasis"/>
    <w:basedOn w:val="Fontepargpadro"/>
    <w:uiPriority w:val="20"/>
    <w:qFormat/>
    <w:rsid w:val="00E32882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6A2A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A2A3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A2A37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2A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2A37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26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667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3390/app9245420" TargetMode="Externa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E8740-E7A8-43A6-AFA7-DC0B432E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3179</Words>
  <Characters>17171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2024-12-04T13:51:00Z</dcterms:created>
  <dcterms:modified xsi:type="dcterms:W3CDTF">2024-12-04T13:52:00Z</dcterms:modified>
</cp:coreProperties>
</file>