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1" w:hanging="3"/>
        <w:jc w:val="center"/>
        <w:rPr>
          <w:b w:val="1"/>
          <w:sz w:val="24"/>
          <w:szCs w:val="24"/>
        </w:rPr>
      </w:pPr>
      <w:bookmarkStart w:colFirst="0" w:colLast="0" w:name="_heading=h.gjdgxs" w:id="0"/>
      <w:bookmarkEnd w:id="0"/>
      <w:r w:rsidDel="00000000" w:rsidR="00000000" w:rsidRPr="00000000">
        <w:rPr>
          <w:b w:val="1"/>
          <w:sz w:val="24"/>
          <w:szCs w:val="24"/>
          <w:rtl w:val="0"/>
        </w:rPr>
        <w:t xml:space="preserve">COMPOSTAGEM DE RESÍDUOS DA CADEIA PRODUTIVA DO AÇAÍ ASSOCIADOS A FERTILIZANTE E BIOCARVÃO.</w:t>
      </w:r>
    </w:p>
    <w:p w:rsidR="00000000" w:rsidDel="00000000" w:rsidP="00000000" w:rsidRDefault="00000000" w:rsidRPr="00000000" w14:paraId="00000002">
      <w:pPr>
        <w:widowControl w:val="1"/>
        <w:ind w:left="1" w:hanging="3"/>
        <w:jc w:val="center"/>
        <w:rPr>
          <w:b w:val="1"/>
          <w:sz w:val="24"/>
          <w:szCs w:val="24"/>
        </w:rPr>
      </w:pPr>
      <w:bookmarkStart w:colFirst="0" w:colLast="0" w:name="_heading=h.5pkjq88ss2ng" w:id="1"/>
      <w:bookmarkEnd w:id="1"/>
      <w:r w:rsidDel="00000000" w:rsidR="00000000" w:rsidRPr="00000000">
        <w:rPr>
          <w:rtl w:val="0"/>
        </w:rPr>
      </w:r>
    </w:p>
    <w:p w:rsidR="00000000" w:rsidDel="00000000" w:rsidP="00000000" w:rsidRDefault="00000000" w:rsidRPr="00000000" w14:paraId="00000003">
      <w:pPr>
        <w:widowControl w:val="1"/>
        <w:ind w:left="1" w:hanging="3"/>
        <w:jc w:val="center"/>
        <w:rPr>
          <w:b w:val="1"/>
          <w:sz w:val="24"/>
          <w:szCs w:val="24"/>
        </w:rPr>
      </w:pPr>
      <w:bookmarkStart w:colFirst="0" w:colLast="0" w:name="_heading=h.uwu09sdicl1j" w:id="2"/>
      <w:bookmarkEnd w:id="2"/>
      <w:r w:rsidDel="00000000" w:rsidR="00000000" w:rsidRPr="00000000">
        <w:rPr>
          <w:b w:val="1"/>
          <w:sz w:val="24"/>
          <w:szCs w:val="24"/>
          <w:rtl w:val="0"/>
        </w:rPr>
        <w:t xml:space="preserve">Nilbia Abreu Ramos1;Luana Cristina Gonçalves Ferreira 2; Yan Nunes dias3; Wendel Valter da Silveira Pereira4; Flávio Henrique Santos Rodrigues5; Marcos Antonio da Silva Viana6; Antonio Rodrigues Fernandes7.</w:t>
      </w:r>
    </w:p>
    <w:p w:rsidR="00000000" w:rsidDel="00000000" w:rsidP="00000000" w:rsidRDefault="00000000" w:rsidRPr="00000000" w14:paraId="00000004">
      <w:pPr>
        <w:widowControl w:val="1"/>
        <w:ind w:left="1" w:hanging="3"/>
        <w:jc w:val="center"/>
        <w:rPr>
          <w:b w:val="1"/>
          <w:sz w:val="24"/>
          <w:szCs w:val="24"/>
        </w:rPr>
      </w:pPr>
      <w:bookmarkStart w:colFirst="0" w:colLast="0" w:name="_heading=h.abqo7tlcms7j" w:id="3"/>
      <w:bookmarkEnd w:id="3"/>
      <w:r w:rsidDel="00000000" w:rsidR="00000000" w:rsidRPr="00000000">
        <w:rPr>
          <w:rtl w:val="0"/>
        </w:rPr>
      </w:r>
    </w:p>
    <w:p w:rsidR="00000000" w:rsidDel="00000000" w:rsidP="00000000" w:rsidRDefault="00000000" w:rsidRPr="00000000" w14:paraId="00000005">
      <w:pPr>
        <w:widowControl w:val="1"/>
        <w:ind w:left="1" w:hanging="3"/>
        <w:jc w:val="center"/>
        <w:rPr>
          <w:b w:val="1"/>
          <w:sz w:val="24"/>
          <w:szCs w:val="24"/>
        </w:rPr>
      </w:pPr>
      <w:bookmarkStart w:colFirst="0" w:colLast="0" w:name="_heading=h.rhln9ae0wirq" w:id="4"/>
      <w:bookmarkEnd w:id="4"/>
      <w:r w:rsidDel="00000000" w:rsidR="00000000" w:rsidRPr="00000000">
        <w:rPr>
          <w:b w:val="1"/>
          <w:sz w:val="24"/>
          <w:szCs w:val="24"/>
          <w:rtl w:val="0"/>
        </w:rPr>
        <w:t xml:space="preserve">1Discente de Graduação em Agronomia. Universidade Federal Rural da Amazônia - UFRA. nilbiaramoss@gmail.com  </w:t>
      </w:r>
    </w:p>
    <w:p w:rsidR="00000000" w:rsidDel="00000000" w:rsidP="00000000" w:rsidRDefault="00000000" w:rsidRPr="00000000" w14:paraId="00000006">
      <w:pPr>
        <w:widowControl w:val="1"/>
        <w:ind w:left="1" w:hanging="3"/>
        <w:jc w:val="center"/>
        <w:rPr>
          <w:b w:val="1"/>
          <w:sz w:val="24"/>
          <w:szCs w:val="24"/>
        </w:rPr>
      </w:pPr>
      <w:bookmarkStart w:colFirst="0" w:colLast="0" w:name="_heading=h.xiq6ebh6erf3" w:id="5"/>
      <w:bookmarkEnd w:id="5"/>
      <w:r w:rsidDel="00000000" w:rsidR="00000000" w:rsidRPr="00000000">
        <w:rPr>
          <w:b w:val="1"/>
          <w:sz w:val="24"/>
          <w:szCs w:val="24"/>
          <w:rtl w:val="0"/>
        </w:rPr>
        <w:t xml:space="preserve"> </w:t>
      </w:r>
    </w:p>
    <w:p w:rsidR="00000000" w:rsidDel="00000000" w:rsidP="00000000" w:rsidRDefault="00000000" w:rsidRPr="00000000" w14:paraId="00000007">
      <w:pPr>
        <w:widowControl w:val="1"/>
        <w:ind w:left="1" w:hanging="3"/>
        <w:jc w:val="center"/>
        <w:rPr>
          <w:b w:val="1"/>
          <w:sz w:val="24"/>
          <w:szCs w:val="24"/>
        </w:rPr>
      </w:pPr>
      <w:bookmarkStart w:colFirst="0" w:colLast="0" w:name="_heading=h.h1t5059sp6ty" w:id="6"/>
      <w:bookmarkEnd w:id="6"/>
      <w:r w:rsidDel="00000000" w:rsidR="00000000" w:rsidRPr="00000000">
        <w:rPr>
          <w:b w:val="1"/>
          <w:sz w:val="24"/>
          <w:szCs w:val="24"/>
          <w:rtl w:val="0"/>
        </w:rPr>
        <w:t xml:space="preserve">2 Mestranda em Desenvolvimento Sustentável.  Instituto Tecnológico Vale - ITV. luana.c.g.ferreira@gmail.com</w:t>
      </w:r>
    </w:p>
    <w:p w:rsidR="00000000" w:rsidDel="00000000" w:rsidP="00000000" w:rsidRDefault="00000000" w:rsidRPr="00000000" w14:paraId="00000008">
      <w:pPr>
        <w:widowControl w:val="1"/>
        <w:ind w:left="1" w:hanging="3"/>
        <w:jc w:val="center"/>
        <w:rPr>
          <w:b w:val="1"/>
          <w:sz w:val="24"/>
          <w:szCs w:val="24"/>
        </w:rPr>
      </w:pPr>
      <w:bookmarkStart w:colFirst="0" w:colLast="0" w:name="_heading=h.en2or24rtn3p" w:id="7"/>
      <w:bookmarkEnd w:id="7"/>
      <w:r w:rsidDel="00000000" w:rsidR="00000000" w:rsidRPr="00000000">
        <w:rPr>
          <w:rtl w:val="0"/>
        </w:rPr>
      </w:r>
    </w:p>
    <w:p w:rsidR="00000000" w:rsidDel="00000000" w:rsidP="00000000" w:rsidRDefault="00000000" w:rsidRPr="00000000" w14:paraId="00000009">
      <w:pPr>
        <w:widowControl w:val="1"/>
        <w:ind w:left="1" w:hanging="3"/>
        <w:jc w:val="center"/>
        <w:rPr>
          <w:b w:val="1"/>
          <w:sz w:val="24"/>
          <w:szCs w:val="24"/>
        </w:rPr>
      </w:pPr>
      <w:bookmarkStart w:colFirst="0" w:colLast="0" w:name="_heading=h.p6szbr27okia" w:id="8"/>
      <w:bookmarkEnd w:id="8"/>
      <w:r w:rsidDel="00000000" w:rsidR="00000000" w:rsidRPr="00000000">
        <w:rPr>
          <w:rtl w:val="0"/>
        </w:rPr>
      </w:r>
    </w:p>
    <w:p w:rsidR="00000000" w:rsidDel="00000000" w:rsidP="00000000" w:rsidRDefault="00000000" w:rsidRPr="00000000" w14:paraId="0000000A">
      <w:pPr>
        <w:widowControl w:val="1"/>
        <w:ind w:left="1" w:hanging="3"/>
        <w:jc w:val="center"/>
        <w:rPr>
          <w:b w:val="1"/>
          <w:sz w:val="24"/>
          <w:szCs w:val="24"/>
        </w:rPr>
      </w:pPr>
      <w:bookmarkStart w:colFirst="0" w:colLast="0" w:name="_heading=h.r2oekp95z5mg" w:id="9"/>
      <w:bookmarkEnd w:id="9"/>
      <w:r w:rsidDel="00000000" w:rsidR="00000000" w:rsidRPr="00000000">
        <w:rPr>
          <w:b w:val="1"/>
          <w:sz w:val="24"/>
          <w:szCs w:val="24"/>
          <w:rtl w:val="0"/>
        </w:rPr>
        <w:t xml:space="preserve">3 Pós-doutorando  em desenvolvimento Sustentável. Instituto Tecnológico Vale - ITV. yan.dias@ufra.edu.br</w:t>
      </w:r>
    </w:p>
    <w:p w:rsidR="00000000" w:rsidDel="00000000" w:rsidP="00000000" w:rsidRDefault="00000000" w:rsidRPr="00000000" w14:paraId="0000000B">
      <w:pPr>
        <w:widowControl w:val="1"/>
        <w:ind w:left="1" w:hanging="3"/>
        <w:jc w:val="center"/>
        <w:rPr>
          <w:b w:val="1"/>
          <w:sz w:val="24"/>
          <w:szCs w:val="24"/>
        </w:rPr>
      </w:pPr>
      <w:bookmarkStart w:colFirst="0" w:colLast="0" w:name="_heading=h.k9hqi85p282q" w:id="10"/>
      <w:bookmarkEnd w:id="10"/>
      <w:r w:rsidDel="00000000" w:rsidR="00000000" w:rsidRPr="00000000">
        <w:rPr>
          <w:b w:val="1"/>
          <w:sz w:val="24"/>
          <w:szCs w:val="24"/>
          <w:rtl w:val="0"/>
        </w:rPr>
        <w:t xml:space="preserve">4 Pós-doutorando  em desenvolvimento Sustentável. Instituto Tecnológico Vale - ITV. wendel.valter@ufra.edu.br</w:t>
      </w:r>
    </w:p>
    <w:p w:rsidR="00000000" w:rsidDel="00000000" w:rsidP="00000000" w:rsidRDefault="00000000" w:rsidRPr="00000000" w14:paraId="0000000C">
      <w:pPr>
        <w:widowControl w:val="1"/>
        <w:ind w:left="1" w:hanging="3"/>
        <w:jc w:val="center"/>
        <w:rPr>
          <w:b w:val="1"/>
          <w:sz w:val="24"/>
          <w:szCs w:val="24"/>
        </w:rPr>
      </w:pPr>
      <w:bookmarkStart w:colFirst="0" w:colLast="0" w:name="_heading=h.qzuzxczbu08j" w:id="11"/>
      <w:bookmarkEnd w:id="11"/>
      <w:r w:rsidDel="00000000" w:rsidR="00000000" w:rsidRPr="00000000">
        <w:rPr>
          <w:rtl w:val="0"/>
        </w:rPr>
      </w:r>
    </w:p>
    <w:p w:rsidR="00000000" w:rsidDel="00000000" w:rsidP="00000000" w:rsidRDefault="00000000" w:rsidRPr="00000000" w14:paraId="0000000D">
      <w:pPr>
        <w:widowControl w:val="1"/>
        <w:ind w:left="1" w:hanging="3"/>
        <w:jc w:val="center"/>
        <w:rPr>
          <w:b w:val="1"/>
          <w:sz w:val="24"/>
          <w:szCs w:val="24"/>
        </w:rPr>
      </w:pPr>
      <w:bookmarkStart w:colFirst="0" w:colLast="0" w:name="_heading=h.jjml6jlm9qqw" w:id="12"/>
      <w:bookmarkEnd w:id="12"/>
      <w:r w:rsidDel="00000000" w:rsidR="00000000" w:rsidRPr="00000000">
        <w:rPr>
          <w:rtl w:val="0"/>
        </w:rPr>
      </w:r>
    </w:p>
    <w:p w:rsidR="00000000" w:rsidDel="00000000" w:rsidP="00000000" w:rsidRDefault="00000000" w:rsidRPr="00000000" w14:paraId="0000000E">
      <w:pPr>
        <w:widowControl w:val="1"/>
        <w:ind w:left="1" w:hanging="3"/>
        <w:jc w:val="center"/>
        <w:rPr>
          <w:b w:val="1"/>
          <w:sz w:val="24"/>
          <w:szCs w:val="24"/>
        </w:rPr>
      </w:pPr>
      <w:bookmarkStart w:colFirst="0" w:colLast="0" w:name="_heading=h.z6zldhqmcdw3" w:id="13"/>
      <w:bookmarkEnd w:id="13"/>
      <w:r w:rsidDel="00000000" w:rsidR="00000000" w:rsidRPr="00000000">
        <w:rPr>
          <w:b w:val="1"/>
          <w:sz w:val="24"/>
          <w:szCs w:val="24"/>
          <w:rtl w:val="0"/>
        </w:rPr>
        <w:t xml:space="preserve">5Doutorando  em Agronomia Universidade Federal Rural da Amazônia - UFRA. flaviohsrodrigues2@gmail.com</w:t>
      </w:r>
    </w:p>
    <w:p w:rsidR="00000000" w:rsidDel="00000000" w:rsidP="00000000" w:rsidRDefault="00000000" w:rsidRPr="00000000" w14:paraId="0000000F">
      <w:pPr>
        <w:widowControl w:val="1"/>
        <w:ind w:left="1" w:hanging="3"/>
        <w:jc w:val="center"/>
        <w:rPr>
          <w:b w:val="1"/>
          <w:sz w:val="24"/>
          <w:szCs w:val="24"/>
        </w:rPr>
      </w:pPr>
      <w:bookmarkStart w:colFirst="0" w:colLast="0" w:name="_heading=h.iqb34jspk5ej" w:id="14"/>
      <w:bookmarkEnd w:id="14"/>
      <w:r w:rsidDel="00000000" w:rsidR="00000000" w:rsidRPr="00000000">
        <w:rPr>
          <w:rtl w:val="0"/>
        </w:rPr>
      </w:r>
    </w:p>
    <w:p w:rsidR="00000000" w:rsidDel="00000000" w:rsidP="00000000" w:rsidRDefault="00000000" w:rsidRPr="00000000" w14:paraId="00000010">
      <w:pPr>
        <w:widowControl w:val="1"/>
        <w:ind w:left="1" w:hanging="3"/>
        <w:jc w:val="center"/>
        <w:rPr>
          <w:b w:val="1"/>
          <w:sz w:val="24"/>
          <w:szCs w:val="24"/>
        </w:rPr>
      </w:pPr>
      <w:bookmarkStart w:colFirst="0" w:colLast="0" w:name="_heading=h.vcoaerukci8r" w:id="15"/>
      <w:bookmarkEnd w:id="15"/>
      <w:r w:rsidDel="00000000" w:rsidR="00000000" w:rsidRPr="00000000">
        <w:rPr>
          <w:rtl w:val="0"/>
        </w:rPr>
      </w:r>
    </w:p>
    <w:p w:rsidR="00000000" w:rsidDel="00000000" w:rsidP="00000000" w:rsidRDefault="00000000" w:rsidRPr="00000000" w14:paraId="00000011">
      <w:pPr>
        <w:widowControl w:val="1"/>
        <w:ind w:left="1" w:hanging="3"/>
        <w:jc w:val="center"/>
        <w:rPr>
          <w:b w:val="1"/>
          <w:sz w:val="24"/>
          <w:szCs w:val="24"/>
        </w:rPr>
      </w:pPr>
      <w:bookmarkStart w:colFirst="0" w:colLast="0" w:name="_heading=h.ovptw4axmzit" w:id="16"/>
      <w:bookmarkEnd w:id="16"/>
      <w:r w:rsidDel="00000000" w:rsidR="00000000" w:rsidRPr="00000000">
        <w:rPr>
          <w:b w:val="1"/>
          <w:sz w:val="24"/>
          <w:szCs w:val="24"/>
          <w:rtl w:val="0"/>
        </w:rPr>
        <w:t xml:space="preserve">6Mestrando  em Agronomia Universidade Federal Rural da Amazônia - UFRA. marcosviana@discente.ufra.edu.br</w:t>
      </w:r>
    </w:p>
    <w:p w:rsidR="00000000" w:rsidDel="00000000" w:rsidP="00000000" w:rsidRDefault="00000000" w:rsidRPr="00000000" w14:paraId="00000012">
      <w:pPr>
        <w:widowControl w:val="1"/>
        <w:ind w:left="1" w:hanging="3"/>
        <w:jc w:val="center"/>
        <w:rPr>
          <w:b w:val="1"/>
          <w:sz w:val="24"/>
          <w:szCs w:val="24"/>
        </w:rPr>
      </w:pPr>
      <w:bookmarkStart w:colFirst="0" w:colLast="0" w:name="_heading=h.klv6uw85nxds" w:id="17"/>
      <w:bookmarkEnd w:id="17"/>
      <w:r w:rsidDel="00000000" w:rsidR="00000000" w:rsidRPr="00000000">
        <w:rPr>
          <w:rtl w:val="0"/>
        </w:rPr>
      </w:r>
    </w:p>
    <w:p w:rsidR="00000000" w:rsidDel="00000000" w:rsidP="00000000" w:rsidRDefault="00000000" w:rsidRPr="00000000" w14:paraId="00000013">
      <w:pPr>
        <w:widowControl w:val="1"/>
        <w:ind w:left="1" w:hanging="3"/>
        <w:jc w:val="center"/>
        <w:rPr>
          <w:b w:val="1"/>
          <w:sz w:val="24"/>
          <w:szCs w:val="24"/>
        </w:rPr>
      </w:pPr>
      <w:bookmarkStart w:colFirst="0" w:colLast="0" w:name="_heading=h.eo0n5ydoh66n" w:id="18"/>
      <w:bookmarkEnd w:id="18"/>
      <w:r w:rsidDel="00000000" w:rsidR="00000000" w:rsidRPr="00000000">
        <w:rPr>
          <w:rtl w:val="0"/>
        </w:rPr>
      </w:r>
    </w:p>
    <w:p w:rsidR="00000000" w:rsidDel="00000000" w:rsidP="00000000" w:rsidRDefault="00000000" w:rsidRPr="00000000" w14:paraId="00000014">
      <w:pPr>
        <w:widowControl w:val="1"/>
        <w:ind w:left="1" w:hanging="3"/>
        <w:jc w:val="center"/>
        <w:rPr>
          <w:b w:val="1"/>
          <w:sz w:val="24"/>
          <w:szCs w:val="24"/>
        </w:rPr>
      </w:pPr>
      <w:bookmarkStart w:colFirst="0" w:colLast="0" w:name="_heading=h.124enp9rhqq6" w:id="19"/>
      <w:bookmarkEnd w:id="19"/>
      <w:r w:rsidDel="00000000" w:rsidR="00000000" w:rsidRPr="00000000">
        <w:rPr>
          <w:b w:val="1"/>
          <w:sz w:val="24"/>
          <w:szCs w:val="24"/>
          <w:rtl w:val="0"/>
        </w:rPr>
        <w:t xml:space="preserve">7Professor  Titular aposentado. Universidade Federal Rural da Amazônia - UFRA. </w:t>
      </w:r>
    </w:p>
    <w:p w:rsidR="00000000" w:rsidDel="00000000" w:rsidP="00000000" w:rsidRDefault="00000000" w:rsidRPr="00000000" w14:paraId="00000015">
      <w:pPr>
        <w:widowControl w:val="1"/>
        <w:ind w:left="1" w:hanging="3"/>
        <w:jc w:val="center"/>
        <w:rPr>
          <w:b w:val="1"/>
          <w:sz w:val="24"/>
          <w:szCs w:val="24"/>
        </w:rPr>
      </w:pPr>
      <w:bookmarkStart w:colFirst="0" w:colLast="0" w:name="_heading=h.d9khs0fqsi9f" w:id="20"/>
      <w:bookmarkEnd w:id="20"/>
      <w:hyperlink r:id="rId7">
        <w:r w:rsidDel="00000000" w:rsidR="00000000" w:rsidRPr="00000000">
          <w:rPr>
            <w:b w:val="1"/>
            <w:color w:val="1155cc"/>
            <w:sz w:val="24"/>
            <w:szCs w:val="24"/>
            <w:u w:val="single"/>
            <w:rtl w:val="0"/>
          </w:rPr>
          <w:t xml:space="preserve">antonio.fernandes@ufra.edu.br</w:t>
        </w:r>
      </w:hyperlink>
      <w:r w:rsidDel="00000000" w:rsidR="00000000" w:rsidRPr="00000000">
        <w:rPr>
          <w:rtl w:val="0"/>
        </w:rPr>
      </w:r>
    </w:p>
    <w:p w:rsidR="00000000" w:rsidDel="00000000" w:rsidP="00000000" w:rsidRDefault="00000000" w:rsidRPr="00000000" w14:paraId="00000016">
      <w:pPr>
        <w:widowControl w:val="1"/>
        <w:ind w:left="1" w:hanging="3"/>
        <w:jc w:val="center"/>
        <w:rPr>
          <w:b w:val="1"/>
          <w:sz w:val="24"/>
          <w:szCs w:val="24"/>
        </w:rPr>
      </w:pPr>
      <w:bookmarkStart w:colFirst="0" w:colLast="0" w:name="_heading=h.hh74yro7mb54" w:id="21"/>
      <w:bookmarkEnd w:id="21"/>
      <w:r w:rsidDel="00000000" w:rsidR="00000000" w:rsidRPr="00000000">
        <w:rPr>
          <w:rtl w:val="0"/>
        </w:rPr>
      </w:r>
    </w:p>
    <w:p w:rsidR="00000000" w:rsidDel="00000000" w:rsidP="00000000" w:rsidRDefault="00000000" w:rsidRPr="00000000" w14:paraId="00000017">
      <w:pPr>
        <w:shd w:fill="ffffff" w:val="clear"/>
        <w:tabs>
          <w:tab w:val="left" w:leader="none" w:pos="2500"/>
        </w:tabs>
        <w:jc w:val="center"/>
        <w:rPr>
          <w:color w:val="ff0000"/>
          <w:sz w:val="24"/>
          <w:szCs w:val="24"/>
        </w:rPr>
      </w:pPr>
      <w:r w:rsidDel="00000000" w:rsidR="00000000" w:rsidRPr="00000000">
        <w:rPr>
          <w:rtl w:val="0"/>
        </w:rPr>
      </w:r>
    </w:p>
    <w:p w:rsidR="00000000" w:rsidDel="00000000" w:rsidP="00000000" w:rsidRDefault="00000000" w:rsidRPr="00000000" w14:paraId="00000018">
      <w:pPr>
        <w:keepLines w:val="1"/>
        <w:shd w:fill="ffffff" w:val="clear"/>
        <w:tabs>
          <w:tab w:val="left" w:leader="none" w:pos="2500"/>
        </w:tabs>
        <w:jc w:val="center"/>
        <w:rPr>
          <w:sz w:val="24"/>
          <w:szCs w:val="24"/>
        </w:rPr>
      </w:pPr>
      <w:r w:rsidDel="00000000" w:rsidR="00000000" w:rsidRPr="00000000">
        <w:rPr>
          <w:rtl w:val="0"/>
        </w:rPr>
      </w:r>
    </w:p>
    <w:p w:rsidR="00000000" w:rsidDel="00000000" w:rsidP="00000000" w:rsidRDefault="00000000" w:rsidRPr="00000000" w14:paraId="00000019">
      <w:pPr>
        <w:keepLines w:val="1"/>
        <w:shd w:fill="ffffff" w:val="clear"/>
        <w:tabs>
          <w:tab w:val="left" w:leader="none" w:pos="2500"/>
        </w:tabs>
        <w:jc w:val="center"/>
        <w:rPr>
          <w:sz w:val="24"/>
          <w:szCs w:val="24"/>
        </w:rPr>
      </w:pPr>
      <w:r w:rsidDel="00000000" w:rsidR="00000000" w:rsidRPr="00000000">
        <w:rPr>
          <w:rtl w:val="0"/>
        </w:rPr>
      </w:r>
    </w:p>
    <w:p w:rsidR="00000000" w:rsidDel="00000000" w:rsidP="00000000" w:rsidRDefault="00000000" w:rsidRPr="00000000" w14:paraId="0000001A">
      <w:pPr>
        <w:keepLines w:val="1"/>
        <w:shd w:fill="ffffff" w:val="clear"/>
        <w:tabs>
          <w:tab w:val="left" w:leader="none" w:pos="2500"/>
        </w:tabs>
        <w:jc w:val="center"/>
        <w:rPr>
          <w:sz w:val="24"/>
          <w:szCs w:val="24"/>
        </w:rPr>
      </w:pPr>
      <w:r w:rsidDel="00000000" w:rsidR="00000000" w:rsidRPr="00000000">
        <w:rPr>
          <w:rtl w:val="0"/>
        </w:rPr>
      </w:r>
    </w:p>
    <w:p w:rsidR="00000000" w:rsidDel="00000000" w:rsidP="00000000" w:rsidRDefault="00000000" w:rsidRPr="00000000" w14:paraId="0000001B">
      <w:pPr>
        <w:tabs>
          <w:tab w:val="left" w:leader="none" w:pos="2500"/>
        </w:tabs>
        <w:rPr>
          <w:sz w:val="24"/>
          <w:szCs w:val="24"/>
        </w:rPr>
      </w:pPr>
      <w:r w:rsidDel="00000000" w:rsidR="00000000" w:rsidRPr="00000000">
        <w:rPr>
          <w:rtl w:val="0"/>
        </w:rPr>
      </w:r>
    </w:p>
    <w:p w:rsidR="00000000" w:rsidDel="00000000" w:rsidP="00000000" w:rsidRDefault="00000000" w:rsidRPr="00000000" w14:paraId="0000001C">
      <w:pPr>
        <w:pBdr>
          <w:bottom w:color="000000" w:space="8" w:sz="0" w:val="none"/>
        </w:pBdr>
        <w:shd w:fill="ffffff" w:val="clear"/>
        <w:tabs>
          <w:tab w:val="left" w:leader="none" w:pos="2500"/>
        </w:tabs>
        <w:jc w:val="center"/>
        <w:rPr>
          <w:b w:val="1"/>
          <w:sz w:val="24"/>
          <w:szCs w:val="24"/>
          <w:u w:val="single"/>
        </w:rPr>
      </w:pPr>
      <w:r w:rsidDel="00000000" w:rsidR="00000000" w:rsidRPr="00000000">
        <w:rPr>
          <w:b w:val="1"/>
          <w:sz w:val="24"/>
          <w:szCs w:val="24"/>
          <w:u w:val="single"/>
          <w:rtl w:val="0"/>
        </w:rPr>
        <w:t xml:space="preserve">RESUMO</w:t>
      </w:r>
    </w:p>
    <w:p w:rsidR="00000000" w:rsidDel="00000000" w:rsidP="00000000" w:rsidRDefault="00000000" w:rsidRPr="00000000" w14:paraId="0000001D">
      <w:pPr>
        <w:shd w:fill="ffffff" w:val="clear"/>
        <w:tabs>
          <w:tab w:val="left" w:leader="none" w:pos="2500"/>
        </w:tabs>
        <w:jc w:val="both"/>
        <w:rPr>
          <w:sz w:val="24"/>
          <w:szCs w:val="24"/>
        </w:rPr>
      </w:pPr>
      <w:r w:rsidDel="00000000" w:rsidR="00000000" w:rsidRPr="00000000">
        <w:rPr>
          <w:sz w:val="24"/>
          <w:szCs w:val="24"/>
          <w:rtl w:val="0"/>
        </w:rPr>
        <w:t xml:space="preserve">Os solos amazônicos enfrentam limitações significativas para a produção agrícola devido à elevada acidez, saturação por alumínio e baixos níveis de nutrientes, exacerbados pela intensa lixiviação. Este estudo investigou a compostagem de resíduos de açaí com a adição de biocarvão, visando melhorar a fertilidade do solo e proporcionar uma solução sustentável para o gerenciamento desses resíduos. O objetivo foi avaliar a influência dos biocarvões produzidos a 400 °C e 700 °C na composição dos compostos gerados, foi coletado  caroços de açaí, seguida da produção de biocarvão e sua mistura com fertilizantes. Os tratamentos foram compostos por diferentes combinações de biomassa e biocarvões, e as frações de fósforo, assim como características espectroscópicas, foram analisadas ao longo do processo de compostagem. Os resultados mostraram que a adição de biocarvão aumentou os teores de fósforo solúvel, especialmente nos tratamentos BF400 e BF700, destacando sua importância na decomposição da matéria orgânica. Além disso, após 180 dias, observou-se uma redução nos teores de fósforo, indicando possível imobilização por microrganismos. As análises espectroscópicas confirmaram melhorias na humificação e decomposição. Conclui-se que a combinação de compostagem com biocarvão é eficaz para otimizar a qualidade do solo, promovendo a disponibilidade de nutrientes e contribuindo para práticas agrícolas sustentáveis.</w:t>
      </w:r>
    </w:p>
    <w:p w:rsidR="00000000" w:rsidDel="00000000" w:rsidP="00000000" w:rsidRDefault="00000000" w:rsidRPr="00000000" w14:paraId="0000001E">
      <w:pPr>
        <w:pBdr>
          <w:bottom w:color="000000" w:space="8" w:sz="0" w:val="none"/>
        </w:pBdr>
        <w:shd w:fill="ffffff" w:val="clear"/>
        <w:tabs>
          <w:tab w:val="left" w:leader="none" w:pos="2500"/>
        </w:tabs>
        <w:rPr>
          <w:sz w:val="24"/>
          <w:szCs w:val="24"/>
        </w:rPr>
      </w:pPr>
      <w:r w:rsidDel="00000000" w:rsidR="00000000" w:rsidRPr="00000000">
        <w:rPr>
          <w:rtl w:val="0"/>
        </w:rPr>
      </w:r>
    </w:p>
    <w:p w:rsidR="00000000" w:rsidDel="00000000" w:rsidP="00000000" w:rsidRDefault="00000000" w:rsidRPr="00000000" w14:paraId="0000001F">
      <w:pPr>
        <w:shd w:fill="ffffff" w:val="clear"/>
        <w:tabs>
          <w:tab w:val="left" w:leader="none" w:pos="2500"/>
        </w:tabs>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Resíduos sólidos. Fertilidade do solo. Solos Amazônicos.</w:t>
      </w:r>
    </w:p>
    <w:p w:rsidR="00000000" w:rsidDel="00000000" w:rsidP="00000000" w:rsidRDefault="00000000" w:rsidRPr="00000000" w14:paraId="00000020">
      <w:pPr>
        <w:shd w:fill="ffffff" w:val="clear"/>
        <w:tabs>
          <w:tab w:val="left" w:leader="none" w:pos="2500"/>
        </w:tabs>
        <w:jc w:val="center"/>
        <w:rPr>
          <w:sz w:val="24"/>
          <w:szCs w:val="24"/>
        </w:rPr>
      </w:pPr>
      <w:r w:rsidDel="00000000" w:rsidR="00000000" w:rsidRPr="00000000">
        <w:rPr>
          <w:rtl w:val="0"/>
        </w:rPr>
      </w:r>
    </w:p>
    <w:p w:rsidR="00000000" w:rsidDel="00000000" w:rsidP="00000000" w:rsidRDefault="00000000" w:rsidRPr="00000000" w14:paraId="00000021">
      <w:pPr>
        <w:shd w:fill="ffffff" w:val="clear"/>
        <w:tabs>
          <w:tab w:val="left" w:leader="none" w:pos="2500"/>
        </w:tabs>
        <w:jc w:val="both"/>
        <w:rPr>
          <w:sz w:val="24"/>
          <w:szCs w:val="24"/>
        </w:rPr>
      </w:pPr>
      <w:r w:rsidDel="00000000" w:rsidR="00000000" w:rsidRPr="00000000">
        <w:rPr>
          <w:b w:val="1"/>
          <w:sz w:val="24"/>
          <w:szCs w:val="24"/>
          <w:rtl w:val="0"/>
        </w:rPr>
        <w:t xml:space="preserve">Área de Interesse do Simpósio</w:t>
      </w:r>
      <w:r w:rsidDel="00000000" w:rsidR="00000000" w:rsidRPr="00000000">
        <w:rPr>
          <w:sz w:val="24"/>
          <w:szCs w:val="24"/>
          <w:rtl w:val="0"/>
        </w:rPr>
        <w:t xml:space="preserve">: Resíduos Sólidos, líquidos e Gasosos, Logística Reversa, Economia Criativa, Economia Circular e Economia Ecológica. </w:t>
      </w:r>
    </w:p>
    <w:p w:rsidR="00000000" w:rsidDel="00000000" w:rsidP="00000000" w:rsidRDefault="00000000" w:rsidRPr="00000000" w14:paraId="00000022">
      <w:pPr>
        <w:shd w:fill="ffffff" w:val="clear"/>
        <w:tabs>
          <w:tab w:val="left" w:leader="none" w:pos="2500"/>
        </w:tabs>
        <w:jc w:val="both"/>
        <w:rPr>
          <w:sz w:val="24"/>
          <w:szCs w:val="24"/>
        </w:rPr>
      </w:pPr>
      <w:r w:rsidDel="00000000" w:rsidR="00000000" w:rsidRPr="00000000">
        <w:rPr>
          <w:rtl w:val="0"/>
        </w:rPr>
      </w:r>
    </w:p>
    <w:p w:rsidR="00000000" w:rsidDel="00000000" w:rsidP="00000000" w:rsidRDefault="00000000" w:rsidRPr="00000000" w14:paraId="00000023">
      <w:pPr>
        <w:shd w:fill="ffffff" w:val="clear"/>
        <w:tabs>
          <w:tab w:val="left" w:leader="none" w:pos="2500"/>
        </w:tabs>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24">
      <w:pPr>
        <w:shd w:fill="ffffff" w:val="clear"/>
        <w:tabs>
          <w:tab w:val="left" w:leader="none" w:pos="2500"/>
        </w:tabs>
        <w:jc w:val="both"/>
        <w:rPr>
          <w:b w:val="1"/>
          <w:sz w:val="24"/>
          <w:szCs w:val="24"/>
        </w:rPr>
      </w:pPr>
      <w:r w:rsidDel="00000000" w:rsidR="00000000" w:rsidRPr="00000000">
        <w:rPr>
          <w:rtl w:val="0"/>
        </w:rPr>
      </w:r>
    </w:p>
    <w:p w:rsidR="00000000" w:rsidDel="00000000" w:rsidP="00000000" w:rsidRDefault="00000000" w:rsidRPr="00000000" w14:paraId="00000025">
      <w:pPr>
        <w:pBdr>
          <w:bottom w:color="000000" w:space="8" w:sz="0" w:val="none"/>
        </w:pBdr>
        <w:shd w:fill="ffffff" w:val="clear"/>
        <w:tabs>
          <w:tab w:val="left" w:leader="none" w:pos="699"/>
        </w:tabs>
        <w:spacing w:line="360" w:lineRule="auto"/>
        <w:jc w:val="both"/>
        <w:rPr>
          <w:sz w:val="24"/>
          <w:szCs w:val="24"/>
        </w:rPr>
      </w:pPr>
      <w:r w:rsidDel="00000000" w:rsidR="00000000" w:rsidRPr="00000000">
        <w:rPr>
          <w:sz w:val="24"/>
          <w:szCs w:val="24"/>
          <w:rtl w:val="0"/>
        </w:rPr>
        <w:tab/>
        <w:t xml:space="preserve">Os solos amazônicos apresentam alta intemperização, caracterizada por elevada acidez, saturação por alumínio (Al³⁺) e baixos níveis de nutrientes, devido às intensas taxas de lixiviação. Essas características limitam significativamente o potencial agrícola da região (Mendonça, 2019). A matéria orgânica (MO) é fundamental para esses solos, pois contribui para a melhoria das propriedades químicas, físicas e biológicas, além de desempenhar um papel essencial nos ciclos biogeoquímicos que sustentam a fertilidade (Xiao et al., 2020).</w:t>
      </w:r>
    </w:p>
    <w:p w:rsidR="00000000" w:rsidDel="00000000" w:rsidP="00000000" w:rsidRDefault="00000000" w:rsidRPr="00000000" w14:paraId="00000026">
      <w:pPr>
        <w:pBdr>
          <w:bottom w:color="000000" w:space="8" w:sz="0" w:val="none"/>
        </w:pBdr>
        <w:shd w:fill="ffffff" w:val="clear"/>
        <w:tabs>
          <w:tab w:val="left" w:leader="none" w:pos="699"/>
        </w:tabs>
        <w:spacing w:after="240" w:before="240" w:line="360" w:lineRule="auto"/>
        <w:jc w:val="both"/>
        <w:rPr>
          <w:sz w:val="24"/>
          <w:szCs w:val="24"/>
        </w:rPr>
      </w:pPr>
      <w:r w:rsidDel="00000000" w:rsidR="00000000" w:rsidRPr="00000000">
        <w:rPr>
          <w:sz w:val="24"/>
          <w:szCs w:val="24"/>
          <w:rtl w:val="0"/>
        </w:rPr>
        <w:t xml:space="preserve">A compostagem surge como uma prática eficaz para a incorporação de MO, promovendo a diversificação de microrganismos benéficos e a liberação gradual de nutrientes. Ademais, os fungos desempenham um papel central na decomposição de materiais orgânicos recalcitrantes, como a celulose, acelerando os processos de reciclagem no solo (Duan et al., 2021). No entanto, o uso de MO fresca pode trazer prejuízos devido à toxicidade de compostos orgânicos em altas relações carbono/nitrogênio (C/N) e à compactação excessiva provocada por partículas muito pequenas ou, ao contrário, pela lentidão na decomposição de partículas maiores (Valente et al., 2020).</w:t>
      </w:r>
    </w:p>
    <w:p w:rsidR="00000000" w:rsidDel="00000000" w:rsidP="00000000" w:rsidRDefault="00000000" w:rsidRPr="00000000" w14:paraId="00000027">
      <w:pPr>
        <w:pBdr>
          <w:bottom w:color="000000" w:space="8" w:sz="0" w:val="none"/>
        </w:pBdr>
        <w:shd w:fill="ffffff" w:val="clear"/>
        <w:tabs>
          <w:tab w:val="left" w:leader="none" w:pos="699"/>
        </w:tabs>
        <w:spacing w:after="240" w:before="240" w:line="360" w:lineRule="auto"/>
        <w:jc w:val="both"/>
        <w:rPr>
          <w:sz w:val="24"/>
          <w:szCs w:val="24"/>
        </w:rPr>
      </w:pPr>
      <w:r w:rsidDel="00000000" w:rsidR="00000000" w:rsidRPr="00000000">
        <w:rPr>
          <w:sz w:val="24"/>
          <w:szCs w:val="24"/>
          <w:rtl w:val="0"/>
        </w:rPr>
        <w:t xml:space="preserve">A produção de biochar é outra alternativa sustentável para o reaproveitamento de resíduos orgânicos. Este material, obtido por pirólise, é rico em carbono estável e nutrientes, apresentando propriedades que melhoram a retenção de água e a capacidade de troca catiônica do solo (Teixeira et al., 2022). As características do biochar, como estabilidade e composição, dependem da biomassa utilizada e das condições de produção, tornando-o uma solução versátil para solos tropicais (Zhao et al., 2021). O biochar produzido a partir do caroço de açaí, em especial, tem se mostrado eficaz no condicionamento do solo e no desenvolvimento de culturas agrícolas, como a pimenta-do-reino (</w:t>
      </w:r>
      <w:r w:rsidDel="00000000" w:rsidR="00000000" w:rsidRPr="00000000">
        <w:rPr>
          <w:i w:val="1"/>
          <w:sz w:val="24"/>
          <w:szCs w:val="24"/>
          <w:rtl w:val="0"/>
        </w:rPr>
        <w:t xml:space="preserve">Piper nigrum L.</w:t>
      </w:r>
      <w:r w:rsidDel="00000000" w:rsidR="00000000" w:rsidRPr="00000000">
        <w:rPr>
          <w:sz w:val="24"/>
          <w:szCs w:val="24"/>
          <w:rtl w:val="0"/>
        </w:rPr>
        <w:t xml:space="preserve">), além de ser uma alternativa sustentável para a gestão de resíduos da cadeia produtiva do açaí (Mendonça, 2019).</w:t>
      </w:r>
    </w:p>
    <w:p w:rsidR="00000000" w:rsidDel="00000000" w:rsidP="00000000" w:rsidRDefault="00000000" w:rsidRPr="00000000" w14:paraId="00000028">
      <w:pPr>
        <w:pBdr>
          <w:bottom w:color="000000" w:space="8" w:sz="0" w:val="none"/>
        </w:pBdr>
        <w:shd w:fill="ffffff" w:val="clear"/>
        <w:tabs>
          <w:tab w:val="left" w:leader="none" w:pos="699"/>
        </w:tabs>
        <w:spacing w:after="240" w:before="240" w:line="360" w:lineRule="auto"/>
        <w:jc w:val="both"/>
        <w:rPr>
          <w:sz w:val="24"/>
          <w:szCs w:val="24"/>
        </w:rPr>
      </w:pPr>
      <w:r w:rsidDel="00000000" w:rsidR="00000000" w:rsidRPr="00000000">
        <w:rPr>
          <w:sz w:val="24"/>
          <w:szCs w:val="24"/>
          <w:rtl w:val="0"/>
        </w:rPr>
        <w:t xml:space="preserve">Portanto, a integração da compostagem com a aplicação de biochar produzido a partir de resíduos de açaí representa uma solução inovadora para o manejo de solos amazônicos. Essa abordagem não só aumenta a disponibilidade de nutrientes e a atividade microbiana, como também contribui para mitigar os passivos ambientais, promovendo benefícios econômicos e ecológicos. Assim, o objetivo deste trabalho é investigar a eficiência do biocarvão produzido a partir de caroços de açaí, enriquecido ou não com fertilizantes, quando adicionado à compostagem, como estratégia para melhorar a qualidade do solo amazônico.</w:t>
      </w:r>
    </w:p>
    <w:p w:rsidR="00000000" w:rsidDel="00000000" w:rsidP="00000000" w:rsidRDefault="00000000" w:rsidRPr="00000000" w14:paraId="00000029">
      <w:pPr>
        <w:pBdr>
          <w:bottom w:color="000000" w:space="8" w:sz="0" w:val="none"/>
        </w:pBdr>
        <w:shd w:fill="ffffff" w:val="clear"/>
        <w:tabs>
          <w:tab w:val="left" w:leader="none" w:pos="699"/>
        </w:tabs>
        <w:spacing w:line="360" w:lineRule="auto"/>
        <w:jc w:val="both"/>
        <w:rPr>
          <w:sz w:val="24"/>
          <w:szCs w:val="24"/>
        </w:rPr>
      </w:pPr>
      <w:r w:rsidDel="00000000" w:rsidR="00000000" w:rsidRPr="00000000">
        <w:rPr>
          <w:rtl w:val="0"/>
        </w:rPr>
      </w:r>
    </w:p>
    <w:p w:rsidR="00000000" w:rsidDel="00000000" w:rsidP="00000000" w:rsidRDefault="00000000" w:rsidRPr="00000000" w14:paraId="0000002A">
      <w:pPr>
        <w:pBdr>
          <w:bottom w:color="000000" w:space="8" w:sz="0" w:val="none"/>
        </w:pBdr>
        <w:shd w:fill="ffffff" w:val="clear"/>
        <w:tabs>
          <w:tab w:val="left" w:leader="none" w:pos="699"/>
        </w:tabs>
        <w:spacing w:line="360" w:lineRule="auto"/>
        <w:jc w:val="both"/>
        <w:rPr>
          <w:color w:val="ff0000"/>
          <w:sz w:val="24"/>
          <w:szCs w:val="24"/>
        </w:rPr>
      </w:pPr>
      <w:r w:rsidDel="00000000" w:rsidR="00000000" w:rsidRPr="00000000">
        <w:rPr>
          <w:b w:val="1"/>
          <w:sz w:val="24"/>
          <w:szCs w:val="24"/>
          <w:rtl w:val="0"/>
        </w:rPr>
        <w:t xml:space="preserve">2. MATERIAL E </w:t>
      </w:r>
      <w:r w:rsidDel="00000000" w:rsidR="00000000" w:rsidRPr="00000000">
        <w:rPr>
          <w:b w:val="1"/>
          <w:sz w:val="24"/>
          <w:szCs w:val="24"/>
          <w:rtl w:val="0"/>
        </w:rPr>
        <w:t xml:space="preserve">MÉTODOS </w:t>
      </w:r>
      <w:r w:rsidDel="00000000" w:rsidR="00000000" w:rsidRPr="00000000">
        <w:rPr>
          <w:rtl w:val="0"/>
        </w:rPr>
      </w:r>
    </w:p>
    <w:p w:rsidR="00000000" w:rsidDel="00000000" w:rsidP="00000000" w:rsidRDefault="00000000" w:rsidRPr="00000000" w14:paraId="0000002B">
      <w:pPr>
        <w:widowControl w:val="1"/>
        <w:spacing w:line="360" w:lineRule="auto"/>
        <w:ind w:hanging="2"/>
        <w:jc w:val="both"/>
        <w:rPr>
          <w:sz w:val="24"/>
          <w:szCs w:val="24"/>
        </w:rPr>
      </w:pPr>
      <w:bookmarkStart w:colFirst="0" w:colLast="0" w:name="_heading=h.2et92p0" w:id="22"/>
      <w:bookmarkEnd w:id="22"/>
      <w:r w:rsidDel="00000000" w:rsidR="00000000" w:rsidRPr="00000000">
        <w:rPr>
          <w:sz w:val="24"/>
          <w:szCs w:val="24"/>
          <w:rtl w:val="0"/>
        </w:rPr>
        <w:t xml:space="preserve">O trabalho consistiu em 2 etapas: (1) produção de variados compostos enriquecidos com biochar, oriundos de caroços de açaí que serão coletados em feiras urbanas da região metropolitana de Belém (PA), local onde ocorre o processamento/venda de polpa; </w:t>
      </w:r>
    </w:p>
    <w:p w:rsidR="00000000" w:rsidDel="00000000" w:rsidP="00000000" w:rsidRDefault="00000000" w:rsidRPr="00000000" w14:paraId="0000002C">
      <w:pPr>
        <w:widowControl w:val="1"/>
        <w:spacing w:line="360" w:lineRule="auto"/>
        <w:ind w:hanging="2"/>
        <w:jc w:val="both"/>
        <w:rPr>
          <w:sz w:val="24"/>
          <w:szCs w:val="24"/>
        </w:rPr>
      </w:pPr>
      <w:bookmarkStart w:colFirst="0" w:colLast="0" w:name="_heading=h.tyjcwt" w:id="23"/>
      <w:bookmarkEnd w:id="23"/>
      <w:r w:rsidDel="00000000" w:rsidR="00000000" w:rsidRPr="00000000">
        <w:rPr>
          <w:sz w:val="24"/>
          <w:szCs w:val="24"/>
          <w:rtl w:val="0"/>
        </w:rPr>
        <w:t xml:space="preserve">Para a produção do biochar enriquecido, foram utilizados fertilizantes na proporção 1:1:1 de nitrogênio (ureia), fósforo (superfosfato triplo) e potássio (cloreto de potássio). A biomassa de açaí será lavada com água deionizada e seca em estufa a 50 ºC por 24 h e pirolisados em 2 temperaturas (400 e 700 °C) sob taxa de aquecimento de 3,3 °C (Dias et al., 2019). Em seguida, os biocarvões serão misturados ao fertilizante, na proporção 4:1 (biomassa:fertilizante) (Zhao et al., 2016). Os biochar serão identificados como: B400 (biochar não enriquecido à 400 °C); BF400 (biochar enriquecido à 400 °C); B700 (biochar não enriquecido à 700 °C); e BF700 (biochar  enriquecido à 700 °C). (2) Para a compostagem, cada tratamento consistiu em 12 L de biomassa triturada, misturados com 1% de cada biochar: T1 (biomassa); T2 (biomassa + B400); T3 (biomassa + BF400); T4 (biomassa + B700) e T5 (biomassa + BF700). No início e ao final da compostagem, foram quantificados: as frações de fósforo e as características espectroscópicas (UV-Vis) do composto (Melo et al. 2008; Carmo et al, 2012). Os resultados foram comparados por análise de variância e teste de Tukey (</w:t>
      </w:r>
      <w:r w:rsidDel="00000000" w:rsidR="00000000" w:rsidRPr="00000000">
        <w:rPr>
          <w:i w:val="1"/>
          <w:sz w:val="24"/>
          <w:szCs w:val="24"/>
          <w:rtl w:val="0"/>
        </w:rPr>
        <w:t xml:space="preserve">p</w:t>
      </w:r>
      <w:r w:rsidDel="00000000" w:rsidR="00000000" w:rsidRPr="00000000">
        <w:rPr>
          <w:sz w:val="24"/>
          <w:szCs w:val="24"/>
          <w:rtl w:val="0"/>
        </w:rPr>
        <w:t xml:space="preserve"> &lt; 0,05) e programa R usado para gerar matrizes de correlação multipla.</w:t>
      </w:r>
    </w:p>
    <w:p w:rsidR="00000000" w:rsidDel="00000000" w:rsidP="00000000" w:rsidRDefault="00000000" w:rsidRPr="00000000" w14:paraId="0000002D">
      <w:pPr>
        <w:widowControl w:val="1"/>
        <w:spacing w:after="240" w:line="360" w:lineRule="auto"/>
        <w:ind w:hanging="2"/>
        <w:jc w:val="both"/>
        <w:rPr>
          <w:sz w:val="24"/>
          <w:szCs w:val="24"/>
        </w:rPr>
      </w:pPr>
      <w:r w:rsidDel="00000000" w:rsidR="00000000" w:rsidRPr="00000000">
        <w:rPr>
          <w:rtl w:val="0"/>
        </w:rPr>
      </w:r>
    </w:p>
    <w:p w:rsidR="00000000" w:rsidDel="00000000" w:rsidP="00000000" w:rsidRDefault="00000000" w:rsidRPr="00000000" w14:paraId="0000002E">
      <w:pPr>
        <w:pBdr>
          <w:bottom w:color="000000" w:space="8" w:sz="0" w:val="none"/>
        </w:pBdr>
        <w:shd w:fill="ffffff" w:val="clear"/>
        <w:tabs>
          <w:tab w:val="left" w:leader="none" w:pos="2500"/>
        </w:tabs>
        <w:spacing w:line="360" w:lineRule="auto"/>
        <w:ind w:firstLine="700"/>
        <w:jc w:val="both"/>
        <w:rPr>
          <w:color w:val="ff0000"/>
          <w:sz w:val="24"/>
          <w:szCs w:val="24"/>
        </w:rPr>
      </w:pPr>
      <w:r w:rsidDel="00000000" w:rsidR="00000000" w:rsidRPr="00000000">
        <w:rPr>
          <w:b w:val="1"/>
          <w:sz w:val="24"/>
          <w:szCs w:val="24"/>
          <w:rtl w:val="0"/>
        </w:rPr>
        <w:t xml:space="preserve">3. RESULTADOS E </w:t>
      </w:r>
      <w:r w:rsidDel="00000000" w:rsidR="00000000" w:rsidRPr="00000000">
        <w:rPr>
          <w:b w:val="1"/>
          <w:sz w:val="24"/>
          <w:szCs w:val="24"/>
          <w:rtl w:val="0"/>
        </w:rPr>
        <w:t xml:space="preserve">DISCUSSÃO</w:t>
      </w:r>
      <w:r w:rsidDel="00000000" w:rsidR="00000000" w:rsidRPr="00000000">
        <w:rPr>
          <w:rtl w:val="0"/>
        </w:rPr>
      </w:r>
    </w:p>
    <w:p w:rsidR="00000000" w:rsidDel="00000000" w:rsidP="00000000" w:rsidRDefault="00000000" w:rsidRPr="00000000" w14:paraId="0000002F">
      <w:pPr>
        <w:widowControl w:val="1"/>
        <w:spacing w:after="240" w:before="240" w:line="360" w:lineRule="auto"/>
        <w:jc w:val="both"/>
        <w:rPr>
          <w:sz w:val="24"/>
          <w:szCs w:val="24"/>
        </w:rPr>
      </w:pPr>
      <w:r w:rsidDel="00000000" w:rsidR="00000000" w:rsidRPr="00000000">
        <w:rPr>
          <w:sz w:val="24"/>
          <w:szCs w:val="24"/>
          <w:rtl w:val="0"/>
        </w:rPr>
        <w:t xml:space="preserve">A adição de biochar  à compostagem influenciou significativamente todas as frações de fósforo (P) avaliadas (Tabela 1). No estudo de Zhou et al. (2019), os autores observaram que biocarvões produzidos em temperaturas mais baixas apresentaram menor capacidade de adsorção, impactando diretamente as frações de fósforo menos disponíveis, como o P-F3. Esses resultados estão alinhados com o observado no presente trabalho, em que o tratamento T3 (BF400) resultou nos maiores teores de P em todas as frações, exceto na fração P-F3, evidenciando a menor retenção desse fósforo adsorvido.</w:t>
      </w:r>
    </w:p>
    <w:p w:rsidR="00000000" w:rsidDel="00000000" w:rsidP="00000000" w:rsidRDefault="00000000" w:rsidRPr="00000000" w14:paraId="00000030">
      <w:pPr>
        <w:widowControl w:val="1"/>
        <w:spacing w:after="240" w:before="240" w:line="360" w:lineRule="auto"/>
        <w:jc w:val="both"/>
        <w:rPr>
          <w:sz w:val="24"/>
          <w:szCs w:val="24"/>
        </w:rPr>
      </w:pPr>
      <w:r w:rsidDel="00000000" w:rsidR="00000000" w:rsidRPr="00000000">
        <w:rPr>
          <w:sz w:val="24"/>
          <w:szCs w:val="24"/>
          <w:rtl w:val="0"/>
        </w:rPr>
        <w:t xml:space="preserve">Além disso, (Koymiyama et al. 2010) destacam que frações solúveis de fósforo, como o P-F1, são prontamente assimiláveis por microrganismos, o que favorece processos biogeoquímicos em compostagens. Nesse contexto, os tratamentos T3 (BF400) e T5 (BF700), que apresentaram os maiores teores de P-F1, podem potencializar a atividade microbiana no composto. (Lopes, 2014) corrobora essa interpretação ao afirmar que compostagens enriquecidas com biochar  de maior porosidade e área superficial, como os obtidos em temperaturas mais altas (700 °C), promovem maior disponibilização de nutrientes essenciais. Assim, a diferença entre os tratamentos T3 e T5 em relação ao P-F3 e ao P-F1 pode ser atribuída às propriedades físico-químicas dos biocarvões em função da temperatura de pirólise, reforçando a relevância de adequar as condições de produção para fins específicos na compostagem.</w:t>
      </w:r>
    </w:p>
    <w:p w:rsidR="00000000" w:rsidDel="00000000" w:rsidP="00000000" w:rsidRDefault="00000000" w:rsidRPr="00000000" w14:paraId="00000031">
      <w:pPr>
        <w:widowControl w:val="1"/>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32">
      <w:pPr>
        <w:widowControl w:val="1"/>
        <w:spacing w:line="360" w:lineRule="auto"/>
        <w:ind w:hanging="2"/>
        <w:jc w:val="both"/>
        <w:rPr/>
      </w:pPr>
      <w:r w:rsidDel="00000000" w:rsidR="00000000" w:rsidRPr="00000000">
        <w:rPr>
          <w:b w:val="1"/>
          <w:rtl w:val="0"/>
        </w:rPr>
        <w:t xml:space="preserve">Tabela 1</w:t>
      </w:r>
      <w:r w:rsidDel="00000000" w:rsidR="00000000" w:rsidRPr="00000000">
        <w:rPr>
          <w:b w:val="1"/>
          <w:sz w:val="24"/>
          <w:szCs w:val="24"/>
          <w:rtl w:val="0"/>
        </w:rPr>
        <w:t xml:space="preserve"> – </w:t>
      </w:r>
      <w:r w:rsidDel="00000000" w:rsidR="00000000" w:rsidRPr="00000000">
        <w:rPr>
          <w:rtl w:val="0"/>
        </w:rPr>
        <w:t xml:space="preserve">Propriedades dos materiais estudados após cinco dias de compostagem.</w:t>
      </w:r>
    </w:p>
    <w:p w:rsidR="00000000" w:rsidDel="00000000" w:rsidP="00000000" w:rsidRDefault="00000000" w:rsidRPr="00000000" w14:paraId="00000033">
      <w:pPr>
        <w:widowControl w:val="1"/>
        <w:spacing w:line="360" w:lineRule="auto"/>
        <w:ind w:hanging="2"/>
        <w:jc w:val="both"/>
        <w:rPr/>
      </w:pPr>
      <w:r w:rsidDel="00000000" w:rsidR="00000000" w:rsidRPr="00000000">
        <w:rPr>
          <w:rtl w:val="0"/>
        </w:rPr>
      </w:r>
    </w:p>
    <w:tbl>
      <w:tblPr>
        <w:tblStyle w:val="Table1"/>
        <w:tblW w:w="6582.0" w:type="dxa"/>
        <w:jc w:val="center"/>
        <w:tblLayout w:type="fixed"/>
        <w:tblLook w:val="0000"/>
      </w:tblPr>
      <w:tblGrid>
        <w:gridCol w:w="472"/>
        <w:gridCol w:w="916"/>
        <w:gridCol w:w="914"/>
        <w:gridCol w:w="816"/>
        <w:gridCol w:w="816"/>
        <w:gridCol w:w="816"/>
        <w:gridCol w:w="816"/>
        <w:gridCol w:w="1016"/>
        <w:tblGridChange w:id="0">
          <w:tblGrid>
            <w:gridCol w:w="472"/>
            <w:gridCol w:w="916"/>
            <w:gridCol w:w="914"/>
            <w:gridCol w:w="816"/>
            <w:gridCol w:w="816"/>
            <w:gridCol w:w="816"/>
            <w:gridCol w:w="816"/>
            <w:gridCol w:w="1016"/>
          </w:tblGrid>
        </w:tblGridChange>
      </w:tblGrid>
      <w:tr>
        <w:trPr>
          <w:cantSplit w:val="0"/>
          <w:trHeight w:val="263" w:hRule="atLeast"/>
          <w:tblHeader w:val="0"/>
        </w:trPr>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4">
            <w:pPr>
              <w:widowControl w:val="1"/>
              <w:spacing w:line="360" w:lineRule="auto"/>
              <w:ind w:hanging="2"/>
              <w:jc w:val="center"/>
              <w:rPr>
                <w:sz w:val="20"/>
                <w:szCs w:val="20"/>
              </w:rPr>
            </w:pPr>
            <w:r w:rsidDel="00000000" w:rsidR="00000000" w:rsidRPr="00000000">
              <w:rPr>
                <w:sz w:val="20"/>
                <w:szCs w:val="20"/>
                <w:rtl w:val="0"/>
              </w:rPr>
              <w:t xml:space="preserve">TR</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5">
            <w:pPr>
              <w:widowControl w:val="1"/>
              <w:spacing w:line="360" w:lineRule="auto"/>
              <w:ind w:hanging="2"/>
              <w:jc w:val="center"/>
              <w:rPr>
                <w:sz w:val="20"/>
                <w:szCs w:val="20"/>
              </w:rPr>
            </w:pPr>
            <w:r w:rsidDel="00000000" w:rsidR="00000000" w:rsidRPr="00000000">
              <w:rPr>
                <w:sz w:val="20"/>
                <w:szCs w:val="20"/>
                <w:rtl w:val="0"/>
              </w:rPr>
              <w:t xml:space="preserve">P-F1</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6">
            <w:pPr>
              <w:widowControl w:val="1"/>
              <w:spacing w:line="360" w:lineRule="auto"/>
              <w:ind w:hanging="2"/>
              <w:jc w:val="center"/>
              <w:rPr>
                <w:sz w:val="20"/>
                <w:szCs w:val="20"/>
              </w:rPr>
            </w:pPr>
            <w:r w:rsidDel="00000000" w:rsidR="00000000" w:rsidRPr="00000000">
              <w:rPr>
                <w:sz w:val="20"/>
                <w:szCs w:val="20"/>
                <w:rtl w:val="0"/>
              </w:rPr>
              <w:t xml:space="preserve">P-F2</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7">
            <w:pPr>
              <w:widowControl w:val="1"/>
              <w:spacing w:line="360" w:lineRule="auto"/>
              <w:ind w:hanging="2"/>
              <w:jc w:val="center"/>
              <w:rPr>
                <w:sz w:val="20"/>
                <w:szCs w:val="20"/>
              </w:rPr>
            </w:pPr>
            <w:r w:rsidDel="00000000" w:rsidR="00000000" w:rsidRPr="00000000">
              <w:rPr>
                <w:sz w:val="20"/>
                <w:szCs w:val="20"/>
                <w:rtl w:val="0"/>
              </w:rPr>
              <w:t xml:space="preserve">P-F3</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8">
            <w:pPr>
              <w:widowControl w:val="1"/>
              <w:spacing w:line="360" w:lineRule="auto"/>
              <w:ind w:hanging="2"/>
              <w:jc w:val="center"/>
              <w:rPr>
                <w:sz w:val="20"/>
                <w:szCs w:val="20"/>
              </w:rPr>
            </w:pPr>
            <w:r w:rsidDel="00000000" w:rsidR="00000000" w:rsidRPr="00000000">
              <w:rPr>
                <w:sz w:val="20"/>
                <w:szCs w:val="20"/>
                <w:rtl w:val="0"/>
              </w:rPr>
              <w:t xml:space="preserve">P-F4</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9">
            <w:pPr>
              <w:widowControl w:val="1"/>
              <w:spacing w:line="360" w:lineRule="auto"/>
              <w:ind w:hanging="2"/>
              <w:jc w:val="center"/>
              <w:rPr>
                <w:sz w:val="20"/>
                <w:szCs w:val="20"/>
              </w:rPr>
            </w:pPr>
            <w:r w:rsidDel="00000000" w:rsidR="00000000" w:rsidRPr="00000000">
              <w:rPr>
                <w:sz w:val="20"/>
                <w:szCs w:val="20"/>
                <w:rtl w:val="0"/>
              </w:rPr>
              <w:t xml:space="preserve">A254</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A">
            <w:pPr>
              <w:widowControl w:val="1"/>
              <w:spacing w:line="360" w:lineRule="auto"/>
              <w:ind w:hanging="2"/>
              <w:jc w:val="center"/>
              <w:rPr>
                <w:sz w:val="20"/>
                <w:szCs w:val="20"/>
              </w:rPr>
            </w:pPr>
            <w:r w:rsidDel="00000000" w:rsidR="00000000" w:rsidRPr="00000000">
              <w:rPr>
                <w:sz w:val="20"/>
                <w:szCs w:val="20"/>
                <w:rtl w:val="0"/>
              </w:rPr>
              <w:t xml:space="preserve">A280</w:t>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B">
            <w:pPr>
              <w:widowControl w:val="1"/>
              <w:spacing w:line="360" w:lineRule="auto"/>
              <w:ind w:hanging="2"/>
              <w:jc w:val="center"/>
              <w:rPr>
                <w:sz w:val="20"/>
                <w:szCs w:val="20"/>
              </w:rPr>
            </w:pPr>
            <w:r w:rsidDel="00000000" w:rsidR="00000000" w:rsidRPr="00000000">
              <w:rPr>
                <w:sz w:val="20"/>
                <w:szCs w:val="20"/>
                <w:rtl w:val="0"/>
              </w:rPr>
              <w:t xml:space="preserve">A250/365</w:t>
            </w:r>
          </w:p>
        </w:tc>
      </w:tr>
      <w:tr>
        <w:trPr>
          <w:cantSplit w:val="0"/>
          <w:trHeight w:val="263"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C">
            <w:pPr>
              <w:widowControl w:val="1"/>
              <w:spacing w:line="360" w:lineRule="auto"/>
              <w:ind w:hanging="2"/>
              <w:jc w:val="center"/>
              <w:rPr>
                <w:sz w:val="20"/>
                <w:szCs w:val="20"/>
              </w:rPr>
            </w:pPr>
            <w:r w:rsidDel="00000000" w:rsidR="00000000" w:rsidRPr="00000000">
              <w:rPr>
                <w:sz w:val="20"/>
                <w:szCs w:val="20"/>
                <w:rtl w:val="0"/>
              </w:rPr>
              <w:t xml:space="preserve">T1</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D">
            <w:pPr>
              <w:widowControl w:val="1"/>
              <w:spacing w:line="360" w:lineRule="auto"/>
              <w:ind w:hanging="2"/>
              <w:jc w:val="center"/>
              <w:rPr>
                <w:sz w:val="20"/>
                <w:szCs w:val="20"/>
              </w:rPr>
            </w:pPr>
            <w:r w:rsidDel="00000000" w:rsidR="00000000" w:rsidRPr="00000000">
              <w:rPr>
                <w:sz w:val="20"/>
                <w:szCs w:val="20"/>
                <w:rtl w:val="0"/>
              </w:rPr>
              <w:t xml:space="preserve">29,76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E">
            <w:pPr>
              <w:widowControl w:val="1"/>
              <w:spacing w:line="360" w:lineRule="auto"/>
              <w:ind w:hanging="2"/>
              <w:jc w:val="center"/>
              <w:rPr>
                <w:sz w:val="20"/>
                <w:szCs w:val="20"/>
              </w:rPr>
            </w:pPr>
            <w:r w:rsidDel="00000000" w:rsidR="00000000" w:rsidRPr="00000000">
              <w:rPr>
                <w:sz w:val="20"/>
                <w:szCs w:val="20"/>
                <w:rtl w:val="0"/>
              </w:rPr>
              <w:t xml:space="preserve">9,98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3F">
            <w:pPr>
              <w:widowControl w:val="1"/>
              <w:spacing w:line="360" w:lineRule="auto"/>
              <w:ind w:hanging="2"/>
              <w:jc w:val="center"/>
              <w:rPr>
                <w:sz w:val="20"/>
                <w:szCs w:val="20"/>
              </w:rPr>
            </w:pPr>
            <w:r w:rsidDel="00000000" w:rsidR="00000000" w:rsidRPr="00000000">
              <w:rPr>
                <w:sz w:val="20"/>
                <w:szCs w:val="20"/>
                <w:rtl w:val="0"/>
              </w:rPr>
              <w:t xml:space="preserve">3,81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0">
            <w:pPr>
              <w:widowControl w:val="1"/>
              <w:spacing w:line="360" w:lineRule="auto"/>
              <w:ind w:hanging="2"/>
              <w:jc w:val="center"/>
              <w:rPr>
                <w:sz w:val="20"/>
                <w:szCs w:val="20"/>
              </w:rPr>
            </w:pPr>
            <w:r w:rsidDel="00000000" w:rsidR="00000000" w:rsidRPr="00000000">
              <w:rPr>
                <w:sz w:val="20"/>
                <w:szCs w:val="20"/>
                <w:rtl w:val="0"/>
              </w:rPr>
              <w:t xml:space="preserve">1,73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1">
            <w:pPr>
              <w:widowControl w:val="1"/>
              <w:spacing w:line="360" w:lineRule="auto"/>
              <w:ind w:hanging="2"/>
              <w:jc w:val="center"/>
              <w:rPr>
                <w:sz w:val="20"/>
                <w:szCs w:val="20"/>
              </w:rPr>
            </w:pPr>
            <w:r w:rsidDel="00000000" w:rsidR="00000000" w:rsidRPr="00000000">
              <w:rPr>
                <w:b w:val="1"/>
                <w:sz w:val="20"/>
                <w:szCs w:val="20"/>
                <w:rtl w:val="0"/>
              </w:rPr>
              <w:t xml:space="preserve">1,76 </w:t>
            </w: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2">
            <w:pPr>
              <w:widowControl w:val="1"/>
              <w:spacing w:line="360" w:lineRule="auto"/>
              <w:ind w:hanging="2"/>
              <w:jc w:val="center"/>
              <w:rPr>
                <w:b w:val="1"/>
                <w:sz w:val="20"/>
                <w:szCs w:val="20"/>
              </w:rPr>
            </w:pPr>
            <w:r w:rsidDel="00000000" w:rsidR="00000000" w:rsidRPr="00000000">
              <w:rPr>
                <w:b w:val="1"/>
                <w:sz w:val="20"/>
                <w:szCs w:val="20"/>
                <w:rtl w:val="0"/>
              </w:rPr>
              <w:t xml:space="preserve">1,56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3">
            <w:pPr>
              <w:widowControl w:val="1"/>
              <w:spacing w:line="360" w:lineRule="auto"/>
              <w:ind w:hanging="2"/>
              <w:jc w:val="center"/>
              <w:rPr>
                <w:sz w:val="20"/>
                <w:szCs w:val="20"/>
              </w:rPr>
            </w:pPr>
            <w:r w:rsidDel="00000000" w:rsidR="00000000" w:rsidRPr="00000000">
              <w:rPr>
                <w:sz w:val="20"/>
                <w:szCs w:val="20"/>
                <w:rtl w:val="0"/>
              </w:rPr>
              <w:t xml:space="preserve">1,23 b</w:t>
            </w:r>
          </w:p>
        </w:tc>
      </w:tr>
      <w:tr>
        <w:trPr>
          <w:cantSplit w:val="0"/>
          <w:trHeight w:val="263"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4">
            <w:pPr>
              <w:widowControl w:val="1"/>
              <w:spacing w:line="360" w:lineRule="auto"/>
              <w:ind w:hanging="2"/>
              <w:jc w:val="center"/>
              <w:rPr>
                <w:sz w:val="20"/>
                <w:szCs w:val="20"/>
              </w:rPr>
            </w:pPr>
            <w:r w:rsidDel="00000000" w:rsidR="00000000" w:rsidRPr="00000000">
              <w:rPr>
                <w:sz w:val="20"/>
                <w:szCs w:val="20"/>
                <w:rtl w:val="0"/>
              </w:rPr>
              <w:t xml:space="preserve">T2</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5">
            <w:pPr>
              <w:widowControl w:val="1"/>
              <w:spacing w:line="360" w:lineRule="auto"/>
              <w:ind w:hanging="2"/>
              <w:jc w:val="center"/>
              <w:rPr>
                <w:sz w:val="20"/>
                <w:szCs w:val="20"/>
              </w:rPr>
            </w:pPr>
            <w:r w:rsidDel="00000000" w:rsidR="00000000" w:rsidRPr="00000000">
              <w:rPr>
                <w:sz w:val="20"/>
                <w:szCs w:val="20"/>
                <w:rtl w:val="0"/>
              </w:rPr>
              <w:t xml:space="preserve">24,53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6">
            <w:pPr>
              <w:widowControl w:val="1"/>
              <w:spacing w:line="360" w:lineRule="auto"/>
              <w:ind w:hanging="2"/>
              <w:jc w:val="center"/>
              <w:rPr>
                <w:sz w:val="20"/>
                <w:szCs w:val="20"/>
              </w:rPr>
            </w:pPr>
            <w:r w:rsidDel="00000000" w:rsidR="00000000" w:rsidRPr="00000000">
              <w:rPr>
                <w:sz w:val="20"/>
                <w:szCs w:val="20"/>
                <w:rtl w:val="0"/>
              </w:rPr>
              <w:t xml:space="preserve">5,14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7">
            <w:pPr>
              <w:widowControl w:val="1"/>
              <w:spacing w:line="360" w:lineRule="auto"/>
              <w:ind w:hanging="2"/>
              <w:jc w:val="center"/>
              <w:rPr>
                <w:sz w:val="20"/>
                <w:szCs w:val="20"/>
              </w:rPr>
            </w:pPr>
            <w:r w:rsidDel="00000000" w:rsidR="00000000" w:rsidRPr="00000000">
              <w:rPr>
                <w:sz w:val="20"/>
                <w:szCs w:val="20"/>
                <w:rtl w:val="0"/>
              </w:rPr>
              <w:t xml:space="preserve">2,11 d</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8">
            <w:pPr>
              <w:widowControl w:val="1"/>
              <w:spacing w:line="360" w:lineRule="auto"/>
              <w:ind w:hanging="2"/>
              <w:jc w:val="center"/>
              <w:rPr>
                <w:sz w:val="20"/>
                <w:szCs w:val="20"/>
              </w:rPr>
            </w:pPr>
            <w:r w:rsidDel="00000000" w:rsidR="00000000" w:rsidRPr="00000000">
              <w:rPr>
                <w:sz w:val="20"/>
                <w:szCs w:val="20"/>
                <w:rtl w:val="0"/>
              </w:rPr>
              <w:t xml:space="preserve">1,63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9">
            <w:pPr>
              <w:widowControl w:val="1"/>
              <w:spacing w:line="360" w:lineRule="auto"/>
              <w:ind w:hanging="2"/>
              <w:jc w:val="center"/>
              <w:rPr>
                <w:sz w:val="20"/>
                <w:szCs w:val="20"/>
              </w:rPr>
            </w:pPr>
            <w:r w:rsidDel="00000000" w:rsidR="00000000" w:rsidRPr="00000000">
              <w:rPr>
                <w:sz w:val="20"/>
                <w:szCs w:val="20"/>
                <w:rtl w:val="0"/>
              </w:rPr>
              <w:t xml:space="preserve">1,65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A">
            <w:pPr>
              <w:widowControl w:val="1"/>
              <w:spacing w:line="360" w:lineRule="auto"/>
              <w:ind w:hanging="2"/>
              <w:jc w:val="center"/>
              <w:rPr>
                <w:sz w:val="20"/>
                <w:szCs w:val="20"/>
              </w:rPr>
            </w:pPr>
            <w:r w:rsidDel="00000000" w:rsidR="00000000" w:rsidRPr="00000000">
              <w:rPr>
                <w:sz w:val="20"/>
                <w:szCs w:val="20"/>
                <w:rtl w:val="0"/>
              </w:rPr>
              <w:t xml:space="preserve">1,43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B">
            <w:pPr>
              <w:widowControl w:val="1"/>
              <w:spacing w:line="360" w:lineRule="auto"/>
              <w:ind w:hanging="2"/>
              <w:jc w:val="center"/>
              <w:rPr>
                <w:b w:val="1"/>
                <w:sz w:val="20"/>
                <w:szCs w:val="20"/>
              </w:rPr>
            </w:pPr>
            <w:r w:rsidDel="00000000" w:rsidR="00000000" w:rsidRPr="00000000">
              <w:rPr>
                <w:b w:val="1"/>
                <w:sz w:val="20"/>
                <w:szCs w:val="20"/>
                <w:rtl w:val="0"/>
              </w:rPr>
              <w:t xml:space="preserve">1,36 a</w:t>
            </w:r>
          </w:p>
        </w:tc>
      </w:tr>
      <w:tr>
        <w:trPr>
          <w:cantSplit w:val="0"/>
          <w:trHeight w:val="263"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C">
            <w:pPr>
              <w:widowControl w:val="1"/>
              <w:spacing w:line="360" w:lineRule="auto"/>
              <w:ind w:hanging="2"/>
              <w:jc w:val="center"/>
              <w:rPr>
                <w:b w:val="1"/>
                <w:sz w:val="20"/>
                <w:szCs w:val="20"/>
              </w:rPr>
            </w:pPr>
            <w:r w:rsidDel="00000000" w:rsidR="00000000" w:rsidRPr="00000000">
              <w:rPr>
                <w:b w:val="1"/>
                <w:sz w:val="20"/>
                <w:szCs w:val="20"/>
                <w:rtl w:val="0"/>
              </w:rPr>
              <w:t xml:space="preserve">T3</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D">
            <w:pPr>
              <w:widowControl w:val="1"/>
              <w:spacing w:line="360" w:lineRule="auto"/>
              <w:ind w:hanging="2"/>
              <w:jc w:val="center"/>
              <w:rPr>
                <w:b w:val="1"/>
                <w:sz w:val="20"/>
                <w:szCs w:val="20"/>
              </w:rPr>
            </w:pPr>
            <w:r w:rsidDel="00000000" w:rsidR="00000000" w:rsidRPr="00000000">
              <w:rPr>
                <w:b w:val="1"/>
                <w:sz w:val="20"/>
                <w:szCs w:val="20"/>
                <w:rtl w:val="0"/>
              </w:rPr>
              <w:t xml:space="preserve">40,56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E">
            <w:pPr>
              <w:widowControl w:val="1"/>
              <w:spacing w:line="360" w:lineRule="auto"/>
              <w:ind w:hanging="2"/>
              <w:jc w:val="center"/>
              <w:rPr>
                <w:b w:val="1"/>
                <w:sz w:val="20"/>
                <w:szCs w:val="20"/>
              </w:rPr>
            </w:pPr>
            <w:r w:rsidDel="00000000" w:rsidR="00000000" w:rsidRPr="00000000">
              <w:rPr>
                <w:b w:val="1"/>
                <w:sz w:val="20"/>
                <w:szCs w:val="20"/>
                <w:rtl w:val="0"/>
              </w:rPr>
              <w:t xml:space="preserve">9,31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4F">
            <w:pPr>
              <w:widowControl w:val="1"/>
              <w:spacing w:line="360" w:lineRule="auto"/>
              <w:ind w:hanging="2"/>
              <w:jc w:val="center"/>
              <w:rPr>
                <w:b w:val="1"/>
                <w:sz w:val="20"/>
                <w:szCs w:val="20"/>
              </w:rPr>
            </w:pPr>
            <w:r w:rsidDel="00000000" w:rsidR="00000000" w:rsidRPr="00000000">
              <w:rPr>
                <w:b w:val="1"/>
                <w:sz w:val="20"/>
                <w:szCs w:val="20"/>
                <w:rtl w:val="0"/>
              </w:rPr>
              <w:t xml:space="preserve">2,63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0">
            <w:pPr>
              <w:widowControl w:val="1"/>
              <w:spacing w:line="360" w:lineRule="auto"/>
              <w:ind w:hanging="2"/>
              <w:jc w:val="center"/>
              <w:rPr>
                <w:b w:val="1"/>
                <w:sz w:val="20"/>
                <w:szCs w:val="20"/>
              </w:rPr>
            </w:pPr>
            <w:r w:rsidDel="00000000" w:rsidR="00000000" w:rsidRPr="00000000">
              <w:rPr>
                <w:b w:val="1"/>
                <w:sz w:val="20"/>
                <w:szCs w:val="20"/>
                <w:rtl w:val="0"/>
              </w:rPr>
              <w:t xml:space="preserve">2,92 a</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1">
            <w:pPr>
              <w:widowControl w:val="1"/>
              <w:spacing w:line="360" w:lineRule="auto"/>
              <w:ind w:hanging="2"/>
              <w:jc w:val="center"/>
              <w:rPr>
                <w:sz w:val="20"/>
                <w:szCs w:val="20"/>
              </w:rPr>
            </w:pPr>
            <w:r w:rsidDel="00000000" w:rsidR="00000000" w:rsidRPr="00000000">
              <w:rPr>
                <w:sz w:val="20"/>
                <w:szCs w:val="20"/>
                <w:rtl w:val="0"/>
              </w:rPr>
              <w:t xml:space="preserve">1,45 d</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2">
            <w:pPr>
              <w:widowControl w:val="1"/>
              <w:spacing w:line="360" w:lineRule="auto"/>
              <w:ind w:hanging="2"/>
              <w:jc w:val="center"/>
              <w:rPr>
                <w:sz w:val="20"/>
                <w:szCs w:val="20"/>
              </w:rPr>
            </w:pPr>
            <w:r w:rsidDel="00000000" w:rsidR="00000000" w:rsidRPr="00000000">
              <w:rPr>
                <w:sz w:val="20"/>
                <w:szCs w:val="20"/>
                <w:rtl w:val="0"/>
              </w:rPr>
              <w:t xml:space="preserve">1,27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3">
            <w:pPr>
              <w:widowControl w:val="1"/>
              <w:spacing w:line="360" w:lineRule="auto"/>
              <w:ind w:hanging="2"/>
              <w:jc w:val="center"/>
              <w:rPr>
                <w:sz w:val="20"/>
                <w:szCs w:val="20"/>
              </w:rPr>
            </w:pPr>
            <w:r w:rsidDel="00000000" w:rsidR="00000000" w:rsidRPr="00000000">
              <w:rPr>
                <w:sz w:val="20"/>
                <w:szCs w:val="20"/>
                <w:rtl w:val="0"/>
              </w:rPr>
              <w:t xml:space="preserve">1,23 b</w:t>
            </w:r>
          </w:p>
        </w:tc>
      </w:tr>
      <w:tr>
        <w:trPr>
          <w:cantSplit w:val="0"/>
          <w:trHeight w:val="263" w:hRule="atLeast"/>
          <w:tblHeader w:val="0"/>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4">
            <w:pPr>
              <w:widowControl w:val="1"/>
              <w:spacing w:line="360" w:lineRule="auto"/>
              <w:ind w:hanging="2"/>
              <w:jc w:val="center"/>
              <w:rPr>
                <w:sz w:val="20"/>
                <w:szCs w:val="20"/>
              </w:rPr>
            </w:pPr>
            <w:r w:rsidDel="00000000" w:rsidR="00000000" w:rsidRPr="00000000">
              <w:rPr>
                <w:sz w:val="20"/>
                <w:szCs w:val="20"/>
                <w:rtl w:val="0"/>
              </w:rPr>
              <w:t xml:space="preserve">T4</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5">
            <w:pPr>
              <w:widowControl w:val="1"/>
              <w:spacing w:line="360" w:lineRule="auto"/>
              <w:ind w:hanging="2"/>
              <w:jc w:val="center"/>
              <w:rPr>
                <w:sz w:val="20"/>
                <w:szCs w:val="20"/>
              </w:rPr>
            </w:pPr>
            <w:r w:rsidDel="00000000" w:rsidR="00000000" w:rsidRPr="00000000">
              <w:rPr>
                <w:sz w:val="20"/>
                <w:szCs w:val="20"/>
                <w:rtl w:val="0"/>
              </w:rPr>
              <w:t xml:space="preserve">28,02 b</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6">
            <w:pPr>
              <w:widowControl w:val="1"/>
              <w:spacing w:line="360" w:lineRule="auto"/>
              <w:ind w:hanging="2"/>
              <w:jc w:val="center"/>
              <w:rPr>
                <w:sz w:val="20"/>
                <w:szCs w:val="20"/>
              </w:rPr>
            </w:pPr>
            <w:r w:rsidDel="00000000" w:rsidR="00000000" w:rsidRPr="00000000">
              <w:rPr>
                <w:sz w:val="20"/>
                <w:szCs w:val="20"/>
                <w:rtl w:val="0"/>
              </w:rPr>
              <w:t xml:space="preserve">5,54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7">
            <w:pPr>
              <w:widowControl w:val="1"/>
              <w:spacing w:line="360" w:lineRule="auto"/>
              <w:ind w:hanging="2"/>
              <w:jc w:val="center"/>
              <w:rPr>
                <w:sz w:val="20"/>
                <w:szCs w:val="20"/>
              </w:rPr>
            </w:pPr>
            <w:r w:rsidDel="00000000" w:rsidR="00000000" w:rsidRPr="00000000">
              <w:rPr>
                <w:sz w:val="20"/>
                <w:szCs w:val="20"/>
                <w:rtl w:val="0"/>
              </w:rPr>
              <w:t xml:space="preserve">1,82 e</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8">
            <w:pPr>
              <w:widowControl w:val="1"/>
              <w:spacing w:line="360" w:lineRule="auto"/>
              <w:ind w:hanging="2"/>
              <w:jc w:val="center"/>
              <w:rPr>
                <w:sz w:val="20"/>
                <w:szCs w:val="20"/>
              </w:rPr>
            </w:pPr>
            <w:r w:rsidDel="00000000" w:rsidR="00000000" w:rsidRPr="00000000">
              <w:rPr>
                <w:sz w:val="20"/>
                <w:szCs w:val="20"/>
                <w:rtl w:val="0"/>
              </w:rPr>
              <w:t xml:space="preserve">1,30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9">
            <w:pPr>
              <w:widowControl w:val="1"/>
              <w:spacing w:line="360" w:lineRule="auto"/>
              <w:ind w:hanging="2"/>
              <w:jc w:val="center"/>
              <w:rPr>
                <w:sz w:val="20"/>
                <w:szCs w:val="20"/>
              </w:rPr>
            </w:pPr>
            <w:r w:rsidDel="00000000" w:rsidR="00000000" w:rsidRPr="00000000">
              <w:rPr>
                <w:sz w:val="20"/>
                <w:szCs w:val="20"/>
                <w:rtl w:val="0"/>
              </w:rPr>
              <w:t xml:space="preserve">1,56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A">
            <w:pPr>
              <w:widowControl w:val="1"/>
              <w:spacing w:line="360" w:lineRule="auto"/>
              <w:ind w:hanging="2"/>
              <w:jc w:val="center"/>
              <w:rPr>
                <w:sz w:val="20"/>
                <w:szCs w:val="20"/>
              </w:rPr>
            </w:pPr>
            <w:r w:rsidDel="00000000" w:rsidR="00000000" w:rsidRPr="00000000">
              <w:rPr>
                <w:sz w:val="20"/>
                <w:szCs w:val="20"/>
                <w:rtl w:val="0"/>
              </w:rPr>
              <w:t xml:space="preserve">1,32 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5B">
            <w:pPr>
              <w:widowControl w:val="1"/>
              <w:spacing w:line="360" w:lineRule="auto"/>
              <w:ind w:hanging="2"/>
              <w:jc w:val="center"/>
              <w:rPr>
                <w:b w:val="1"/>
                <w:sz w:val="20"/>
                <w:szCs w:val="20"/>
              </w:rPr>
            </w:pPr>
            <w:r w:rsidDel="00000000" w:rsidR="00000000" w:rsidRPr="00000000">
              <w:rPr>
                <w:b w:val="1"/>
                <w:sz w:val="20"/>
                <w:szCs w:val="20"/>
                <w:rtl w:val="0"/>
              </w:rPr>
              <w:t xml:space="preserve">1,29 a</w:t>
            </w:r>
          </w:p>
        </w:tc>
      </w:tr>
      <w:tr>
        <w:trPr>
          <w:cantSplit w:val="0"/>
          <w:trHeight w:val="285" w:hRule="atLeast"/>
          <w:tblHeader w:val="0"/>
        </w:trPr>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5C">
            <w:pPr>
              <w:widowControl w:val="1"/>
              <w:spacing w:line="360" w:lineRule="auto"/>
              <w:ind w:hanging="2"/>
              <w:jc w:val="center"/>
              <w:rPr>
                <w:b w:val="1"/>
                <w:sz w:val="20"/>
                <w:szCs w:val="20"/>
              </w:rPr>
            </w:pPr>
            <w:r w:rsidDel="00000000" w:rsidR="00000000" w:rsidRPr="00000000">
              <w:rPr>
                <w:b w:val="1"/>
                <w:sz w:val="20"/>
                <w:szCs w:val="20"/>
                <w:rtl w:val="0"/>
              </w:rPr>
              <w:t xml:space="preserve">T5</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5D">
            <w:pPr>
              <w:widowControl w:val="1"/>
              <w:spacing w:line="360" w:lineRule="auto"/>
              <w:ind w:hanging="2"/>
              <w:jc w:val="center"/>
              <w:rPr>
                <w:b w:val="1"/>
                <w:sz w:val="20"/>
                <w:szCs w:val="20"/>
              </w:rPr>
            </w:pPr>
            <w:r w:rsidDel="00000000" w:rsidR="00000000" w:rsidRPr="00000000">
              <w:rPr>
                <w:b w:val="1"/>
                <w:sz w:val="20"/>
                <w:szCs w:val="20"/>
                <w:rtl w:val="0"/>
              </w:rPr>
              <w:t xml:space="preserve">38,61 a</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5E">
            <w:pPr>
              <w:widowControl w:val="1"/>
              <w:spacing w:line="360" w:lineRule="auto"/>
              <w:ind w:hanging="2"/>
              <w:jc w:val="center"/>
              <w:rPr>
                <w:sz w:val="20"/>
                <w:szCs w:val="20"/>
              </w:rPr>
            </w:pPr>
            <w:r w:rsidDel="00000000" w:rsidR="00000000" w:rsidRPr="00000000">
              <w:rPr>
                <w:sz w:val="20"/>
                <w:szCs w:val="20"/>
                <w:rtl w:val="0"/>
              </w:rPr>
              <w:t xml:space="preserve">7,81 b</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5F">
            <w:pPr>
              <w:widowControl w:val="1"/>
              <w:spacing w:line="360" w:lineRule="auto"/>
              <w:ind w:hanging="2"/>
              <w:jc w:val="center"/>
              <w:rPr>
                <w:sz w:val="20"/>
                <w:szCs w:val="20"/>
              </w:rPr>
            </w:pPr>
            <w:r w:rsidDel="00000000" w:rsidR="00000000" w:rsidRPr="00000000">
              <w:rPr>
                <w:sz w:val="20"/>
                <w:szCs w:val="20"/>
                <w:rtl w:val="0"/>
              </w:rPr>
              <w:t xml:space="preserve">2,39 c</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0">
            <w:pPr>
              <w:widowControl w:val="1"/>
              <w:spacing w:line="360" w:lineRule="auto"/>
              <w:ind w:hanging="2"/>
              <w:jc w:val="center"/>
              <w:rPr>
                <w:sz w:val="20"/>
                <w:szCs w:val="20"/>
              </w:rPr>
            </w:pPr>
            <w:r w:rsidDel="00000000" w:rsidR="00000000" w:rsidRPr="00000000">
              <w:rPr>
                <w:sz w:val="20"/>
                <w:szCs w:val="20"/>
                <w:rtl w:val="0"/>
              </w:rPr>
              <w:t xml:space="preserve">1,65 b</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1">
            <w:pPr>
              <w:widowControl w:val="1"/>
              <w:spacing w:line="360" w:lineRule="auto"/>
              <w:ind w:hanging="2"/>
              <w:jc w:val="center"/>
              <w:rPr>
                <w:sz w:val="20"/>
                <w:szCs w:val="20"/>
              </w:rPr>
            </w:pPr>
            <w:r w:rsidDel="00000000" w:rsidR="00000000" w:rsidRPr="00000000">
              <w:rPr>
                <w:sz w:val="20"/>
                <w:szCs w:val="20"/>
                <w:rtl w:val="0"/>
              </w:rPr>
              <w:t xml:space="preserve">1,07 d</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2">
            <w:pPr>
              <w:widowControl w:val="1"/>
              <w:spacing w:line="360" w:lineRule="auto"/>
              <w:ind w:hanging="2"/>
              <w:jc w:val="center"/>
              <w:rPr>
                <w:sz w:val="20"/>
                <w:szCs w:val="20"/>
              </w:rPr>
            </w:pPr>
            <w:r w:rsidDel="00000000" w:rsidR="00000000" w:rsidRPr="00000000">
              <w:rPr>
                <w:sz w:val="20"/>
                <w:szCs w:val="20"/>
                <w:rtl w:val="0"/>
              </w:rPr>
              <w:t xml:space="preserve">0,90 d</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3">
            <w:pPr>
              <w:widowControl w:val="1"/>
              <w:spacing w:line="360" w:lineRule="auto"/>
              <w:ind w:hanging="2"/>
              <w:jc w:val="center"/>
              <w:rPr>
                <w:sz w:val="20"/>
                <w:szCs w:val="20"/>
              </w:rPr>
            </w:pPr>
            <w:r w:rsidDel="00000000" w:rsidR="00000000" w:rsidRPr="00000000">
              <w:rPr>
                <w:sz w:val="20"/>
                <w:szCs w:val="20"/>
                <w:rtl w:val="0"/>
              </w:rPr>
              <w:t xml:space="preserve">1,15 c</w:t>
            </w:r>
          </w:p>
        </w:tc>
      </w:tr>
    </w:tbl>
    <w:p w:rsidR="00000000" w:rsidDel="00000000" w:rsidP="00000000" w:rsidRDefault="00000000" w:rsidRPr="00000000" w14:paraId="00000064">
      <w:pPr>
        <w:widowControl w:val="1"/>
        <w:spacing w:line="360" w:lineRule="auto"/>
        <w:ind w:hanging="2"/>
        <w:jc w:val="both"/>
        <w:rPr>
          <w:sz w:val="20"/>
          <w:szCs w:val="20"/>
        </w:rPr>
      </w:pPr>
      <w:r w:rsidDel="00000000" w:rsidR="00000000" w:rsidRPr="00000000">
        <w:rPr>
          <w:sz w:val="20"/>
          <w:szCs w:val="20"/>
          <w:rtl w:val="0"/>
        </w:rPr>
        <w:t xml:space="preserve">TR = tratamentos; P-F1 = fósforo solúvel; P-F2 = fósforo lábil; P-F3 = fósforo adsorvido; P-F4 = fósforo ligado aos minerais; A254 = absorbância nos espectros de UV-vis em 254 nm; A280 = absorbância no espectro de UV-vis a 280 nm; A250/365 = razão de absorção em 250/365 nm no espectro UV-vis. As letras indicam diferença estatisticamente significativa pelo teste de Tukey (</w:t>
      </w:r>
      <w:r w:rsidDel="00000000" w:rsidR="00000000" w:rsidRPr="00000000">
        <w:rPr>
          <w:i w:val="1"/>
          <w:sz w:val="20"/>
          <w:szCs w:val="20"/>
          <w:rtl w:val="0"/>
        </w:rPr>
        <w:t xml:space="preserve">p</w:t>
      </w:r>
      <w:r w:rsidDel="00000000" w:rsidR="00000000" w:rsidRPr="00000000">
        <w:rPr>
          <w:sz w:val="20"/>
          <w:szCs w:val="20"/>
          <w:rtl w:val="0"/>
        </w:rPr>
        <w:t xml:space="preserve"> &lt; 0,05).</w:t>
      </w:r>
    </w:p>
    <w:p w:rsidR="00000000" w:rsidDel="00000000" w:rsidP="00000000" w:rsidRDefault="00000000" w:rsidRPr="00000000" w14:paraId="00000065">
      <w:pPr>
        <w:widowControl w:val="1"/>
        <w:spacing w:line="360" w:lineRule="auto"/>
        <w:ind w:hanging="2"/>
        <w:jc w:val="both"/>
        <w:rPr>
          <w:sz w:val="20"/>
          <w:szCs w:val="20"/>
        </w:rPr>
      </w:pPr>
      <w:r w:rsidDel="00000000" w:rsidR="00000000" w:rsidRPr="00000000">
        <w:rPr>
          <w:sz w:val="20"/>
          <w:szCs w:val="20"/>
          <w:rtl w:val="0"/>
        </w:rPr>
        <w:t xml:space="preserve">Fonte: Autores,2024.</w:t>
      </w:r>
    </w:p>
    <w:p w:rsidR="00000000" w:rsidDel="00000000" w:rsidP="00000000" w:rsidRDefault="00000000" w:rsidRPr="00000000" w14:paraId="00000066">
      <w:pPr>
        <w:pBdr>
          <w:bottom w:color="000000" w:space="8" w:sz="0" w:val="none"/>
        </w:pBdr>
        <w:shd w:fill="ffffff" w:val="clear"/>
        <w:tabs>
          <w:tab w:val="left" w:leader="none" w:pos="2500"/>
        </w:tabs>
        <w:spacing w:line="360" w:lineRule="auto"/>
        <w:jc w:val="both"/>
        <w:rPr>
          <w:sz w:val="24"/>
          <w:szCs w:val="24"/>
        </w:rPr>
      </w:pPr>
      <w:r w:rsidDel="00000000" w:rsidR="00000000" w:rsidRPr="00000000">
        <w:rPr>
          <w:rtl w:val="0"/>
        </w:rPr>
      </w:r>
    </w:p>
    <w:p w:rsidR="00000000" w:rsidDel="00000000" w:rsidP="00000000" w:rsidRDefault="00000000" w:rsidRPr="00000000" w14:paraId="00000067">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Os maiores valores de </w:t>
      </w:r>
      <w:r w:rsidDel="00000000" w:rsidR="00000000" w:rsidRPr="00000000">
        <w:rPr>
          <w:sz w:val="24"/>
          <w:szCs w:val="24"/>
          <w:rtl w:val="0"/>
        </w:rPr>
        <w:t xml:space="preserve">aromatização (A254) e humificação </w:t>
      </w:r>
      <w:r w:rsidDel="00000000" w:rsidR="00000000" w:rsidRPr="00000000">
        <w:rPr>
          <w:sz w:val="24"/>
          <w:szCs w:val="24"/>
          <w:rtl w:val="0"/>
        </w:rPr>
        <w:t xml:space="preserve">(A280) foram observados no tratamento T1 (Tabela 1). A adição de todos os biochar em períodos curtos (5 dias) resultou na redução desses valores, confirmando o efeito negativo dos biochar  sobre a aromatização e humificação do composto (Yang et al., 2020). A relação A250/A365 apresentou maiores médias nos tratamentos T2 e T4, sugerindo que os biochar  estão contribuindo para uma melhoria na decomposição do composto (Abid et al., 2020).</w:t>
      </w:r>
    </w:p>
    <w:p w:rsidR="00000000" w:rsidDel="00000000" w:rsidP="00000000" w:rsidRDefault="00000000" w:rsidRPr="00000000" w14:paraId="00000068">
      <w:pPr>
        <w:pBdr>
          <w:bottom w:color="000000" w:space="8" w:sz="0" w:val="none"/>
        </w:pBdr>
        <w:shd w:fill="ffffff" w:val="clear"/>
        <w:tabs>
          <w:tab w:val="left" w:leader="none" w:pos="2500"/>
        </w:tabs>
        <w:spacing w:line="360" w:lineRule="auto"/>
        <w:ind w:firstLine="700"/>
        <w:jc w:val="center"/>
        <w:rPr/>
      </w:pPr>
      <w:r w:rsidDel="00000000" w:rsidR="00000000" w:rsidRPr="00000000">
        <w:rPr>
          <w:b w:val="1"/>
          <w:rtl w:val="0"/>
        </w:rPr>
        <w:t xml:space="preserve">Figura 1- </w:t>
      </w:r>
      <w:r w:rsidDel="00000000" w:rsidR="00000000" w:rsidRPr="00000000">
        <w:rPr>
          <w:rtl w:val="0"/>
        </w:rPr>
        <w:t xml:space="preserve">Correlações </w:t>
      </w:r>
      <w:r w:rsidDel="00000000" w:rsidR="00000000" w:rsidRPr="00000000">
        <w:rPr>
          <w:rtl w:val="0"/>
        </w:rPr>
        <w:t xml:space="preserve">entre as propriedades dos materiais estudados após cinco dias de compostagem.</w:t>
      </w:r>
    </w:p>
    <w:p w:rsidR="00000000" w:rsidDel="00000000" w:rsidP="00000000" w:rsidRDefault="00000000" w:rsidRPr="00000000" w14:paraId="00000069">
      <w:pPr>
        <w:widowControl w:val="1"/>
        <w:spacing w:line="360" w:lineRule="auto"/>
        <w:ind w:hanging="2"/>
        <w:jc w:val="center"/>
        <w:rPr/>
      </w:pPr>
      <w:r w:rsidDel="00000000" w:rsidR="00000000" w:rsidRPr="00000000">
        <w:rPr>
          <w:sz w:val="24"/>
          <w:szCs w:val="24"/>
        </w:rPr>
        <w:drawing>
          <wp:inline distB="0" distT="0" distL="0" distR="0">
            <wp:extent cx="2159790" cy="1730896"/>
            <wp:effectExtent b="0" l="0" r="0" t="0"/>
            <wp:docPr descr="C:\Users\YAN\Pictures\Inicio.jpeg" id="2023691327" name="image9.jpg"/>
            <a:graphic>
              <a:graphicData uri="http://schemas.openxmlformats.org/drawingml/2006/picture">
                <pic:pic>
                  <pic:nvPicPr>
                    <pic:cNvPr descr="C:\Users\YAN\Pictures\Inicio.jpeg" id="0" name="image9.jpg"/>
                    <pic:cNvPicPr preferRelativeResize="0"/>
                  </pic:nvPicPr>
                  <pic:blipFill>
                    <a:blip r:embed="rId8"/>
                    <a:srcRect b="0" l="0" r="0" t="0"/>
                    <a:stretch>
                      <a:fillRect/>
                    </a:stretch>
                  </pic:blipFill>
                  <pic:spPr>
                    <a:xfrm>
                      <a:off x="0" y="0"/>
                      <a:ext cx="2159790" cy="1730896"/>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1"/>
        <w:spacing w:line="360" w:lineRule="auto"/>
        <w:ind w:hanging="2"/>
        <w:jc w:val="both"/>
        <w:rPr>
          <w:sz w:val="20"/>
          <w:szCs w:val="20"/>
        </w:rPr>
      </w:pPr>
      <w:r w:rsidDel="00000000" w:rsidR="00000000" w:rsidRPr="00000000">
        <w:rPr>
          <w:sz w:val="20"/>
          <w:szCs w:val="20"/>
          <w:rtl w:val="0"/>
        </w:rPr>
        <w:t xml:space="preserve">As correlações significativas (p&lt; 0,05) são representadas por cores na figura; TR = tratamentos; P-F1 = fósforo solúvel; P-F2 = fósforo lábil; P-F3 = fósforo adsorvido; P-F4 = fósforo ligado aos minerais; A254 = absorbância nos espectros de UV-vis em 254 nm; A280 = absorbância no espectro de UV-vis a 280 nm; A250/365 = razão de absorção em 250/365 nm no espectro UV-vis.</w:t>
      </w:r>
    </w:p>
    <w:p w:rsidR="00000000" w:rsidDel="00000000" w:rsidP="00000000" w:rsidRDefault="00000000" w:rsidRPr="00000000" w14:paraId="0000006B">
      <w:pPr>
        <w:widowControl w:val="1"/>
        <w:spacing w:line="360" w:lineRule="auto"/>
        <w:ind w:hanging="2"/>
        <w:jc w:val="both"/>
        <w:rPr/>
      </w:pPr>
      <w:r w:rsidDel="00000000" w:rsidR="00000000" w:rsidRPr="00000000">
        <w:rPr>
          <w:rtl w:val="0"/>
        </w:rPr>
        <w:t xml:space="preserve">Fonte: Autores, 2024.</w:t>
      </w:r>
    </w:p>
    <w:p w:rsidR="00000000" w:rsidDel="00000000" w:rsidP="00000000" w:rsidRDefault="00000000" w:rsidRPr="00000000" w14:paraId="0000006C">
      <w:pPr>
        <w:widowControl w:val="1"/>
        <w:spacing w:after="240" w:before="240" w:line="360" w:lineRule="auto"/>
        <w:jc w:val="both"/>
        <w:rPr>
          <w:sz w:val="24"/>
          <w:szCs w:val="24"/>
        </w:rPr>
      </w:pPr>
      <w:r w:rsidDel="00000000" w:rsidR="00000000" w:rsidRPr="00000000">
        <w:rPr>
          <w:sz w:val="24"/>
          <w:szCs w:val="24"/>
          <w:rtl w:val="0"/>
        </w:rPr>
        <w:t xml:space="preserve">Após cinco dias de compostagem, observou-se uma correlação significativa entre as frações de fósforo (P), reflexo das intensas transformações microbiológicas decorrentes da decomposição inicial da matéria orgânica. (Abid et al. 2020) relataram um comportamento semelhante, no qual as atividades microbianas nos estágios iniciais da compostagem resultaram em redistribuições rápidas das frações de P. Além disso, as características espectroscópicas (A254 e A280) mostraram correlação positiva entre si e negativa com o P solúvel, sugerindo que o fósforo disponível foi prontamente utilizado como fonte de energia pelos microrganismos, facilitando a mineralização e a aromatização do composto, conforme descrito por (Yang et al. 2020). Esses achados concordam com os resultados deste estudo, que destacam a importância do fósforo como um elemento-chave nos estágios iniciais da compostagem.</w:t>
      </w:r>
    </w:p>
    <w:p w:rsidR="00000000" w:rsidDel="00000000" w:rsidP="00000000" w:rsidRDefault="00000000" w:rsidRPr="00000000" w14:paraId="0000006D">
      <w:pPr>
        <w:widowControl w:val="1"/>
        <w:spacing w:after="240" w:before="240" w:line="360" w:lineRule="auto"/>
        <w:jc w:val="both"/>
        <w:rPr>
          <w:sz w:val="24"/>
          <w:szCs w:val="24"/>
        </w:rPr>
      </w:pPr>
      <w:r w:rsidDel="00000000" w:rsidR="00000000" w:rsidRPr="00000000">
        <w:rPr>
          <w:sz w:val="24"/>
          <w:szCs w:val="24"/>
          <w:rtl w:val="0"/>
        </w:rPr>
        <w:t xml:space="preserve">Após 180 dias, ocorreram mudanças substanciais nas características dos compostos, com reduções nos teores de P em todas as frações em comparação ao 5º dia (Tabela 2).( Lopes, 2014) também observou diminuição nas frações disponíveis de fósforo ao longo do processo de compostagem, associando esse comportamento à imobilização microbiana. (Haouas et al. 2021) reforçam que, em estágios avançados da compostagem, a maior estabilização da matéria orgânica pode levar à incorporação de fósforo nos tecidos microbianos e em formas orgânicas menos disponíveis. De maneira similar, os resultados deste trabalho indicam que o decréscimo no fósforo disponível pode estar relacionado à maior atividade microbiana e à formação de compostos mais estáveis, evidenciando a influência das características do material de partida e do tipo de tratamento no comportamento das frações de fósforo durante a compostagem.</w:t>
      </w:r>
    </w:p>
    <w:p w:rsidR="00000000" w:rsidDel="00000000" w:rsidP="00000000" w:rsidRDefault="00000000" w:rsidRPr="00000000" w14:paraId="0000006E">
      <w:pPr>
        <w:widowControl w:val="1"/>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6F">
      <w:pPr>
        <w:widowControl w:val="1"/>
        <w:spacing w:line="360" w:lineRule="auto"/>
        <w:ind w:hanging="2"/>
        <w:jc w:val="both"/>
        <w:rPr/>
      </w:pPr>
      <w:r w:rsidDel="00000000" w:rsidR="00000000" w:rsidRPr="00000000">
        <w:rPr>
          <w:b w:val="1"/>
          <w:rtl w:val="0"/>
        </w:rPr>
        <w:t xml:space="preserve">Tabela 2 – </w:t>
      </w:r>
      <w:r w:rsidDel="00000000" w:rsidR="00000000" w:rsidRPr="00000000">
        <w:rPr>
          <w:rtl w:val="0"/>
        </w:rPr>
        <w:t xml:space="preserve">Propriedades dos materiais estudados após cento e oitenta dias de compostagem.</w:t>
      </w:r>
    </w:p>
    <w:p w:rsidR="00000000" w:rsidDel="00000000" w:rsidP="00000000" w:rsidRDefault="00000000" w:rsidRPr="00000000" w14:paraId="00000070">
      <w:pPr>
        <w:widowControl w:val="1"/>
        <w:spacing w:line="360" w:lineRule="auto"/>
        <w:ind w:hanging="2"/>
        <w:jc w:val="both"/>
        <w:rPr/>
      </w:pPr>
      <w:r w:rsidDel="00000000" w:rsidR="00000000" w:rsidRPr="00000000">
        <w:rPr>
          <w:rtl w:val="0"/>
        </w:rPr>
      </w:r>
    </w:p>
    <w:sdt>
      <w:sdtPr>
        <w:lock w:val="contentLocked"/>
        <w:tag w:val="goog_rdk_0"/>
      </w:sdtPr>
      <w:sdtContent>
        <w:tbl>
          <w:tblPr>
            <w:tblStyle w:val="Table2"/>
            <w:tblW w:w="6242.0" w:type="dxa"/>
            <w:jc w:val="center"/>
            <w:tblLayout w:type="fixed"/>
            <w:tblLook w:val="0400"/>
          </w:tblPr>
          <w:tblGrid>
            <w:gridCol w:w="426"/>
            <w:gridCol w:w="752"/>
            <w:gridCol w:w="826"/>
            <w:gridCol w:w="835"/>
            <w:gridCol w:w="820"/>
            <w:gridCol w:w="755"/>
            <w:gridCol w:w="700"/>
            <w:gridCol w:w="131"/>
            <w:gridCol w:w="866"/>
            <w:gridCol w:w="131"/>
            <w:tblGridChange w:id="0">
              <w:tblGrid>
                <w:gridCol w:w="426"/>
                <w:gridCol w:w="752"/>
                <w:gridCol w:w="826"/>
                <w:gridCol w:w="835"/>
                <w:gridCol w:w="820"/>
                <w:gridCol w:w="755"/>
                <w:gridCol w:w="700"/>
                <w:gridCol w:w="131"/>
                <w:gridCol w:w="866"/>
                <w:gridCol w:w="131"/>
              </w:tblGrid>
            </w:tblGridChange>
          </w:tblGrid>
          <w:tr>
            <w:trPr>
              <w:cantSplit w:val="0"/>
              <w:trHeight w:val="315" w:hRule="atLeast"/>
              <w:tblHeader w:val="0"/>
            </w:trPr>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1">
                <w:pPr>
                  <w:widowControl w:val="1"/>
                  <w:spacing w:line="360" w:lineRule="auto"/>
                  <w:jc w:val="center"/>
                  <w:rPr>
                    <w:sz w:val="20"/>
                    <w:szCs w:val="20"/>
                  </w:rPr>
                </w:pPr>
                <w:r w:rsidDel="00000000" w:rsidR="00000000" w:rsidRPr="00000000">
                  <w:rPr>
                    <w:sz w:val="20"/>
                    <w:szCs w:val="20"/>
                    <w:rtl w:val="0"/>
                  </w:rPr>
                  <w:t xml:space="preserve">TR</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2">
                <w:pPr>
                  <w:widowControl w:val="1"/>
                  <w:spacing w:line="360" w:lineRule="auto"/>
                  <w:jc w:val="center"/>
                  <w:rPr>
                    <w:sz w:val="20"/>
                    <w:szCs w:val="20"/>
                  </w:rPr>
                </w:pPr>
                <w:r w:rsidDel="00000000" w:rsidR="00000000" w:rsidRPr="00000000">
                  <w:rPr>
                    <w:sz w:val="20"/>
                    <w:szCs w:val="20"/>
                    <w:rtl w:val="0"/>
                  </w:rPr>
                  <w:t xml:space="preserve">F1°</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3">
                <w:pPr>
                  <w:widowControl w:val="1"/>
                  <w:spacing w:line="360" w:lineRule="auto"/>
                  <w:jc w:val="center"/>
                  <w:rPr>
                    <w:sz w:val="20"/>
                    <w:szCs w:val="20"/>
                  </w:rPr>
                </w:pPr>
                <w:r w:rsidDel="00000000" w:rsidR="00000000" w:rsidRPr="00000000">
                  <w:rPr>
                    <w:sz w:val="20"/>
                    <w:szCs w:val="20"/>
                    <w:rtl w:val="0"/>
                  </w:rPr>
                  <w:t xml:space="preserve">F2°</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4">
                <w:pPr>
                  <w:widowControl w:val="1"/>
                  <w:spacing w:line="360" w:lineRule="auto"/>
                  <w:jc w:val="center"/>
                  <w:rPr>
                    <w:sz w:val="20"/>
                    <w:szCs w:val="20"/>
                  </w:rPr>
                </w:pPr>
                <w:r w:rsidDel="00000000" w:rsidR="00000000" w:rsidRPr="00000000">
                  <w:rPr>
                    <w:sz w:val="20"/>
                    <w:szCs w:val="20"/>
                    <w:rtl w:val="0"/>
                  </w:rPr>
                  <w:t xml:space="preserve">F3°</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5">
                <w:pPr>
                  <w:widowControl w:val="1"/>
                  <w:spacing w:line="360" w:lineRule="auto"/>
                  <w:jc w:val="center"/>
                  <w:rPr>
                    <w:sz w:val="20"/>
                    <w:szCs w:val="20"/>
                  </w:rPr>
                </w:pPr>
                <w:r w:rsidDel="00000000" w:rsidR="00000000" w:rsidRPr="00000000">
                  <w:rPr>
                    <w:sz w:val="20"/>
                    <w:szCs w:val="20"/>
                    <w:rtl w:val="0"/>
                  </w:rPr>
                  <w:t xml:space="preserve">F4°</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6">
                <w:pPr>
                  <w:widowControl w:val="1"/>
                  <w:spacing w:line="360" w:lineRule="auto"/>
                  <w:jc w:val="center"/>
                  <w:rPr>
                    <w:sz w:val="20"/>
                    <w:szCs w:val="20"/>
                  </w:rPr>
                </w:pPr>
                <w:r w:rsidDel="00000000" w:rsidR="00000000" w:rsidRPr="00000000">
                  <w:rPr>
                    <w:sz w:val="20"/>
                    <w:szCs w:val="20"/>
                    <w:rtl w:val="0"/>
                  </w:rPr>
                  <w:t xml:space="preserve">A254</w:t>
                </w:r>
              </w:p>
            </w:tc>
            <w:tc>
              <w:tcPr>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7">
                <w:pPr>
                  <w:widowControl w:val="1"/>
                  <w:spacing w:line="360" w:lineRule="auto"/>
                  <w:jc w:val="center"/>
                  <w:rPr>
                    <w:sz w:val="20"/>
                    <w:szCs w:val="20"/>
                  </w:rPr>
                </w:pPr>
                <w:r w:rsidDel="00000000" w:rsidR="00000000" w:rsidRPr="00000000">
                  <w:rPr>
                    <w:sz w:val="20"/>
                    <w:szCs w:val="20"/>
                    <w:rtl w:val="0"/>
                  </w:rPr>
                  <w:t xml:space="preserve">A280</w:t>
                </w:r>
              </w:p>
            </w:tc>
            <w:tc>
              <w:tcPr>
                <w:gridSpan w:val="2"/>
                <w:tcBorders>
                  <w:top w:color="000000" w:space="0" w:sz="4" w:val="single"/>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78">
                <w:pPr>
                  <w:widowControl w:val="1"/>
                  <w:spacing w:line="360" w:lineRule="auto"/>
                  <w:jc w:val="center"/>
                  <w:rPr>
                    <w:sz w:val="20"/>
                    <w:szCs w:val="20"/>
                  </w:rPr>
                </w:pPr>
                <w:r w:rsidDel="00000000" w:rsidR="00000000" w:rsidRPr="00000000">
                  <w:rPr>
                    <w:sz w:val="20"/>
                    <w:szCs w:val="20"/>
                    <w:rtl w:val="0"/>
                  </w:rPr>
                  <w:t xml:space="preserve">A250/365</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A">
                <w:pPr>
                  <w:widowControl w:val="1"/>
                  <w:spacing w:line="360" w:lineRule="auto"/>
                  <w:jc w:val="center"/>
                  <w:rPr>
                    <w:sz w:val="20"/>
                    <w:szCs w:val="20"/>
                  </w:rPr>
                </w:pPr>
                <w:r w:rsidDel="00000000" w:rsidR="00000000" w:rsidRPr="00000000">
                  <w:rPr>
                    <w:sz w:val="20"/>
                    <w:szCs w:val="20"/>
                    <w:rtl w:val="0"/>
                  </w:rPr>
                  <w:t xml:space="preserve">T1</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B">
                <w:pPr>
                  <w:widowControl w:val="1"/>
                  <w:spacing w:line="360" w:lineRule="auto"/>
                  <w:jc w:val="center"/>
                  <w:rPr>
                    <w:sz w:val="20"/>
                    <w:szCs w:val="20"/>
                  </w:rPr>
                </w:pPr>
                <w:r w:rsidDel="00000000" w:rsidR="00000000" w:rsidRPr="00000000">
                  <w:rPr>
                    <w:sz w:val="20"/>
                    <w:szCs w:val="20"/>
                    <w:rtl w:val="0"/>
                  </w:rPr>
                  <w:t xml:space="preserve">20.42b</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C">
                <w:pPr>
                  <w:widowControl w:val="1"/>
                  <w:spacing w:line="360" w:lineRule="auto"/>
                  <w:jc w:val="center"/>
                  <w:rPr>
                    <w:sz w:val="20"/>
                    <w:szCs w:val="20"/>
                  </w:rPr>
                </w:pPr>
                <w:r w:rsidDel="00000000" w:rsidR="00000000" w:rsidRPr="00000000">
                  <w:rPr>
                    <w:sz w:val="20"/>
                    <w:szCs w:val="20"/>
                    <w:rtl w:val="0"/>
                  </w:rPr>
                  <w:t xml:space="preserve">5.58a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D">
                <w:pPr>
                  <w:widowControl w:val="1"/>
                  <w:spacing w:line="360" w:lineRule="auto"/>
                  <w:jc w:val="center"/>
                  <w:rPr>
                    <w:sz w:val="20"/>
                    <w:szCs w:val="20"/>
                  </w:rPr>
                </w:pPr>
                <w:r w:rsidDel="00000000" w:rsidR="00000000" w:rsidRPr="00000000">
                  <w:rPr>
                    <w:sz w:val="20"/>
                    <w:szCs w:val="20"/>
                    <w:rtl w:val="0"/>
                  </w:rPr>
                  <w:t xml:space="preserve">2.70a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E">
                <w:pPr>
                  <w:widowControl w:val="1"/>
                  <w:spacing w:line="360" w:lineRule="auto"/>
                  <w:jc w:val="center"/>
                  <w:rPr>
                    <w:sz w:val="20"/>
                    <w:szCs w:val="20"/>
                  </w:rPr>
                </w:pPr>
                <w:r w:rsidDel="00000000" w:rsidR="00000000" w:rsidRPr="00000000">
                  <w:rPr>
                    <w:sz w:val="20"/>
                    <w:szCs w:val="20"/>
                    <w:rtl w:val="0"/>
                  </w:rPr>
                  <w:t xml:space="preserve">0.71a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7F">
                <w:pPr>
                  <w:widowControl w:val="1"/>
                  <w:spacing w:line="360" w:lineRule="auto"/>
                  <w:jc w:val="center"/>
                  <w:rPr>
                    <w:sz w:val="20"/>
                    <w:szCs w:val="20"/>
                  </w:rPr>
                </w:pPr>
                <w:r w:rsidDel="00000000" w:rsidR="00000000" w:rsidRPr="00000000">
                  <w:rPr>
                    <w:sz w:val="20"/>
                    <w:szCs w:val="20"/>
                    <w:rtl w:val="0"/>
                  </w:rPr>
                  <w:t xml:space="preserve">0.85b</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0">
                <w:pPr>
                  <w:widowControl w:val="1"/>
                  <w:spacing w:line="360" w:lineRule="auto"/>
                  <w:jc w:val="center"/>
                  <w:rPr>
                    <w:sz w:val="20"/>
                    <w:szCs w:val="20"/>
                  </w:rPr>
                </w:pPr>
                <w:r w:rsidDel="00000000" w:rsidR="00000000" w:rsidRPr="00000000">
                  <w:rPr>
                    <w:sz w:val="20"/>
                    <w:szCs w:val="20"/>
                    <w:rtl w:val="0"/>
                  </w:rPr>
                  <w:t xml:space="preserve">0.70b</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2">
                <w:pPr>
                  <w:widowControl w:val="1"/>
                  <w:spacing w:line="360" w:lineRule="auto"/>
                  <w:ind w:right="32"/>
                  <w:jc w:val="center"/>
                  <w:rPr>
                    <w:sz w:val="20"/>
                    <w:szCs w:val="20"/>
                  </w:rPr>
                </w:pPr>
                <w:r w:rsidDel="00000000" w:rsidR="00000000" w:rsidRPr="00000000">
                  <w:rPr>
                    <w:sz w:val="20"/>
                    <w:szCs w:val="20"/>
                    <w:rtl w:val="0"/>
                  </w:rPr>
                  <w:t xml:space="preserve">1.87c</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4">
                <w:pPr>
                  <w:widowControl w:val="1"/>
                  <w:spacing w:line="360" w:lineRule="auto"/>
                  <w:jc w:val="center"/>
                  <w:rPr>
                    <w:sz w:val="20"/>
                    <w:szCs w:val="20"/>
                  </w:rPr>
                </w:pPr>
                <w:r w:rsidDel="00000000" w:rsidR="00000000" w:rsidRPr="00000000">
                  <w:rPr>
                    <w:sz w:val="20"/>
                    <w:szCs w:val="20"/>
                    <w:rtl w:val="0"/>
                  </w:rPr>
                  <w:t xml:space="preserve">T2</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5">
                <w:pPr>
                  <w:widowControl w:val="1"/>
                  <w:spacing w:line="360" w:lineRule="auto"/>
                  <w:jc w:val="center"/>
                  <w:rPr>
                    <w:sz w:val="20"/>
                    <w:szCs w:val="20"/>
                  </w:rPr>
                </w:pPr>
                <w:r w:rsidDel="00000000" w:rsidR="00000000" w:rsidRPr="00000000">
                  <w:rPr>
                    <w:sz w:val="20"/>
                    <w:szCs w:val="20"/>
                    <w:rtl w:val="0"/>
                  </w:rPr>
                  <w:t xml:space="preserve">19.93b</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6">
                <w:pPr>
                  <w:widowControl w:val="1"/>
                  <w:spacing w:line="360" w:lineRule="auto"/>
                  <w:jc w:val="center"/>
                  <w:rPr>
                    <w:sz w:val="20"/>
                    <w:szCs w:val="20"/>
                  </w:rPr>
                </w:pPr>
                <w:r w:rsidDel="00000000" w:rsidR="00000000" w:rsidRPr="00000000">
                  <w:rPr>
                    <w:sz w:val="20"/>
                    <w:szCs w:val="20"/>
                    <w:rtl w:val="0"/>
                  </w:rPr>
                  <w:t xml:space="preserve">4.19a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7">
                <w:pPr>
                  <w:widowControl w:val="1"/>
                  <w:spacing w:line="360" w:lineRule="auto"/>
                  <w:jc w:val="center"/>
                  <w:rPr>
                    <w:sz w:val="20"/>
                    <w:szCs w:val="20"/>
                  </w:rPr>
                </w:pPr>
                <w:r w:rsidDel="00000000" w:rsidR="00000000" w:rsidRPr="00000000">
                  <w:rPr>
                    <w:sz w:val="20"/>
                    <w:szCs w:val="20"/>
                    <w:rtl w:val="0"/>
                  </w:rPr>
                  <w:t xml:space="preserve">2.17b</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8">
                <w:pPr>
                  <w:widowControl w:val="1"/>
                  <w:spacing w:line="360" w:lineRule="auto"/>
                  <w:jc w:val="center"/>
                  <w:rPr>
                    <w:sz w:val="20"/>
                    <w:szCs w:val="20"/>
                  </w:rPr>
                </w:pPr>
                <w:r w:rsidDel="00000000" w:rsidR="00000000" w:rsidRPr="00000000">
                  <w:rPr>
                    <w:sz w:val="20"/>
                    <w:szCs w:val="20"/>
                    <w:rtl w:val="0"/>
                  </w:rPr>
                  <w:t xml:space="preserve">0.55b</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9">
                <w:pPr>
                  <w:widowControl w:val="1"/>
                  <w:spacing w:line="360" w:lineRule="auto"/>
                  <w:jc w:val="center"/>
                  <w:rPr>
                    <w:sz w:val="20"/>
                    <w:szCs w:val="20"/>
                  </w:rPr>
                </w:pPr>
                <w:r w:rsidDel="00000000" w:rsidR="00000000" w:rsidRPr="00000000">
                  <w:rPr>
                    <w:sz w:val="20"/>
                    <w:szCs w:val="20"/>
                    <w:rtl w:val="0"/>
                  </w:rPr>
                  <w:t xml:space="preserve">1.13a</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A">
                <w:pPr>
                  <w:widowControl w:val="1"/>
                  <w:spacing w:line="360" w:lineRule="auto"/>
                  <w:jc w:val="center"/>
                  <w:rPr>
                    <w:sz w:val="20"/>
                    <w:szCs w:val="20"/>
                  </w:rPr>
                </w:pPr>
                <w:r w:rsidDel="00000000" w:rsidR="00000000" w:rsidRPr="00000000">
                  <w:rPr>
                    <w:sz w:val="20"/>
                    <w:szCs w:val="20"/>
                    <w:rtl w:val="0"/>
                  </w:rPr>
                  <w:t xml:space="preserve">0.83a</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C">
                <w:pPr>
                  <w:widowControl w:val="1"/>
                  <w:spacing w:line="360" w:lineRule="auto"/>
                  <w:ind w:right="32"/>
                  <w:jc w:val="center"/>
                  <w:rPr>
                    <w:sz w:val="20"/>
                    <w:szCs w:val="20"/>
                  </w:rPr>
                </w:pPr>
                <w:r w:rsidDel="00000000" w:rsidR="00000000" w:rsidRPr="00000000">
                  <w:rPr>
                    <w:sz w:val="20"/>
                    <w:szCs w:val="20"/>
                    <w:rtl w:val="0"/>
                  </w:rPr>
                  <w:t xml:space="preserve">2.11b</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E">
                <w:pPr>
                  <w:widowControl w:val="1"/>
                  <w:spacing w:line="360" w:lineRule="auto"/>
                  <w:jc w:val="center"/>
                  <w:rPr>
                    <w:sz w:val="20"/>
                    <w:szCs w:val="20"/>
                  </w:rPr>
                </w:pPr>
                <w:r w:rsidDel="00000000" w:rsidR="00000000" w:rsidRPr="00000000">
                  <w:rPr>
                    <w:sz w:val="20"/>
                    <w:szCs w:val="20"/>
                    <w:rtl w:val="0"/>
                  </w:rPr>
                  <w:t xml:space="preserve">T3</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8F">
                <w:pPr>
                  <w:widowControl w:val="1"/>
                  <w:spacing w:line="360" w:lineRule="auto"/>
                  <w:jc w:val="center"/>
                  <w:rPr>
                    <w:sz w:val="20"/>
                    <w:szCs w:val="20"/>
                  </w:rPr>
                </w:pPr>
                <w:r w:rsidDel="00000000" w:rsidR="00000000" w:rsidRPr="00000000">
                  <w:rPr>
                    <w:sz w:val="20"/>
                    <w:szCs w:val="20"/>
                    <w:rtl w:val="0"/>
                  </w:rPr>
                  <w:t xml:space="preserve">25.00a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0">
                <w:pPr>
                  <w:widowControl w:val="1"/>
                  <w:spacing w:line="360" w:lineRule="auto"/>
                  <w:jc w:val="center"/>
                  <w:rPr>
                    <w:sz w:val="20"/>
                    <w:szCs w:val="20"/>
                  </w:rPr>
                </w:pPr>
                <w:r w:rsidDel="00000000" w:rsidR="00000000" w:rsidRPr="00000000">
                  <w:rPr>
                    <w:sz w:val="20"/>
                    <w:szCs w:val="20"/>
                    <w:rtl w:val="0"/>
                  </w:rPr>
                  <w:t xml:space="preserve">4.77a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1">
                <w:pPr>
                  <w:widowControl w:val="1"/>
                  <w:spacing w:line="360" w:lineRule="auto"/>
                  <w:jc w:val="center"/>
                  <w:rPr>
                    <w:sz w:val="20"/>
                    <w:szCs w:val="20"/>
                  </w:rPr>
                </w:pPr>
                <w:r w:rsidDel="00000000" w:rsidR="00000000" w:rsidRPr="00000000">
                  <w:rPr>
                    <w:sz w:val="20"/>
                    <w:szCs w:val="20"/>
                    <w:rtl w:val="0"/>
                  </w:rPr>
                  <w:t xml:space="preserve">2.62a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2">
                <w:pPr>
                  <w:widowControl w:val="1"/>
                  <w:spacing w:line="360" w:lineRule="auto"/>
                  <w:jc w:val="center"/>
                  <w:rPr>
                    <w:sz w:val="20"/>
                    <w:szCs w:val="20"/>
                  </w:rPr>
                </w:pPr>
                <w:r w:rsidDel="00000000" w:rsidR="00000000" w:rsidRPr="00000000">
                  <w:rPr>
                    <w:sz w:val="20"/>
                    <w:szCs w:val="20"/>
                    <w:rtl w:val="0"/>
                  </w:rPr>
                  <w:t xml:space="preserve">0.79a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3">
                <w:pPr>
                  <w:widowControl w:val="1"/>
                  <w:spacing w:line="360" w:lineRule="auto"/>
                  <w:jc w:val="center"/>
                  <w:rPr>
                    <w:sz w:val="20"/>
                    <w:szCs w:val="20"/>
                  </w:rPr>
                </w:pPr>
                <w:r w:rsidDel="00000000" w:rsidR="00000000" w:rsidRPr="00000000">
                  <w:rPr>
                    <w:sz w:val="20"/>
                    <w:szCs w:val="20"/>
                    <w:rtl w:val="0"/>
                  </w:rPr>
                  <w:t xml:space="preserve">0.93a</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4">
                <w:pPr>
                  <w:widowControl w:val="1"/>
                  <w:spacing w:line="360" w:lineRule="auto"/>
                  <w:jc w:val="center"/>
                  <w:rPr>
                    <w:sz w:val="20"/>
                    <w:szCs w:val="20"/>
                  </w:rPr>
                </w:pPr>
                <w:r w:rsidDel="00000000" w:rsidR="00000000" w:rsidRPr="00000000">
                  <w:rPr>
                    <w:sz w:val="20"/>
                    <w:szCs w:val="20"/>
                    <w:rtl w:val="0"/>
                  </w:rPr>
                  <w:t xml:space="preserve">0.63c</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6">
                <w:pPr>
                  <w:widowControl w:val="1"/>
                  <w:spacing w:line="360" w:lineRule="auto"/>
                  <w:ind w:right="32"/>
                  <w:jc w:val="center"/>
                  <w:rPr>
                    <w:sz w:val="20"/>
                    <w:szCs w:val="20"/>
                  </w:rPr>
                </w:pPr>
                <w:r w:rsidDel="00000000" w:rsidR="00000000" w:rsidRPr="00000000">
                  <w:rPr>
                    <w:sz w:val="20"/>
                    <w:szCs w:val="20"/>
                    <w:rtl w:val="0"/>
                  </w:rPr>
                  <w:t xml:space="preserve">2.39a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8">
                <w:pPr>
                  <w:widowControl w:val="1"/>
                  <w:spacing w:line="360" w:lineRule="auto"/>
                  <w:jc w:val="center"/>
                  <w:rPr>
                    <w:sz w:val="20"/>
                    <w:szCs w:val="20"/>
                  </w:rPr>
                </w:pPr>
                <w:r w:rsidDel="00000000" w:rsidR="00000000" w:rsidRPr="00000000">
                  <w:rPr>
                    <w:sz w:val="20"/>
                    <w:szCs w:val="20"/>
                    <w:rtl w:val="0"/>
                  </w:rPr>
                  <w:t xml:space="preserve">T4</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9">
                <w:pPr>
                  <w:widowControl w:val="1"/>
                  <w:spacing w:line="360" w:lineRule="auto"/>
                  <w:jc w:val="center"/>
                  <w:rPr>
                    <w:sz w:val="20"/>
                    <w:szCs w:val="20"/>
                  </w:rPr>
                </w:pPr>
                <w:r w:rsidDel="00000000" w:rsidR="00000000" w:rsidRPr="00000000">
                  <w:rPr>
                    <w:sz w:val="20"/>
                    <w:szCs w:val="20"/>
                    <w:rtl w:val="0"/>
                  </w:rPr>
                  <w:t xml:space="preserve">19.32b</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A">
                <w:pPr>
                  <w:widowControl w:val="1"/>
                  <w:spacing w:line="360" w:lineRule="auto"/>
                  <w:jc w:val="center"/>
                  <w:rPr>
                    <w:sz w:val="20"/>
                    <w:szCs w:val="20"/>
                  </w:rPr>
                </w:pPr>
                <w:r w:rsidDel="00000000" w:rsidR="00000000" w:rsidRPr="00000000">
                  <w:rPr>
                    <w:sz w:val="20"/>
                    <w:szCs w:val="20"/>
                    <w:rtl w:val="0"/>
                  </w:rPr>
                  <w:t xml:space="preserve">4.74a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B">
                <w:pPr>
                  <w:widowControl w:val="1"/>
                  <w:spacing w:line="360" w:lineRule="auto"/>
                  <w:jc w:val="center"/>
                  <w:rPr>
                    <w:sz w:val="20"/>
                    <w:szCs w:val="20"/>
                  </w:rPr>
                </w:pPr>
                <w:r w:rsidDel="00000000" w:rsidR="00000000" w:rsidRPr="00000000">
                  <w:rPr>
                    <w:sz w:val="20"/>
                    <w:szCs w:val="20"/>
                    <w:rtl w:val="0"/>
                  </w:rPr>
                  <w:t xml:space="preserve">1.94c</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C">
                <w:pPr>
                  <w:widowControl w:val="1"/>
                  <w:spacing w:line="360" w:lineRule="auto"/>
                  <w:jc w:val="center"/>
                  <w:rPr>
                    <w:sz w:val="20"/>
                    <w:szCs w:val="20"/>
                  </w:rPr>
                </w:pPr>
                <w:r w:rsidDel="00000000" w:rsidR="00000000" w:rsidRPr="00000000">
                  <w:rPr>
                    <w:sz w:val="20"/>
                    <w:szCs w:val="20"/>
                    <w:rtl w:val="0"/>
                  </w:rPr>
                  <w:t xml:space="preserve">0.36c</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D">
                <w:pPr>
                  <w:widowControl w:val="1"/>
                  <w:spacing w:line="360" w:lineRule="auto"/>
                  <w:jc w:val="center"/>
                  <w:rPr>
                    <w:sz w:val="20"/>
                    <w:szCs w:val="20"/>
                  </w:rPr>
                </w:pPr>
                <w:r w:rsidDel="00000000" w:rsidR="00000000" w:rsidRPr="00000000">
                  <w:rPr>
                    <w:sz w:val="20"/>
                    <w:szCs w:val="20"/>
                    <w:rtl w:val="0"/>
                  </w:rPr>
                  <w:t xml:space="preserve">0.71b</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9E">
                <w:pPr>
                  <w:widowControl w:val="1"/>
                  <w:spacing w:line="360" w:lineRule="auto"/>
                  <w:jc w:val="center"/>
                  <w:rPr>
                    <w:sz w:val="20"/>
                    <w:szCs w:val="20"/>
                  </w:rPr>
                </w:pPr>
                <w:r w:rsidDel="00000000" w:rsidR="00000000" w:rsidRPr="00000000">
                  <w:rPr>
                    <w:sz w:val="20"/>
                    <w:szCs w:val="20"/>
                    <w:rtl w:val="0"/>
                  </w:rPr>
                  <w:t xml:space="preserve">0.57c</w:t>
                </w:r>
              </w:p>
            </w:tc>
            <w:tc>
              <w:tcPr>
                <w:gridSpan w:val="2"/>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A0">
                <w:pPr>
                  <w:widowControl w:val="1"/>
                  <w:spacing w:line="360" w:lineRule="auto"/>
                  <w:jc w:val="center"/>
                  <w:rPr>
                    <w:sz w:val="20"/>
                    <w:szCs w:val="20"/>
                  </w:rPr>
                </w:pPr>
                <w:r w:rsidDel="00000000" w:rsidR="00000000" w:rsidRPr="00000000">
                  <w:rPr>
                    <w:sz w:val="20"/>
                    <w:szCs w:val="20"/>
                    <w:rtl w:val="0"/>
                  </w:rPr>
                  <w:t xml:space="preserve">2.41a</w:t>
                </w:r>
              </w:p>
            </w:tc>
          </w:tr>
          <w:tr>
            <w:trPr>
              <w:cantSplit w:val="0"/>
              <w:trHeight w:val="315" w:hRule="atLeast"/>
              <w:tblHeader w:val="0"/>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2">
                <w:pPr>
                  <w:widowControl w:val="1"/>
                  <w:spacing w:line="360" w:lineRule="auto"/>
                  <w:jc w:val="center"/>
                  <w:rPr>
                    <w:sz w:val="20"/>
                    <w:szCs w:val="20"/>
                  </w:rPr>
                </w:pPr>
                <w:r w:rsidDel="00000000" w:rsidR="00000000" w:rsidRPr="00000000">
                  <w:rPr>
                    <w:sz w:val="20"/>
                    <w:szCs w:val="20"/>
                    <w:rtl w:val="0"/>
                  </w:rPr>
                  <w:t xml:space="preserve">T5</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3">
                <w:pPr>
                  <w:widowControl w:val="1"/>
                  <w:spacing w:line="360" w:lineRule="auto"/>
                  <w:jc w:val="center"/>
                  <w:rPr>
                    <w:sz w:val="20"/>
                    <w:szCs w:val="20"/>
                  </w:rPr>
                </w:pPr>
                <w:r w:rsidDel="00000000" w:rsidR="00000000" w:rsidRPr="00000000">
                  <w:rPr>
                    <w:sz w:val="20"/>
                    <w:szCs w:val="20"/>
                    <w:rtl w:val="0"/>
                  </w:rPr>
                  <w:t xml:space="preserve">24.35a</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4">
                <w:pPr>
                  <w:widowControl w:val="1"/>
                  <w:spacing w:line="360" w:lineRule="auto"/>
                  <w:jc w:val="center"/>
                  <w:rPr>
                    <w:sz w:val="20"/>
                    <w:szCs w:val="20"/>
                  </w:rPr>
                </w:pPr>
                <w:r w:rsidDel="00000000" w:rsidR="00000000" w:rsidRPr="00000000">
                  <w:rPr>
                    <w:sz w:val="20"/>
                    <w:szCs w:val="20"/>
                    <w:rtl w:val="0"/>
                  </w:rPr>
                  <w:t xml:space="preserve">4.34a</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5">
                <w:pPr>
                  <w:widowControl w:val="1"/>
                  <w:spacing w:line="360" w:lineRule="auto"/>
                  <w:jc w:val="center"/>
                  <w:rPr>
                    <w:sz w:val="20"/>
                    <w:szCs w:val="20"/>
                  </w:rPr>
                </w:pPr>
                <w:r w:rsidDel="00000000" w:rsidR="00000000" w:rsidRPr="00000000">
                  <w:rPr>
                    <w:sz w:val="20"/>
                    <w:szCs w:val="20"/>
                    <w:rtl w:val="0"/>
                  </w:rPr>
                  <w:t xml:space="preserve">2.12b</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6">
                <w:pPr>
                  <w:widowControl w:val="1"/>
                  <w:spacing w:line="360" w:lineRule="auto"/>
                  <w:jc w:val="center"/>
                  <w:rPr>
                    <w:sz w:val="20"/>
                    <w:szCs w:val="20"/>
                  </w:rPr>
                </w:pPr>
                <w:r w:rsidDel="00000000" w:rsidR="00000000" w:rsidRPr="00000000">
                  <w:rPr>
                    <w:sz w:val="20"/>
                    <w:szCs w:val="20"/>
                    <w:rtl w:val="0"/>
                  </w:rPr>
                  <w:t xml:space="preserve">0.62b</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7">
                <w:pPr>
                  <w:widowControl w:val="1"/>
                  <w:spacing w:line="360" w:lineRule="auto"/>
                  <w:jc w:val="center"/>
                  <w:rPr>
                    <w:sz w:val="20"/>
                    <w:szCs w:val="20"/>
                  </w:rPr>
                </w:pPr>
                <w:r w:rsidDel="00000000" w:rsidR="00000000" w:rsidRPr="00000000">
                  <w:rPr>
                    <w:sz w:val="20"/>
                    <w:szCs w:val="20"/>
                    <w:rtl w:val="0"/>
                  </w:rPr>
                  <w:t xml:space="preserve">1.02a</w:t>
                </w:r>
              </w:p>
            </w:tc>
            <w:tc>
              <w:tcPr>
                <w:gridSpan w:val="2"/>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8">
                <w:pPr>
                  <w:widowControl w:val="1"/>
                  <w:spacing w:line="360" w:lineRule="auto"/>
                  <w:jc w:val="center"/>
                  <w:rPr>
                    <w:sz w:val="20"/>
                    <w:szCs w:val="20"/>
                  </w:rPr>
                </w:pPr>
                <w:r w:rsidDel="00000000" w:rsidR="00000000" w:rsidRPr="00000000">
                  <w:rPr>
                    <w:sz w:val="20"/>
                    <w:szCs w:val="20"/>
                    <w:rtl w:val="0"/>
                  </w:rPr>
                  <w:t xml:space="preserve">0.81a</w:t>
                </w:r>
              </w:p>
            </w:tc>
            <w:tc>
              <w:tcPr>
                <w:gridSpan w:val="2"/>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AA">
                <w:pPr>
                  <w:widowControl w:val="1"/>
                  <w:spacing w:line="360" w:lineRule="auto"/>
                  <w:jc w:val="center"/>
                  <w:rPr>
                    <w:sz w:val="20"/>
                    <w:szCs w:val="20"/>
                  </w:rPr>
                </w:pPr>
                <w:r w:rsidDel="00000000" w:rsidR="00000000" w:rsidRPr="00000000">
                  <w:rPr>
                    <w:sz w:val="20"/>
                    <w:szCs w:val="20"/>
                    <w:rtl w:val="0"/>
                  </w:rPr>
                  <w:t xml:space="preserve">1.85c</w:t>
                </w:r>
              </w:p>
            </w:tc>
          </w:tr>
        </w:tbl>
      </w:sdtContent>
    </w:sdt>
    <w:p w:rsidR="00000000" w:rsidDel="00000000" w:rsidP="00000000" w:rsidRDefault="00000000" w:rsidRPr="00000000" w14:paraId="000000AC">
      <w:pPr>
        <w:widowControl w:val="1"/>
        <w:spacing w:line="360" w:lineRule="auto"/>
        <w:jc w:val="both"/>
        <w:rPr>
          <w:sz w:val="20"/>
          <w:szCs w:val="20"/>
        </w:rPr>
      </w:pPr>
      <w:r w:rsidDel="00000000" w:rsidR="00000000" w:rsidRPr="00000000">
        <w:rPr>
          <w:sz w:val="20"/>
          <w:szCs w:val="20"/>
          <w:rtl w:val="0"/>
        </w:rPr>
        <w:t xml:space="preserve">TR = tratamentos; P-F1 = fósforo solúvel; P-F2 = fósforo lábil; P-F3 = fósforo adsorvido; P-F4 = fósforo ligado aos minerais; A254 = absorbância nos espectros de UV-vis em 254 nm; A280 = absorbância no espectro de UV-vis a 280 nm; A250/365 = razão de absorção em 250/365 nm no espectro UV-vis. Letras distintas indicam diferença estatisticamente significativa pelo teste de Tukey (</w:t>
      </w:r>
      <w:r w:rsidDel="00000000" w:rsidR="00000000" w:rsidRPr="00000000">
        <w:rPr>
          <w:i w:val="1"/>
          <w:sz w:val="20"/>
          <w:szCs w:val="20"/>
          <w:rtl w:val="0"/>
        </w:rPr>
        <w:t xml:space="preserve">p</w:t>
      </w:r>
      <w:r w:rsidDel="00000000" w:rsidR="00000000" w:rsidRPr="00000000">
        <w:rPr>
          <w:sz w:val="20"/>
          <w:szCs w:val="20"/>
          <w:rtl w:val="0"/>
        </w:rPr>
        <w:t xml:space="preserve"> &lt; 0,05).</w:t>
      </w:r>
    </w:p>
    <w:p w:rsidR="00000000" w:rsidDel="00000000" w:rsidP="00000000" w:rsidRDefault="00000000" w:rsidRPr="00000000" w14:paraId="000000AD">
      <w:pPr>
        <w:widowControl w:val="1"/>
        <w:spacing w:line="360" w:lineRule="auto"/>
        <w:jc w:val="both"/>
        <w:rPr/>
      </w:pPr>
      <w:r w:rsidDel="00000000" w:rsidR="00000000" w:rsidRPr="00000000">
        <w:rPr>
          <w:rtl w:val="0"/>
        </w:rPr>
        <w:t xml:space="preserve">Fonte: Autores,2024.</w:t>
      </w:r>
    </w:p>
    <w:p w:rsidR="00000000" w:rsidDel="00000000" w:rsidP="00000000" w:rsidRDefault="00000000" w:rsidRPr="00000000" w14:paraId="000000AE">
      <w:pPr>
        <w:widowControl w:val="1"/>
        <w:spacing w:line="360" w:lineRule="auto"/>
        <w:jc w:val="both"/>
        <w:rPr>
          <w:sz w:val="20"/>
          <w:szCs w:val="20"/>
        </w:rPr>
      </w:pPr>
      <w:r w:rsidDel="00000000" w:rsidR="00000000" w:rsidRPr="00000000">
        <w:rPr>
          <w:rtl w:val="0"/>
        </w:rPr>
      </w:r>
    </w:p>
    <w:p w:rsidR="00000000" w:rsidDel="00000000" w:rsidP="00000000" w:rsidRDefault="00000000" w:rsidRPr="00000000" w14:paraId="000000AF">
      <w:pPr>
        <w:pBdr>
          <w:bottom w:color="000000" w:space="8" w:sz="0" w:val="none"/>
        </w:pBdr>
        <w:shd w:fill="ffffff" w:val="clear"/>
        <w:tabs>
          <w:tab w:val="left" w:leader="none" w:pos="2500"/>
        </w:tabs>
        <w:spacing w:after="240" w:before="240" w:line="360" w:lineRule="auto"/>
        <w:jc w:val="both"/>
        <w:rPr>
          <w:sz w:val="24"/>
          <w:szCs w:val="24"/>
        </w:rPr>
      </w:pPr>
      <w:r w:rsidDel="00000000" w:rsidR="00000000" w:rsidRPr="00000000">
        <w:rPr>
          <w:sz w:val="24"/>
          <w:szCs w:val="24"/>
          <w:rtl w:val="0"/>
        </w:rPr>
        <w:t xml:space="preserve">(Abid et al. 2020) investigaram os efeitos dos biochar sobre a decomposição do composto, observando que o aumento na relação A250/365 indicava uma melhoria na decomposição ao longo do tempo. Esses resultados são semelhantes aos encontrados neste estudo, onde os tratamentos T2, T3 e T4 também apresentaram um aumento significativo na relação A250/365 após 180 dias de compostagem. Esse aumento sugere que os biochar utilizados neste estudo desempenharam um papel positivo na aceleração da decomposição do composto, assim como observado por  (Abid et al. 2020).</w:t>
      </w:r>
    </w:p>
    <w:p w:rsidR="00000000" w:rsidDel="00000000" w:rsidP="00000000" w:rsidRDefault="00000000" w:rsidRPr="00000000" w14:paraId="000000B0">
      <w:pPr>
        <w:pBdr>
          <w:bottom w:color="000000" w:space="8" w:sz="0" w:val="none"/>
        </w:pBdr>
        <w:shd w:fill="ffffff" w:val="clear"/>
        <w:tabs>
          <w:tab w:val="left" w:leader="none" w:pos="2500"/>
        </w:tabs>
        <w:spacing w:after="240" w:before="240" w:line="360" w:lineRule="auto"/>
        <w:jc w:val="both"/>
        <w:rPr>
          <w:sz w:val="24"/>
          <w:szCs w:val="24"/>
        </w:rPr>
      </w:pPr>
      <w:r w:rsidDel="00000000" w:rsidR="00000000" w:rsidRPr="00000000">
        <w:rPr>
          <w:sz w:val="24"/>
          <w:szCs w:val="24"/>
          <w:rtl w:val="0"/>
        </w:rPr>
        <w:t xml:space="preserve">Por outro lado, as frações de fósforo (P) e as características espectroscópicas mostraram correlações significativas, embora sem uma interação direta. Este comportamento é consistente com os achados de (Godlewska et al. 2017), que relataram a estabilização do composto durante o processo de decomposição, embora sem uma correlação direta entre o fósforo e os parâmetros espectroscópicos. A ausência de uma interação direta pode ser explicada pela influência de outros fatores, como a composição química do biocarvão e a presença de microrganismos na compostagem, que podem afetar tanto o fósforo quanto às características espectroscópicas de maneiras diferentes.</w:t>
      </w:r>
    </w:p>
    <w:p w:rsidR="00000000" w:rsidDel="00000000" w:rsidP="00000000" w:rsidRDefault="00000000" w:rsidRPr="00000000" w14:paraId="000000B1">
      <w:pPr>
        <w:pBdr>
          <w:bottom w:color="000000" w:space="8" w:sz="0" w:val="none"/>
        </w:pBdr>
        <w:shd w:fill="ffffff" w:val="clear"/>
        <w:tabs>
          <w:tab w:val="left" w:leader="none" w:pos="2500"/>
        </w:tabs>
        <w:spacing w:after="240" w:before="240" w:line="360" w:lineRule="auto"/>
        <w:jc w:val="both"/>
        <w:rPr>
          <w:sz w:val="24"/>
          <w:szCs w:val="24"/>
        </w:rPr>
      </w:pPr>
      <w:r w:rsidDel="00000000" w:rsidR="00000000" w:rsidRPr="00000000">
        <w:rPr>
          <w:sz w:val="24"/>
          <w:szCs w:val="24"/>
          <w:rtl w:val="0"/>
        </w:rPr>
        <w:t xml:space="preserve">Esses resultados indicam que, embora haja uma tendência geral de estabilização do composto com o tempo, o comportamento específico das frações de fósforo e das características espectroscópicas pode ser influenciado por variáveis adicionais, como os tipos de biochar e o estágio da compostagem. Esse fenômeno pode ajudar a explicar as diferenças entre os resultados obtidos neste estudo e os de outros pesquisadores.</w:t>
      </w:r>
    </w:p>
    <w:p w:rsidR="00000000" w:rsidDel="00000000" w:rsidP="00000000" w:rsidRDefault="00000000" w:rsidRPr="00000000" w14:paraId="000000B2">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rtl w:val="0"/>
        </w:rPr>
      </w:r>
    </w:p>
    <w:p w:rsidR="00000000" w:rsidDel="00000000" w:rsidP="00000000" w:rsidRDefault="00000000" w:rsidRPr="00000000" w14:paraId="000000B3">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b w:val="1"/>
          <w:rtl w:val="0"/>
        </w:rPr>
        <w:t xml:space="preserve">Figura 2- </w:t>
      </w:r>
      <w:r w:rsidDel="00000000" w:rsidR="00000000" w:rsidRPr="00000000">
        <w:rPr>
          <w:rtl w:val="0"/>
        </w:rPr>
        <w:t xml:space="preserve">Correlações entre as propriedades dos materiais estudados após cento e oitenta dias de compostagem.</w:t>
      </w:r>
      <w:r w:rsidDel="00000000" w:rsidR="00000000" w:rsidRPr="00000000">
        <w:rPr>
          <w:rtl w:val="0"/>
        </w:rPr>
      </w:r>
    </w:p>
    <w:p w:rsidR="00000000" w:rsidDel="00000000" w:rsidP="00000000" w:rsidRDefault="00000000" w:rsidRPr="00000000" w14:paraId="000000B4">
      <w:pPr>
        <w:widowControl w:val="1"/>
        <w:spacing w:line="360" w:lineRule="auto"/>
        <w:ind w:hanging="2"/>
        <w:jc w:val="center"/>
        <w:rPr>
          <w:color w:val="ff0000"/>
          <w:sz w:val="24"/>
          <w:szCs w:val="24"/>
        </w:rPr>
      </w:pPr>
      <w:r w:rsidDel="00000000" w:rsidR="00000000" w:rsidRPr="00000000">
        <w:rPr>
          <w:color w:val="ff0000"/>
          <w:sz w:val="24"/>
          <w:szCs w:val="24"/>
        </w:rPr>
        <w:drawing>
          <wp:inline distB="0" distT="0" distL="0" distR="0">
            <wp:extent cx="2252669" cy="1814947"/>
            <wp:effectExtent b="0" l="0" r="0" t="0"/>
            <wp:docPr descr="C:\Users\YAN\Pictures\Final.jpeg" id="2023691329" name="image8.jpg"/>
            <a:graphic>
              <a:graphicData uri="http://schemas.openxmlformats.org/drawingml/2006/picture">
                <pic:pic>
                  <pic:nvPicPr>
                    <pic:cNvPr descr="C:\Users\YAN\Pictures\Final.jpeg" id="0" name="image8.jpg"/>
                    <pic:cNvPicPr preferRelativeResize="0"/>
                  </pic:nvPicPr>
                  <pic:blipFill>
                    <a:blip r:embed="rId9"/>
                    <a:srcRect b="0" l="0" r="0" t="0"/>
                    <a:stretch>
                      <a:fillRect/>
                    </a:stretch>
                  </pic:blipFill>
                  <pic:spPr>
                    <a:xfrm>
                      <a:off x="0" y="0"/>
                      <a:ext cx="2252669" cy="1814947"/>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widowControl w:val="1"/>
        <w:spacing w:line="360" w:lineRule="auto"/>
        <w:ind w:hanging="2"/>
        <w:jc w:val="both"/>
        <w:rPr>
          <w:sz w:val="20"/>
          <w:szCs w:val="20"/>
        </w:rPr>
      </w:pPr>
      <w:r w:rsidDel="00000000" w:rsidR="00000000" w:rsidRPr="00000000">
        <w:rPr>
          <w:sz w:val="20"/>
          <w:szCs w:val="20"/>
          <w:rtl w:val="0"/>
        </w:rPr>
        <w:t xml:space="preserve">As correlações significativas (p&lt; 0,05) são representadas por cores na figura; TR = tratamentos; P-F1 = fósforo solúvel; P-F2 = fósforo lábil; P-F3 = fósforo adsorvido; P-F4 = fósforo ligado aos minerais; A254 = absorbância nos espectros de UV-vis em 254 nm; A280 = absorbância no espectro de UV-vis a 280 nm; A250/365 = razão de absorção em 250/365 nm no espectro UV-vis.</w:t>
      </w:r>
    </w:p>
    <w:p w:rsidR="00000000" w:rsidDel="00000000" w:rsidP="00000000" w:rsidRDefault="00000000" w:rsidRPr="00000000" w14:paraId="000000B6">
      <w:pPr>
        <w:widowControl w:val="1"/>
        <w:spacing w:line="360" w:lineRule="auto"/>
        <w:ind w:hanging="2"/>
        <w:jc w:val="both"/>
        <w:rPr>
          <w:sz w:val="20"/>
          <w:szCs w:val="20"/>
        </w:rPr>
      </w:pPr>
      <w:r w:rsidDel="00000000" w:rsidR="00000000" w:rsidRPr="00000000">
        <w:rPr>
          <w:sz w:val="20"/>
          <w:szCs w:val="20"/>
          <w:rtl w:val="0"/>
        </w:rPr>
        <w:t xml:space="preserve">Fonte: Autores,2024.</w:t>
      </w:r>
    </w:p>
    <w:p w:rsidR="00000000" w:rsidDel="00000000" w:rsidP="00000000" w:rsidRDefault="00000000" w:rsidRPr="00000000" w14:paraId="000000B7">
      <w:pPr>
        <w:widowControl w:val="1"/>
        <w:spacing w:line="360" w:lineRule="auto"/>
        <w:ind w:hanging="2"/>
        <w:jc w:val="both"/>
        <w:rPr>
          <w:sz w:val="24"/>
          <w:szCs w:val="24"/>
        </w:rPr>
      </w:pPr>
      <w:r w:rsidDel="00000000" w:rsidR="00000000" w:rsidRPr="00000000">
        <w:rPr>
          <w:rtl w:val="0"/>
        </w:rPr>
      </w:r>
    </w:p>
    <w:p w:rsidR="00000000" w:rsidDel="00000000" w:rsidP="00000000" w:rsidRDefault="00000000" w:rsidRPr="00000000" w14:paraId="000000B8">
      <w:pPr>
        <w:widowControl w:val="1"/>
        <w:tabs>
          <w:tab w:val="left" w:leader="none" w:pos="1290"/>
        </w:tabs>
        <w:spacing w:after="160" w:line="360" w:lineRule="auto"/>
        <w:jc w:val="both"/>
        <w:rPr>
          <w:sz w:val="28"/>
          <w:szCs w:val="28"/>
        </w:rPr>
      </w:pPr>
      <w:r w:rsidDel="00000000" w:rsidR="00000000" w:rsidRPr="00000000">
        <w:rPr>
          <w:b w:val="1"/>
          <w:sz w:val="24"/>
          <w:szCs w:val="24"/>
          <w:rtl w:val="0"/>
        </w:rPr>
        <w:t xml:space="preserve">4. CONCLUSÃO </w:t>
      </w:r>
      <w:r w:rsidDel="00000000" w:rsidR="00000000" w:rsidRPr="00000000">
        <w:rPr>
          <w:rtl w:val="0"/>
        </w:rPr>
      </w:r>
    </w:p>
    <w:p w:rsidR="00000000" w:rsidDel="00000000" w:rsidP="00000000" w:rsidRDefault="00000000" w:rsidRPr="00000000" w14:paraId="000000B9">
      <w:pPr>
        <w:widowControl w:val="1"/>
        <w:tabs>
          <w:tab w:val="left" w:leader="none" w:pos="699"/>
        </w:tabs>
        <w:spacing w:after="160" w:line="360" w:lineRule="auto"/>
        <w:jc w:val="both"/>
        <w:rPr>
          <w:b w:val="1"/>
          <w:sz w:val="24"/>
          <w:szCs w:val="24"/>
        </w:rPr>
      </w:pPr>
      <w:r w:rsidDel="00000000" w:rsidR="00000000" w:rsidRPr="00000000">
        <w:rPr>
          <w:sz w:val="24"/>
          <w:szCs w:val="24"/>
          <w:rtl w:val="0"/>
        </w:rPr>
        <w:tab/>
        <w:t xml:space="preserve">Os tratamentos demonstraram uma forte correlação positiva entre as frações lábeis e os teores de nitrato, evidenciando a importância desses nutrientes para os microrganismos e a melhoria do processo de compostagem. Os tratamentos com BF400 (T3) e BF700 (T5) apresentaram os maiores teores de fósforo solúvel, essencial para o processo de compostagem, uma vez que essa fração está prontamente disponível para a utilização por microrganismos que auxiliam na decomposição da matéria orgânica. Além disso, os resultados dos espectros indicaram que o tratamento T5 obteve as melhores características para a </w:t>
      </w:r>
      <w:r w:rsidDel="00000000" w:rsidR="00000000" w:rsidRPr="00000000">
        <w:rPr>
          <w:sz w:val="24"/>
          <w:szCs w:val="24"/>
          <w:rtl w:val="0"/>
        </w:rPr>
        <w:t xml:space="preserve">formação de estruturas aromáticas (humificação)</w:t>
      </w:r>
      <w:r w:rsidDel="00000000" w:rsidR="00000000" w:rsidRPr="00000000">
        <w:rPr>
          <w:sz w:val="24"/>
          <w:szCs w:val="24"/>
          <w:rtl w:val="0"/>
        </w:rPr>
        <w:t xml:space="preserve"> em comparação aos demais tratamentos.</w:t>
      </w:r>
      <w:r w:rsidDel="00000000" w:rsidR="00000000" w:rsidRPr="00000000">
        <w:rPr>
          <w:rtl w:val="0"/>
        </w:rPr>
      </w:r>
    </w:p>
    <w:p w:rsidR="00000000" w:rsidDel="00000000" w:rsidP="00000000" w:rsidRDefault="00000000" w:rsidRPr="00000000" w14:paraId="000000BA">
      <w:pPr>
        <w:widowControl w:val="1"/>
        <w:tabs>
          <w:tab w:val="left" w:leader="none" w:pos="1290"/>
        </w:tabs>
        <w:spacing w:after="160" w:line="259" w:lineRule="auto"/>
        <w:jc w:val="both"/>
        <w:rPr>
          <w:color w:val="ff0000"/>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BB">
      <w:pPr>
        <w:widowControl w:val="1"/>
        <w:tabs>
          <w:tab w:val="left" w:leader="none" w:pos="5940"/>
        </w:tabs>
        <w:ind w:hanging="2"/>
        <w:jc w:val="both"/>
        <w:rPr>
          <w:color w:val="222222"/>
          <w:sz w:val="24"/>
          <w:szCs w:val="24"/>
          <w:highlight w:val="white"/>
        </w:rPr>
      </w:pPr>
      <w:r w:rsidDel="00000000" w:rsidR="00000000" w:rsidRPr="00000000">
        <w:rPr>
          <w:sz w:val="24"/>
          <w:szCs w:val="24"/>
          <w:highlight w:val="white"/>
          <w:rtl w:val="0"/>
        </w:rPr>
        <w:t xml:space="preserve">Abid, W;</w:t>
      </w:r>
      <w:r w:rsidDel="00000000" w:rsidR="00000000" w:rsidRPr="00000000">
        <w:rPr>
          <w:color w:val="222222"/>
          <w:sz w:val="24"/>
          <w:szCs w:val="24"/>
          <w:highlight w:val="white"/>
          <w:rtl w:val="0"/>
        </w:rPr>
        <w:t xml:space="preserve"> Mahmoud, I. B., Masmoudi, S., Triki, M. A., Mounier, S., &amp; Ammar, E.</w:t>
      </w:r>
      <w:r w:rsidDel="00000000" w:rsidR="00000000" w:rsidRPr="00000000">
        <w:rPr>
          <w:sz w:val="24"/>
          <w:szCs w:val="24"/>
          <w:highlight w:val="white"/>
          <w:rtl w:val="0"/>
        </w:rPr>
        <w:t xml:space="preserve"> Physico-chemical and spectroscopic quality assessment of compost from date palm (Phoenix dactylifera L.) waste valorization. </w:t>
      </w:r>
      <w:r w:rsidDel="00000000" w:rsidR="00000000" w:rsidRPr="00000000">
        <w:rPr>
          <w:b w:val="1"/>
          <w:sz w:val="24"/>
          <w:szCs w:val="24"/>
          <w:highlight w:val="white"/>
          <w:rtl w:val="0"/>
        </w:rPr>
        <w:t xml:space="preserve">Journal of environmental management</w:t>
      </w:r>
      <w:r w:rsidDel="00000000" w:rsidR="00000000" w:rsidRPr="00000000">
        <w:rPr>
          <w:sz w:val="24"/>
          <w:szCs w:val="24"/>
          <w:highlight w:val="white"/>
          <w:rtl w:val="0"/>
        </w:rPr>
        <w:t xml:space="preserve">, v. 264, p. 110492, 2020</w:t>
      </w:r>
      <w:r w:rsidDel="00000000" w:rsidR="00000000" w:rsidRPr="00000000">
        <w:rPr>
          <w:color w:val="222222"/>
          <w:sz w:val="24"/>
          <w:szCs w:val="24"/>
          <w:highlight w:val="white"/>
          <w:rtl w:val="0"/>
        </w:rPr>
        <w:t xml:space="preserve">.</w:t>
      </w:r>
    </w:p>
    <w:p w:rsidR="00000000" w:rsidDel="00000000" w:rsidP="00000000" w:rsidRDefault="00000000" w:rsidRPr="00000000" w14:paraId="000000BC">
      <w:pPr>
        <w:widowControl w:val="1"/>
        <w:tabs>
          <w:tab w:val="left" w:leader="none" w:pos="5940"/>
        </w:tabs>
        <w:ind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BD">
      <w:pPr>
        <w:widowControl w:val="1"/>
        <w:tabs>
          <w:tab w:val="left" w:leader="none" w:pos="5940"/>
        </w:tabs>
        <w:ind w:hanging="2"/>
        <w:jc w:val="both"/>
        <w:rPr>
          <w:sz w:val="24"/>
          <w:szCs w:val="24"/>
        </w:rPr>
      </w:pPr>
      <w:r w:rsidDel="00000000" w:rsidR="00000000" w:rsidRPr="00000000">
        <w:rPr>
          <w:sz w:val="24"/>
          <w:szCs w:val="24"/>
          <w:rtl w:val="0"/>
        </w:rPr>
        <w:t xml:space="preserve">Dias, Y. N; </w:t>
      </w:r>
      <w:r w:rsidDel="00000000" w:rsidR="00000000" w:rsidRPr="00000000">
        <w:rPr>
          <w:color w:val="222222"/>
          <w:sz w:val="24"/>
          <w:szCs w:val="24"/>
          <w:highlight w:val="white"/>
          <w:rtl w:val="0"/>
        </w:rPr>
        <w:t xml:space="preserve">Souza, Es; Da Costa, H. S. C; Melo, L. C. A; PENIDO, E. S; DO AMARANTE, C. B; FERNANDES, A.R</w:t>
      </w:r>
      <w:r w:rsidDel="00000000" w:rsidR="00000000" w:rsidRPr="00000000">
        <w:rPr>
          <w:sz w:val="24"/>
          <w:szCs w:val="24"/>
          <w:rtl w:val="0"/>
        </w:rPr>
        <w:t xml:space="preserve">. Biochar produced from Amazonian agro-industrial wastes: properties and adsorbent potential of Cd 2+ and Cu 2+. Biochar, p. 1-12, 2019.</w:t>
      </w:r>
    </w:p>
    <w:p w:rsidR="00000000" w:rsidDel="00000000" w:rsidP="00000000" w:rsidRDefault="00000000" w:rsidRPr="00000000" w14:paraId="000000BE">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BF">
      <w:pPr>
        <w:widowControl w:val="1"/>
        <w:tabs>
          <w:tab w:val="left" w:leader="none" w:pos="5940"/>
        </w:tabs>
        <w:ind w:hanging="2"/>
        <w:jc w:val="both"/>
        <w:rPr>
          <w:sz w:val="24"/>
          <w:szCs w:val="24"/>
        </w:rPr>
      </w:pPr>
      <w:r w:rsidDel="00000000" w:rsidR="00000000" w:rsidRPr="00000000">
        <w:rPr>
          <w:sz w:val="24"/>
          <w:szCs w:val="24"/>
          <w:rtl w:val="0"/>
        </w:rPr>
        <w:t xml:space="preserve">Duan, M. et al. Advances in fungal degradation of cellulose. </w:t>
      </w:r>
      <w:r w:rsidDel="00000000" w:rsidR="00000000" w:rsidRPr="00000000">
        <w:rPr>
          <w:i w:val="1"/>
          <w:sz w:val="24"/>
          <w:szCs w:val="24"/>
          <w:rtl w:val="0"/>
        </w:rPr>
        <w:t xml:space="preserve">Journal of Environmental Management</w:t>
      </w:r>
      <w:r w:rsidDel="00000000" w:rsidR="00000000" w:rsidRPr="00000000">
        <w:rPr>
          <w:sz w:val="24"/>
          <w:szCs w:val="24"/>
          <w:rtl w:val="0"/>
        </w:rPr>
        <w:t xml:space="preserve">, v. 280, p. 111832, 2021.</w:t>
      </w:r>
    </w:p>
    <w:p w:rsidR="00000000" w:rsidDel="00000000" w:rsidP="00000000" w:rsidRDefault="00000000" w:rsidRPr="00000000" w14:paraId="000000C0">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1">
      <w:pPr>
        <w:widowControl w:val="1"/>
        <w:tabs>
          <w:tab w:val="left" w:leader="none" w:pos="5940"/>
        </w:tabs>
        <w:ind w:hanging="2"/>
        <w:jc w:val="both"/>
        <w:rPr>
          <w:sz w:val="24"/>
          <w:szCs w:val="24"/>
        </w:rPr>
      </w:pPr>
      <w:r w:rsidDel="00000000" w:rsidR="00000000" w:rsidRPr="00000000">
        <w:rPr>
          <w:sz w:val="24"/>
          <w:szCs w:val="24"/>
          <w:rtl w:val="0"/>
        </w:rPr>
        <w:t xml:space="preserve">Duan, Y., Awasthi, S. K., Chen, H., Liu, T., Zhang, Z., Linsen Zhang, L., Awasthi, M. K., Taherzadeh, M. J. Evaluating the impact of bamboo biochar on the fungal community succession during chicken manure composting. Bioresource Technology. 272. 308–314. 2019.</w:t>
      </w:r>
    </w:p>
    <w:p w:rsidR="00000000" w:rsidDel="00000000" w:rsidP="00000000" w:rsidRDefault="00000000" w:rsidRPr="00000000" w14:paraId="000000C2">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3">
      <w:pPr>
        <w:widowControl w:val="1"/>
        <w:tabs>
          <w:tab w:val="left" w:leader="none" w:pos="5940"/>
        </w:tabs>
        <w:ind w:hanging="2"/>
        <w:jc w:val="both"/>
        <w:rPr>
          <w:sz w:val="24"/>
          <w:szCs w:val="24"/>
        </w:rPr>
      </w:pPr>
      <w:r w:rsidDel="00000000" w:rsidR="00000000" w:rsidRPr="00000000">
        <w:rPr>
          <w:sz w:val="24"/>
          <w:szCs w:val="24"/>
          <w:rtl w:val="0"/>
        </w:rPr>
        <w:t xml:space="preserve">Farrar. M. B., Wallace. H. M., Xu. C. Y.,Nguyen. T. T. N.,Tavakkoli. E., Joseph. S., Bai. S. H. Short-term effects of organo-mineral enriched biochar fertiliser on ginger yield and nutrient cycling. Journal of Soils and Sediments. 2019.</w:t>
      </w:r>
    </w:p>
    <w:p w:rsidR="00000000" w:rsidDel="00000000" w:rsidP="00000000" w:rsidRDefault="00000000" w:rsidRPr="00000000" w14:paraId="000000C4">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5">
      <w:pPr>
        <w:widowControl w:val="1"/>
        <w:tabs>
          <w:tab w:val="left" w:leader="none" w:pos="5940"/>
        </w:tabs>
        <w:ind w:hanging="2"/>
        <w:jc w:val="both"/>
        <w:rPr>
          <w:sz w:val="24"/>
          <w:szCs w:val="24"/>
        </w:rPr>
      </w:pPr>
      <w:r w:rsidDel="00000000" w:rsidR="00000000" w:rsidRPr="00000000">
        <w:rPr>
          <w:sz w:val="24"/>
          <w:szCs w:val="24"/>
          <w:rtl w:val="0"/>
        </w:rPr>
        <w:t xml:space="preserve">Godlewska, P., Schmidt, H. P., Ok, Y. S., Oleszczuk, P. Biochar for composting improvement and contaminants reduction: A review.  Bioresource Technology. 246. 193–202. 2017.</w:t>
      </w:r>
    </w:p>
    <w:p w:rsidR="00000000" w:rsidDel="00000000" w:rsidP="00000000" w:rsidRDefault="00000000" w:rsidRPr="00000000" w14:paraId="000000C6">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7">
      <w:pPr>
        <w:widowControl w:val="1"/>
        <w:tabs>
          <w:tab w:val="left" w:leader="none" w:pos="5940"/>
        </w:tabs>
        <w:ind w:hanging="2"/>
        <w:jc w:val="both"/>
        <w:rPr>
          <w:sz w:val="24"/>
          <w:szCs w:val="24"/>
        </w:rPr>
      </w:pPr>
      <w:r w:rsidDel="00000000" w:rsidR="00000000" w:rsidRPr="00000000">
        <w:rPr>
          <w:sz w:val="24"/>
          <w:szCs w:val="24"/>
          <w:rtl w:val="0"/>
        </w:rPr>
        <w:t xml:space="preserve">Haouas, A., El Modafar, C., Douira, A., Ibnsouda-Koraichi, S., Filali-Maltouf, A., Moukhli, A., &amp; Amir, S. Avaliação do ciclo de nutrientes, do processo de umificação e da eficiência agronômica da compostagem de resíduos orgânicos enriquecidos com lodo fosfatado. </w:t>
      </w:r>
      <w:r w:rsidDel="00000000" w:rsidR="00000000" w:rsidRPr="00000000">
        <w:rPr>
          <w:i w:val="1"/>
          <w:sz w:val="24"/>
          <w:szCs w:val="24"/>
          <w:rtl w:val="0"/>
        </w:rPr>
        <w:t xml:space="preserve">Journal of Cleaner Production</w:t>
      </w:r>
      <w:r w:rsidDel="00000000" w:rsidR="00000000" w:rsidRPr="00000000">
        <w:rPr>
          <w:sz w:val="24"/>
          <w:szCs w:val="24"/>
          <w:rtl w:val="0"/>
        </w:rPr>
        <w:t xml:space="preserve"> , </w:t>
      </w:r>
      <w:r w:rsidDel="00000000" w:rsidR="00000000" w:rsidRPr="00000000">
        <w:rPr>
          <w:i w:val="1"/>
          <w:sz w:val="24"/>
          <w:szCs w:val="24"/>
          <w:rtl w:val="0"/>
        </w:rPr>
        <w:t xml:space="preserve">302</w:t>
      </w:r>
      <w:r w:rsidDel="00000000" w:rsidR="00000000" w:rsidRPr="00000000">
        <w:rPr>
          <w:sz w:val="24"/>
          <w:szCs w:val="24"/>
          <w:rtl w:val="0"/>
        </w:rPr>
        <w:t xml:space="preserve"> , 127051. 2021. </w:t>
      </w:r>
    </w:p>
    <w:p w:rsidR="00000000" w:rsidDel="00000000" w:rsidP="00000000" w:rsidRDefault="00000000" w:rsidRPr="00000000" w14:paraId="000000C8">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9">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A">
      <w:pPr>
        <w:widowControl w:val="1"/>
        <w:tabs>
          <w:tab w:val="left" w:leader="none" w:pos="5940"/>
        </w:tabs>
        <w:ind w:hanging="2"/>
        <w:jc w:val="both"/>
        <w:rPr>
          <w:sz w:val="24"/>
          <w:szCs w:val="24"/>
        </w:rPr>
      </w:pPr>
      <w:r w:rsidDel="00000000" w:rsidR="00000000" w:rsidRPr="00000000">
        <w:rPr>
          <w:sz w:val="24"/>
          <w:szCs w:val="24"/>
          <w:rtl w:val="0"/>
        </w:rPr>
        <w:t xml:space="preserve">IBGE – Instituto Brasileiro de Geografia e Estatística. Produção da extração vegetal da silvicultura 2018. Disponível em: &lt;https://sidra.ibge.gov.br/pesquisa/peves/quadros/brasil/2018&gt;. Acesso em:28 de ago. 2020.</w:t>
      </w:r>
    </w:p>
    <w:p w:rsidR="00000000" w:rsidDel="00000000" w:rsidP="00000000" w:rsidRDefault="00000000" w:rsidRPr="00000000" w14:paraId="000000CB">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C">
      <w:pPr>
        <w:widowControl w:val="1"/>
        <w:tabs>
          <w:tab w:val="left" w:leader="none" w:pos="5940"/>
        </w:tabs>
        <w:ind w:hanging="2"/>
        <w:jc w:val="both"/>
        <w:rPr>
          <w:sz w:val="24"/>
          <w:szCs w:val="24"/>
        </w:rPr>
      </w:pPr>
      <w:r w:rsidDel="00000000" w:rsidR="00000000" w:rsidRPr="00000000">
        <w:rPr>
          <w:sz w:val="24"/>
          <w:szCs w:val="24"/>
          <w:rtl w:val="0"/>
        </w:rPr>
        <w:t xml:space="preserve">Kavitha, B., Reddy, P. V. L., Kim, B., Lee, S.S., Pandey, S. K., Kim, K. H. Benefits and limitations of biochar amendment in agricultural soils: A Review. Journal of Environmental Management. 227. 146–154. 2018.</w:t>
      </w:r>
    </w:p>
    <w:p w:rsidR="00000000" w:rsidDel="00000000" w:rsidP="00000000" w:rsidRDefault="00000000" w:rsidRPr="00000000" w14:paraId="000000CD">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CE">
      <w:pPr>
        <w:widowControl w:val="1"/>
        <w:tabs>
          <w:tab w:val="left" w:leader="none" w:pos="5940"/>
        </w:tabs>
        <w:ind w:hanging="2"/>
        <w:jc w:val="both"/>
        <w:rPr>
          <w:sz w:val="24"/>
          <w:szCs w:val="24"/>
        </w:rPr>
      </w:pPr>
      <w:r w:rsidDel="00000000" w:rsidR="00000000" w:rsidRPr="00000000">
        <w:rPr>
          <w:sz w:val="24"/>
          <w:szCs w:val="24"/>
          <w:rtl w:val="0"/>
        </w:rPr>
        <w:t xml:space="preserve">Lopes, C. M. (2014). Caracterização química de subprodutos da indústria sucroenergética enriquecido com fontes minerais e orgânicas submetidos à compostagem (Doctoral dissertation, Universidade de São Paulo).</w:t>
      </w:r>
    </w:p>
    <w:p w:rsidR="00000000" w:rsidDel="00000000" w:rsidP="00000000" w:rsidRDefault="00000000" w:rsidRPr="00000000" w14:paraId="000000CF">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0">
      <w:pPr>
        <w:widowControl w:val="1"/>
        <w:tabs>
          <w:tab w:val="left" w:leader="none" w:pos="5940"/>
        </w:tabs>
        <w:ind w:hanging="2"/>
        <w:jc w:val="both"/>
        <w:rPr>
          <w:sz w:val="24"/>
          <w:szCs w:val="24"/>
        </w:rPr>
      </w:pPr>
      <w:r w:rsidDel="00000000" w:rsidR="00000000" w:rsidRPr="00000000">
        <w:rPr>
          <w:sz w:val="24"/>
          <w:szCs w:val="24"/>
          <w:rtl w:val="0"/>
        </w:rPr>
        <w:t xml:space="preserve">Moreira, F. M. S.; Costa, O. V. Biogeochemical cycles in tropical soils: Challenges and opportunities. </w:t>
      </w:r>
      <w:r w:rsidDel="00000000" w:rsidR="00000000" w:rsidRPr="00000000">
        <w:rPr>
          <w:i w:val="1"/>
          <w:sz w:val="24"/>
          <w:szCs w:val="24"/>
          <w:rtl w:val="0"/>
        </w:rPr>
        <w:t xml:space="preserve">Soil Science and Plant Nutrition</w:t>
      </w:r>
      <w:r w:rsidDel="00000000" w:rsidR="00000000" w:rsidRPr="00000000">
        <w:rPr>
          <w:sz w:val="24"/>
          <w:szCs w:val="24"/>
          <w:rtl w:val="0"/>
        </w:rPr>
        <w:t xml:space="preserve">, v. 67, n. 3, p. 231-245, 2021.</w:t>
      </w:r>
    </w:p>
    <w:p w:rsidR="00000000" w:rsidDel="00000000" w:rsidP="00000000" w:rsidRDefault="00000000" w:rsidRPr="00000000" w14:paraId="000000D1">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2">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3">
      <w:pPr>
        <w:widowControl w:val="1"/>
        <w:tabs>
          <w:tab w:val="left" w:leader="none" w:pos="5940"/>
        </w:tabs>
        <w:ind w:hanging="2"/>
        <w:jc w:val="both"/>
        <w:rPr>
          <w:sz w:val="24"/>
          <w:szCs w:val="24"/>
        </w:rPr>
      </w:pPr>
      <w:r w:rsidDel="00000000" w:rsidR="00000000" w:rsidRPr="00000000">
        <w:rPr>
          <w:sz w:val="24"/>
          <w:szCs w:val="24"/>
          <w:rtl w:val="0"/>
        </w:rPr>
        <w:t xml:space="preserve">Koymiyama, T.; Ito, T.; Saigusa, M. Water solubility of phosphorus in animal manure compost. In: WORD CONGRESS OF SOIL SCIENCE&lt; 9., 210, Brisbane Proceedings… Brisbane: IUSS, 2010. 1 CD-ROM.</w:t>
      </w:r>
    </w:p>
    <w:p w:rsidR="00000000" w:rsidDel="00000000" w:rsidP="00000000" w:rsidRDefault="00000000" w:rsidRPr="00000000" w14:paraId="000000D4">
      <w:pPr>
        <w:widowControl w:val="1"/>
        <w:tabs>
          <w:tab w:val="left" w:leader="none" w:pos="5940"/>
        </w:tabs>
        <w:ind w:hanging="2"/>
        <w:jc w:val="both"/>
        <w:rPr>
          <w:sz w:val="24"/>
          <w:szCs w:val="24"/>
          <w:highlight w:val="white"/>
        </w:rPr>
      </w:pPr>
      <w:r w:rsidDel="00000000" w:rsidR="00000000" w:rsidRPr="00000000">
        <w:rPr>
          <w:rtl w:val="0"/>
        </w:rPr>
      </w:r>
    </w:p>
    <w:p w:rsidR="00000000" w:rsidDel="00000000" w:rsidP="00000000" w:rsidRDefault="00000000" w:rsidRPr="00000000" w14:paraId="000000D5">
      <w:pPr>
        <w:widowControl w:val="1"/>
        <w:tabs>
          <w:tab w:val="left" w:leader="none" w:pos="5940"/>
        </w:tabs>
        <w:ind w:hanging="2"/>
        <w:jc w:val="both"/>
        <w:rPr>
          <w:sz w:val="24"/>
          <w:szCs w:val="24"/>
          <w:highlight w:val="white"/>
        </w:rPr>
      </w:pPr>
      <w:r w:rsidDel="00000000" w:rsidR="00000000" w:rsidRPr="00000000">
        <w:rPr>
          <w:rtl w:val="0"/>
        </w:rPr>
      </w:r>
    </w:p>
    <w:p w:rsidR="00000000" w:rsidDel="00000000" w:rsidP="00000000" w:rsidRDefault="00000000" w:rsidRPr="00000000" w14:paraId="000000D6">
      <w:pPr>
        <w:widowControl w:val="1"/>
        <w:tabs>
          <w:tab w:val="left" w:leader="none" w:pos="5940"/>
        </w:tabs>
        <w:ind w:hanging="2"/>
        <w:jc w:val="both"/>
        <w:rPr>
          <w:sz w:val="24"/>
          <w:szCs w:val="24"/>
        </w:rPr>
      </w:pPr>
      <w:r w:rsidDel="00000000" w:rsidR="00000000" w:rsidRPr="00000000">
        <w:rPr>
          <w:sz w:val="24"/>
          <w:szCs w:val="24"/>
          <w:rtl w:val="0"/>
        </w:rPr>
        <w:t xml:space="preserve">Melo, L.C.A., Silva, C.A., De Oliveira Dias, B. Caracterização da matriz orgânica de resíduos de origens diversificadas. Rev. Bras. Ciência Solo 32, 101–110. 2008.</w:t>
      </w:r>
    </w:p>
    <w:p w:rsidR="00000000" w:rsidDel="00000000" w:rsidP="00000000" w:rsidRDefault="00000000" w:rsidRPr="00000000" w14:paraId="000000D7">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8">
      <w:pPr>
        <w:widowControl w:val="1"/>
        <w:tabs>
          <w:tab w:val="left" w:leader="none" w:pos="5940"/>
        </w:tabs>
        <w:ind w:hanging="2"/>
        <w:jc w:val="both"/>
        <w:rPr>
          <w:sz w:val="24"/>
          <w:szCs w:val="24"/>
        </w:rPr>
      </w:pPr>
      <w:r w:rsidDel="00000000" w:rsidR="00000000" w:rsidRPr="00000000">
        <w:rPr>
          <w:sz w:val="24"/>
          <w:szCs w:val="24"/>
          <w:rtl w:val="0"/>
        </w:rPr>
        <w:t xml:space="preserve">Melo, V. F. &amp; Alleoni, L. R. F. Química e Mineralogia do Solo. Viçosa-Mg: SBCS, v. 2, 2009. 685p.</w:t>
      </w:r>
    </w:p>
    <w:p w:rsidR="00000000" w:rsidDel="00000000" w:rsidP="00000000" w:rsidRDefault="00000000" w:rsidRPr="00000000" w14:paraId="000000D9">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A">
      <w:pPr>
        <w:widowControl w:val="1"/>
        <w:tabs>
          <w:tab w:val="left" w:leader="none" w:pos="5940"/>
        </w:tabs>
        <w:ind w:hanging="2"/>
        <w:jc w:val="both"/>
        <w:rPr>
          <w:sz w:val="24"/>
          <w:szCs w:val="24"/>
        </w:rPr>
      </w:pPr>
      <w:r w:rsidDel="00000000" w:rsidR="00000000" w:rsidRPr="00000000">
        <w:rPr>
          <w:sz w:val="24"/>
          <w:szCs w:val="24"/>
          <w:rtl w:val="0"/>
        </w:rPr>
        <w:t xml:space="preserve">Wang. H., Ok, Y. S. Response of microbial communities to biochar‑amended soils: a critical review. Biochar. 1:3–22. 2019.</w:t>
      </w:r>
    </w:p>
    <w:p w:rsidR="00000000" w:rsidDel="00000000" w:rsidP="00000000" w:rsidRDefault="00000000" w:rsidRPr="00000000" w14:paraId="000000DB">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C">
      <w:pPr>
        <w:widowControl w:val="1"/>
        <w:tabs>
          <w:tab w:val="left" w:leader="none" w:pos="5940"/>
        </w:tabs>
        <w:ind w:hanging="2"/>
        <w:jc w:val="both"/>
        <w:rPr>
          <w:sz w:val="24"/>
          <w:szCs w:val="24"/>
        </w:rPr>
      </w:pPr>
      <w:r w:rsidDel="00000000" w:rsidR="00000000" w:rsidRPr="00000000">
        <w:rPr>
          <w:sz w:val="24"/>
          <w:szCs w:val="24"/>
          <w:rtl w:val="0"/>
        </w:rPr>
        <w:t xml:space="preserve">Queiroz. .A.L.; Melém Jr., N.J. Efeito do tamanho do recipiente sobre o desenvolvimento de mudas de Açaí (Euterpe oleraceae Mart.). Revista Brasileira de Fruticulturas.  Jaboticabal, v.23, n.2, p.460-462. 2001.</w:t>
      </w:r>
    </w:p>
    <w:p w:rsidR="00000000" w:rsidDel="00000000" w:rsidP="00000000" w:rsidRDefault="00000000" w:rsidRPr="00000000" w14:paraId="000000DD">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DE">
      <w:pPr>
        <w:widowControl w:val="1"/>
        <w:tabs>
          <w:tab w:val="left" w:leader="none" w:pos="5940"/>
        </w:tabs>
        <w:ind w:hanging="2"/>
        <w:jc w:val="both"/>
        <w:rPr>
          <w:sz w:val="24"/>
          <w:szCs w:val="24"/>
        </w:rPr>
      </w:pPr>
      <w:r w:rsidDel="00000000" w:rsidR="00000000" w:rsidRPr="00000000">
        <w:rPr>
          <w:sz w:val="24"/>
          <w:szCs w:val="24"/>
          <w:rtl w:val="0"/>
        </w:rPr>
        <w:t xml:space="preserve">Rodrigues, M. N. et al. Soil fertility and nutrient dynamics in highly weathered Amazon soils. Agronomy for Sustainable Development, v. 43, p. 1-10, 2023</w:t>
      </w:r>
    </w:p>
    <w:p w:rsidR="00000000" w:rsidDel="00000000" w:rsidP="00000000" w:rsidRDefault="00000000" w:rsidRPr="00000000" w14:paraId="000000DF">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0">
      <w:pPr>
        <w:widowControl w:val="1"/>
        <w:tabs>
          <w:tab w:val="left" w:leader="none" w:pos="5940"/>
        </w:tabs>
        <w:ind w:hanging="2"/>
        <w:jc w:val="both"/>
        <w:rPr>
          <w:color w:val="222222"/>
          <w:sz w:val="24"/>
          <w:szCs w:val="24"/>
          <w:highlight w:val="white"/>
        </w:rPr>
      </w:pPr>
      <w:r w:rsidDel="00000000" w:rsidR="00000000" w:rsidRPr="00000000">
        <w:rPr>
          <w:color w:val="222222"/>
          <w:sz w:val="24"/>
          <w:szCs w:val="24"/>
          <w:highlight w:val="white"/>
          <w:rtl w:val="0"/>
        </w:rPr>
        <w:t xml:space="preserve">Ren, X., Wang, Q., Li, R., Chang, C. C., Pan, J., &amp; Zhang, Z. Effect of clay on greenhouse gas emissions and humification during pig manure composting as supported by spectroscopic evidence. </w:t>
      </w:r>
      <w:r w:rsidDel="00000000" w:rsidR="00000000" w:rsidRPr="00000000">
        <w:rPr>
          <w:i w:val="1"/>
          <w:color w:val="222222"/>
          <w:sz w:val="24"/>
          <w:szCs w:val="24"/>
          <w:highlight w:val="white"/>
          <w:rtl w:val="0"/>
        </w:rPr>
        <w:t xml:space="preserve">Science of the Total Environment</w:t>
      </w:r>
      <w:r w:rsidDel="00000000" w:rsidR="00000000" w:rsidRPr="00000000">
        <w:rPr>
          <w:color w:val="222222"/>
          <w:sz w:val="24"/>
          <w:szCs w:val="24"/>
          <w:highlight w:val="white"/>
          <w:rtl w:val="0"/>
        </w:rPr>
        <w:t xml:space="preserve">, </w:t>
      </w:r>
      <w:r w:rsidDel="00000000" w:rsidR="00000000" w:rsidRPr="00000000">
        <w:rPr>
          <w:i w:val="1"/>
          <w:color w:val="222222"/>
          <w:sz w:val="24"/>
          <w:szCs w:val="24"/>
          <w:highlight w:val="white"/>
          <w:rtl w:val="0"/>
        </w:rPr>
        <w:t xml:space="preserve">737</w:t>
      </w:r>
      <w:r w:rsidDel="00000000" w:rsidR="00000000" w:rsidRPr="00000000">
        <w:rPr>
          <w:color w:val="222222"/>
          <w:sz w:val="24"/>
          <w:szCs w:val="24"/>
          <w:highlight w:val="white"/>
          <w:rtl w:val="0"/>
        </w:rPr>
        <w:t xml:space="preserve">, 139712. 2020.</w:t>
      </w:r>
    </w:p>
    <w:p w:rsidR="00000000" w:rsidDel="00000000" w:rsidP="00000000" w:rsidRDefault="00000000" w:rsidRPr="00000000" w14:paraId="000000E1">
      <w:pPr>
        <w:widowControl w:val="1"/>
        <w:tabs>
          <w:tab w:val="left" w:leader="none" w:pos="5940"/>
        </w:tabs>
        <w:ind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E2">
      <w:pPr>
        <w:widowControl w:val="1"/>
        <w:tabs>
          <w:tab w:val="left" w:leader="none" w:pos="5940"/>
        </w:tabs>
        <w:ind w:hanging="2"/>
        <w:jc w:val="both"/>
        <w:rPr>
          <w:sz w:val="24"/>
          <w:szCs w:val="24"/>
        </w:rPr>
      </w:pPr>
      <w:r w:rsidDel="00000000" w:rsidR="00000000" w:rsidRPr="00000000">
        <w:rPr>
          <w:sz w:val="24"/>
          <w:szCs w:val="24"/>
          <w:rtl w:val="0"/>
        </w:rPr>
        <w:t xml:space="preserve">Rodrigues, M.S., F.C Da Silva, L.P Barreira E A. Kovacs. 2006. Compostagem: reciclagem de resíduos sólidos orgânicos. In: Spadotto, C.A.; Ribeiro, W. Gestão de resíduos na agricultura e agroindústria. FEPAF. Botucatu. P. 63-94.</w:t>
      </w:r>
    </w:p>
    <w:p w:rsidR="00000000" w:rsidDel="00000000" w:rsidP="00000000" w:rsidRDefault="00000000" w:rsidRPr="00000000" w14:paraId="000000E3">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4">
      <w:pPr>
        <w:widowControl w:val="1"/>
        <w:tabs>
          <w:tab w:val="left" w:leader="none" w:pos="5940"/>
        </w:tabs>
        <w:ind w:hanging="2"/>
        <w:jc w:val="both"/>
        <w:rPr>
          <w:sz w:val="24"/>
          <w:szCs w:val="24"/>
        </w:rPr>
      </w:pPr>
      <w:r w:rsidDel="00000000" w:rsidR="00000000" w:rsidRPr="00000000">
        <w:rPr>
          <w:sz w:val="24"/>
          <w:szCs w:val="24"/>
          <w:rtl w:val="0"/>
        </w:rPr>
        <w:t xml:space="preserve">Rodrigues, R.B.; Lichtenthäler, R.; Zimmermann, B.F.; Papagiannopoulos, M.; Fabricius, H.; Marx F. Total oxidan scavenging capacity of Euterpe oleracea Mart. (açaí) seeds and identification of their polyphenolic compounds. Journal of Agricultural and Food Chemistry, Washington, v.54, n.12, p.4162-4167, 2006.</w:t>
      </w:r>
    </w:p>
    <w:p w:rsidR="00000000" w:rsidDel="00000000" w:rsidP="00000000" w:rsidRDefault="00000000" w:rsidRPr="00000000" w14:paraId="000000E5">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6">
      <w:pPr>
        <w:widowControl w:val="1"/>
        <w:tabs>
          <w:tab w:val="left" w:leader="none" w:pos="5940"/>
        </w:tabs>
        <w:ind w:hanging="2"/>
        <w:jc w:val="both"/>
        <w:rPr>
          <w:sz w:val="24"/>
          <w:szCs w:val="24"/>
        </w:rPr>
      </w:pPr>
      <w:r w:rsidDel="00000000" w:rsidR="00000000" w:rsidRPr="00000000">
        <w:rPr>
          <w:sz w:val="24"/>
          <w:szCs w:val="24"/>
          <w:rtl w:val="0"/>
        </w:rPr>
        <w:t xml:space="preserve">Souza, A.L.K. De; Rufatto, L; Costa, V.B; Rufatto, A.R; Simões, F Compostagem com aeração forçada como alternativa de aproveitamento dos resíduos gerados pela agroindústria conserveira.  Bras. Agrociência, Pelotas, v.16, n.1-4, p.69-75, jan-dez, 2010.</w:t>
      </w:r>
    </w:p>
    <w:p w:rsidR="00000000" w:rsidDel="00000000" w:rsidP="00000000" w:rsidRDefault="00000000" w:rsidRPr="00000000" w14:paraId="000000E7">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8">
      <w:pPr>
        <w:widowControl w:val="1"/>
        <w:tabs>
          <w:tab w:val="left" w:leader="none" w:pos="5940"/>
        </w:tabs>
        <w:ind w:hanging="2"/>
        <w:jc w:val="both"/>
        <w:rPr>
          <w:sz w:val="24"/>
          <w:szCs w:val="24"/>
        </w:rPr>
      </w:pPr>
      <w:r w:rsidDel="00000000" w:rsidR="00000000" w:rsidRPr="00000000">
        <w:rPr>
          <w:sz w:val="24"/>
          <w:szCs w:val="24"/>
          <w:rtl w:val="0"/>
        </w:rPr>
        <w:t xml:space="preserve">Silva, J. M. et al. Açai seed biochar improves soil quality and black pepper seedling development in the Amazon region. </w:t>
      </w:r>
      <w:r w:rsidDel="00000000" w:rsidR="00000000" w:rsidRPr="00000000">
        <w:rPr>
          <w:i w:val="1"/>
          <w:sz w:val="24"/>
          <w:szCs w:val="24"/>
          <w:rtl w:val="0"/>
        </w:rPr>
        <w:t xml:space="preserve">Agriculture, Ecosystems &amp; Environment</w:t>
      </w:r>
      <w:r w:rsidDel="00000000" w:rsidR="00000000" w:rsidRPr="00000000">
        <w:rPr>
          <w:sz w:val="24"/>
          <w:szCs w:val="24"/>
          <w:rtl w:val="0"/>
        </w:rPr>
        <w:t xml:space="preserve">, v. 347, p. 108319, 2023.</w:t>
      </w:r>
    </w:p>
    <w:p w:rsidR="00000000" w:rsidDel="00000000" w:rsidP="00000000" w:rsidRDefault="00000000" w:rsidRPr="00000000" w14:paraId="000000E9">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A">
      <w:pPr>
        <w:widowControl w:val="1"/>
        <w:tabs>
          <w:tab w:val="left" w:leader="none" w:pos="5940"/>
        </w:tabs>
        <w:ind w:hanging="2"/>
        <w:jc w:val="both"/>
        <w:rPr>
          <w:sz w:val="24"/>
          <w:szCs w:val="24"/>
        </w:rPr>
      </w:pPr>
      <w:r w:rsidDel="00000000" w:rsidR="00000000" w:rsidRPr="00000000">
        <w:rPr>
          <w:sz w:val="24"/>
          <w:szCs w:val="24"/>
          <w:rtl w:val="0"/>
        </w:rPr>
        <w:t xml:space="preserve">Teixeira, L.B,; Oliveira, R.F. De; Junior J.F.; Germano, V.L.C. Processo de Compostagem Usando Resíduos das Agroindústrias de Açaí e de Palmito do Açaizeiro. Belém – PA. Embrapa. 2005.</w:t>
      </w:r>
    </w:p>
    <w:p w:rsidR="00000000" w:rsidDel="00000000" w:rsidP="00000000" w:rsidRDefault="00000000" w:rsidRPr="00000000" w14:paraId="000000EB">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C">
      <w:pPr>
        <w:widowControl w:val="1"/>
        <w:tabs>
          <w:tab w:val="left" w:leader="none" w:pos="5940"/>
        </w:tabs>
        <w:ind w:hanging="2"/>
        <w:jc w:val="both"/>
        <w:rPr>
          <w:sz w:val="24"/>
          <w:szCs w:val="24"/>
        </w:rPr>
      </w:pPr>
      <w:r w:rsidDel="00000000" w:rsidR="00000000" w:rsidRPr="00000000">
        <w:rPr>
          <w:sz w:val="24"/>
          <w:szCs w:val="24"/>
          <w:rtl w:val="0"/>
        </w:rPr>
        <w:t xml:space="preserve">Teixeira, L.B,; Oliveira, R.F. De ; Furlam Junior, J,; GERMANO, V.L.C. Características químicas do composto orgânico produzido com lixo orgânico, caroço de açaí, capim e serragem. Belém, PA, Embrapa Amazônia Oriental. 2004. 4f. (comunicado técnico, 105).</w:t>
      </w:r>
    </w:p>
    <w:p w:rsidR="00000000" w:rsidDel="00000000" w:rsidP="00000000" w:rsidRDefault="00000000" w:rsidRPr="00000000" w14:paraId="000000ED">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EE">
      <w:pPr>
        <w:widowControl w:val="1"/>
        <w:tabs>
          <w:tab w:val="left" w:leader="none" w:pos="5940"/>
        </w:tabs>
        <w:ind w:hanging="2"/>
        <w:jc w:val="both"/>
        <w:rPr>
          <w:sz w:val="24"/>
          <w:szCs w:val="24"/>
        </w:rPr>
      </w:pPr>
      <w:r w:rsidDel="00000000" w:rsidR="00000000" w:rsidRPr="00000000">
        <w:rPr>
          <w:sz w:val="24"/>
          <w:szCs w:val="24"/>
          <w:rtl w:val="0"/>
        </w:rPr>
        <w:t xml:space="preserve">Teixeira, L.B.; Germano, V.L.C,; Oliveira, R.F. De; Furlam Junior, J. Processo de compostagem a partir do lixo orgânico urbano e caroço de açaí. Belém: Embrapa Amazônia Oriental, 2002. 6p (Embrapa Amazônia Oriental. Circular Técnica, 29).</w:t>
      </w:r>
    </w:p>
    <w:p w:rsidR="00000000" w:rsidDel="00000000" w:rsidP="00000000" w:rsidRDefault="00000000" w:rsidRPr="00000000" w14:paraId="000000EF">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0">
      <w:pPr>
        <w:widowControl w:val="1"/>
        <w:tabs>
          <w:tab w:val="left" w:leader="none" w:pos="5940"/>
        </w:tabs>
        <w:ind w:hanging="2"/>
        <w:jc w:val="both"/>
        <w:rPr>
          <w:sz w:val="24"/>
          <w:szCs w:val="24"/>
        </w:rPr>
      </w:pPr>
      <w:r w:rsidDel="00000000" w:rsidR="00000000" w:rsidRPr="00000000">
        <w:rPr>
          <w:sz w:val="24"/>
          <w:szCs w:val="24"/>
          <w:rtl w:val="0"/>
        </w:rPr>
        <w:t xml:space="preserve">Teixeira, W. G. et al. Biochar for tropical soils: Long-term soil fertility enhancement. </w:t>
      </w:r>
      <w:r w:rsidDel="00000000" w:rsidR="00000000" w:rsidRPr="00000000">
        <w:rPr>
          <w:i w:val="1"/>
          <w:sz w:val="24"/>
          <w:szCs w:val="24"/>
          <w:rtl w:val="0"/>
        </w:rPr>
        <w:t xml:space="preserve">Geoderma</w:t>
      </w:r>
      <w:r w:rsidDel="00000000" w:rsidR="00000000" w:rsidRPr="00000000">
        <w:rPr>
          <w:sz w:val="24"/>
          <w:szCs w:val="24"/>
          <w:rtl w:val="0"/>
        </w:rPr>
        <w:t xml:space="preserve">, v. 424, p. 115923, 2022.</w:t>
      </w:r>
    </w:p>
    <w:p w:rsidR="00000000" w:rsidDel="00000000" w:rsidP="00000000" w:rsidRDefault="00000000" w:rsidRPr="00000000" w14:paraId="000000F1">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2">
      <w:pPr>
        <w:widowControl w:val="1"/>
        <w:tabs>
          <w:tab w:val="left" w:leader="none" w:pos="5940"/>
        </w:tabs>
        <w:ind w:hanging="2"/>
        <w:jc w:val="both"/>
        <w:rPr>
          <w:sz w:val="24"/>
          <w:szCs w:val="24"/>
        </w:rPr>
      </w:pPr>
      <w:r w:rsidDel="00000000" w:rsidR="00000000" w:rsidRPr="00000000">
        <w:rPr>
          <w:sz w:val="24"/>
          <w:szCs w:val="24"/>
          <w:rtl w:val="0"/>
        </w:rPr>
        <w:t xml:space="preserve">Valente, M. S. et al. Decomposition dynamics of organic matter in tropical soils: The role of particle size. </w:t>
      </w:r>
      <w:r w:rsidDel="00000000" w:rsidR="00000000" w:rsidRPr="00000000">
        <w:rPr>
          <w:i w:val="1"/>
          <w:sz w:val="24"/>
          <w:szCs w:val="24"/>
          <w:rtl w:val="0"/>
        </w:rPr>
        <w:t xml:space="preserve">Soil Biology and Biochemistry</w:t>
      </w:r>
      <w:r w:rsidDel="00000000" w:rsidR="00000000" w:rsidRPr="00000000">
        <w:rPr>
          <w:sz w:val="24"/>
          <w:szCs w:val="24"/>
          <w:rtl w:val="0"/>
        </w:rPr>
        <w:t xml:space="preserve">, v. 143, p. 107741, 2020.</w:t>
      </w:r>
    </w:p>
    <w:p w:rsidR="00000000" w:rsidDel="00000000" w:rsidP="00000000" w:rsidRDefault="00000000" w:rsidRPr="00000000" w14:paraId="000000F3">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4">
      <w:pPr>
        <w:widowControl w:val="1"/>
        <w:tabs>
          <w:tab w:val="left" w:leader="none" w:pos="5940"/>
        </w:tabs>
        <w:ind w:hanging="2"/>
        <w:jc w:val="both"/>
        <w:rPr>
          <w:sz w:val="24"/>
          <w:szCs w:val="24"/>
        </w:rPr>
      </w:pPr>
      <w:r w:rsidDel="00000000" w:rsidR="00000000" w:rsidRPr="00000000">
        <w:rPr>
          <w:sz w:val="24"/>
          <w:szCs w:val="24"/>
          <w:rtl w:val="0"/>
        </w:rPr>
        <w:t xml:space="preserve">Wang, Y., Villamil, M. B., Davidson, P. C., Akdeniz, N. A quantitative understanding of the role of co-composted biochar in plant growth using meta-analysis. Science of the Total Environment. 685. 741–752. 2019. </w:t>
      </w:r>
    </w:p>
    <w:p w:rsidR="00000000" w:rsidDel="00000000" w:rsidP="00000000" w:rsidRDefault="00000000" w:rsidRPr="00000000" w14:paraId="000000F5">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6">
      <w:pPr>
        <w:widowControl w:val="1"/>
        <w:tabs>
          <w:tab w:val="left" w:leader="none" w:pos="5940"/>
        </w:tabs>
        <w:ind w:hanging="2"/>
        <w:jc w:val="both"/>
        <w:rPr>
          <w:sz w:val="24"/>
          <w:szCs w:val="24"/>
        </w:rPr>
      </w:pPr>
      <w:r w:rsidDel="00000000" w:rsidR="00000000" w:rsidRPr="00000000">
        <w:rPr>
          <w:sz w:val="24"/>
          <w:szCs w:val="24"/>
          <w:rtl w:val="0"/>
        </w:rPr>
        <w:t xml:space="preserve">Xiao, R. et al. Composting of agricultural waste: A sustainable practice for organic waste management. </w:t>
      </w:r>
      <w:r w:rsidDel="00000000" w:rsidR="00000000" w:rsidRPr="00000000">
        <w:rPr>
          <w:i w:val="1"/>
          <w:sz w:val="24"/>
          <w:szCs w:val="24"/>
          <w:rtl w:val="0"/>
        </w:rPr>
        <w:t xml:space="preserve">Bioresource Technology Reports</w:t>
      </w:r>
      <w:r w:rsidDel="00000000" w:rsidR="00000000" w:rsidRPr="00000000">
        <w:rPr>
          <w:sz w:val="24"/>
          <w:szCs w:val="24"/>
          <w:rtl w:val="0"/>
        </w:rPr>
        <w:t xml:space="preserve">, v. 11, p. 100468, 2020</w:t>
      </w:r>
    </w:p>
    <w:p w:rsidR="00000000" w:rsidDel="00000000" w:rsidP="00000000" w:rsidRDefault="00000000" w:rsidRPr="00000000" w14:paraId="000000F7">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8">
      <w:pPr>
        <w:widowControl w:val="1"/>
        <w:tabs>
          <w:tab w:val="left" w:leader="none" w:pos="5940"/>
        </w:tabs>
        <w:ind w:hanging="2"/>
        <w:jc w:val="both"/>
        <w:rPr>
          <w:sz w:val="24"/>
          <w:szCs w:val="24"/>
        </w:rPr>
      </w:pPr>
      <w:r w:rsidDel="00000000" w:rsidR="00000000" w:rsidRPr="00000000">
        <w:rPr>
          <w:sz w:val="24"/>
          <w:szCs w:val="24"/>
          <w:rtl w:val="0"/>
        </w:rPr>
        <w:t xml:space="preserve">Xiao, R., Awasthi, M. K., Li, R., Park, J., Pensky, S. M., Wang, Q., Wang, J. J., Zhang, Z. Recent developments in biochar utilization as an additive in organic solid waste composting: A review. Bioresource Technology. 246. 203–213. 2017.</w:t>
      </w:r>
    </w:p>
    <w:p w:rsidR="00000000" w:rsidDel="00000000" w:rsidP="00000000" w:rsidRDefault="00000000" w:rsidRPr="00000000" w14:paraId="000000F9">
      <w:pPr>
        <w:widowControl w:val="1"/>
        <w:tabs>
          <w:tab w:val="left" w:leader="none" w:pos="5940"/>
        </w:tabs>
        <w:ind w:hanging="2"/>
        <w:jc w:val="both"/>
        <w:rPr>
          <w:sz w:val="24"/>
          <w:szCs w:val="24"/>
        </w:rPr>
      </w:pPr>
      <w:r w:rsidDel="00000000" w:rsidR="00000000" w:rsidRPr="00000000">
        <w:rPr>
          <w:rtl w:val="0"/>
        </w:rPr>
      </w:r>
    </w:p>
    <w:p w:rsidR="00000000" w:rsidDel="00000000" w:rsidP="00000000" w:rsidRDefault="00000000" w:rsidRPr="00000000" w14:paraId="000000FA">
      <w:pPr>
        <w:widowControl w:val="1"/>
        <w:tabs>
          <w:tab w:val="left" w:leader="none" w:pos="5940"/>
        </w:tabs>
        <w:ind w:hanging="2"/>
        <w:jc w:val="both"/>
        <w:rPr>
          <w:color w:val="222222"/>
          <w:sz w:val="24"/>
          <w:szCs w:val="24"/>
          <w:highlight w:val="white"/>
        </w:rPr>
      </w:pPr>
      <w:r w:rsidDel="00000000" w:rsidR="00000000" w:rsidRPr="00000000">
        <w:rPr>
          <w:color w:val="222222"/>
          <w:sz w:val="24"/>
          <w:szCs w:val="24"/>
          <w:highlight w:val="white"/>
          <w:rtl w:val="0"/>
        </w:rPr>
        <w:t xml:space="preserve">Yang, Y; Du, W., Cui, Z., Zhao, T., Wang, X., Lv, J. Spectroscopic characteristics of dissolved organic matter during pig manure composting with bean dregs and biochar amendments. Microchemical Journal, v. 158, p. 105226, 2020.</w:t>
      </w:r>
    </w:p>
    <w:p w:rsidR="00000000" w:rsidDel="00000000" w:rsidP="00000000" w:rsidRDefault="00000000" w:rsidRPr="00000000" w14:paraId="000000FB">
      <w:pPr>
        <w:widowControl w:val="1"/>
        <w:tabs>
          <w:tab w:val="left" w:leader="none" w:pos="5940"/>
        </w:tabs>
        <w:ind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FC">
      <w:pPr>
        <w:widowControl w:val="1"/>
        <w:ind w:hanging="2"/>
        <w:jc w:val="both"/>
        <w:rPr>
          <w:sz w:val="24"/>
          <w:szCs w:val="24"/>
        </w:rPr>
      </w:pPr>
      <w:r w:rsidDel="00000000" w:rsidR="00000000" w:rsidRPr="00000000">
        <w:rPr>
          <w:sz w:val="24"/>
          <w:szCs w:val="24"/>
          <w:rtl w:val="0"/>
        </w:rPr>
        <w:t xml:space="preserve">Zhao, L. et al. Copyrolysis of biomass with phosphate fertilizers to improve biochar carbon retention, slow nutrient release, and stabilize heavy metals in soil. Acs Sustainable Chemistry &amp; Engineering, v. 4, n. 3, p. 1630-1636, 2016.</w:t>
      </w:r>
    </w:p>
    <w:p w:rsidR="00000000" w:rsidDel="00000000" w:rsidP="00000000" w:rsidRDefault="00000000" w:rsidRPr="00000000" w14:paraId="000000FD">
      <w:pPr>
        <w:widowControl w:val="1"/>
        <w:ind w:hanging="2"/>
        <w:jc w:val="both"/>
        <w:rPr>
          <w:sz w:val="24"/>
          <w:szCs w:val="24"/>
        </w:rPr>
      </w:pPr>
      <w:r w:rsidDel="00000000" w:rsidR="00000000" w:rsidRPr="00000000">
        <w:rPr>
          <w:rtl w:val="0"/>
        </w:rPr>
      </w:r>
    </w:p>
    <w:p w:rsidR="00000000" w:rsidDel="00000000" w:rsidP="00000000" w:rsidRDefault="00000000" w:rsidRPr="00000000" w14:paraId="000000FE">
      <w:pPr>
        <w:widowControl w:val="1"/>
        <w:ind w:hanging="2"/>
        <w:jc w:val="both"/>
        <w:rPr>
          <w:sz w:val="24"/>
          <w:szCs w:val="24"/>
        </w:rPr>
      </w:pPr>
      <w:r w:rsidDel="00000000" w:rsidR="00000000" w:rsidRPr="00000000">
        <w:rPr>
          <w:sz w:val="24"/>
          <w:szCs w:val="24"/>
          <w:rtl w:val="0"/>
        </w:rPr>
        <w:t xml:space="preserve">Zhao, X. et al. Enhancing the agronomic efficiency of biochar: Approaches and mechanisms. </w:t>
      </w:r>
      <w:r w:rsidDel="00000000" w:rsidR="00000000" w:rsidRPr="00000000">
        <w:rPr>
          <w:i w:val="1"/>
          <w:sz w:val="24"/>
          <w:szCs w:val="24"/>
          <w:rtl w:val="0"/>
        </w:rPr>
        <w:t xml:space="preserve">Science of The Total Environment</w:t>
      </w:r>
      <w:r w:rsidDel="00000000" w:rsidR="00000000" w:rsidRPr="00000000">
        <w:rPr>
          <w:sz w:val="24"/>
          <w:szCs w:val="24"/>
          <w:rtl w:val="0"/>
        </w:rPr>
        <w:t xml:space="preserve">, v. 752, p. 141755, 2021.</w:t>
      </w:r>
    </w:p>
    <w:p w:rsidR="00000000" w:rsidDel="00000000" w:rsidP="00000000" w:rsidRDefault="00000000" w:rsidRPr="00000000" w14:paraId="000000FF">
      <w:pPr>
        <w:widowControl w:val="1"/>
        <w:ind w:hanging="2"/>
        <w:jc w:val="both"/>
        <w:rPr>
          <w:sz w:val="24"/>
          <w:szCs w:val="24"/>
        </w:rPr>
      </w:pPr>
      <w:r w:rsidDel="00000000" w:rsidR="00000000" w:rsidRPr="00000000">
        <w:rPr>
          <w:rtl w:val="0"/>
        </w:rPr>
      </w:r>
    </w:p>
    <w:p w:rsidR="00000000" w:rsidDel="00000000" w:rsidP="00000000" w:rsidRDefault="00000000" w:rsidRPr="00000000" w14:paraId="00000100">
      <w:pPr>
        <w:widowControl w:val="1"/>
        <w:ind w:hanging="2"/>
        <w:jc w:val="both"/>
        <w:rPr/>
      </w:pPr>
      <w:r w:rsidDel="00000000" w:rsidR="00000000" w:rsidRPr="00000000">
        <w:rPr>
          <w:color w:val="222222"/>
          <w:sz w:val="24"/>
          <w:szCs w:val="24"/>
          <w:highlight w:val="white"/>
          <w:rtl w:val="0"/>
        </w:rPr>
        <w:t xml:space="preserve">Zhou, L., Xu, D., Li, Y., Pan, Q., Wang, J., Xue, L., &amp; Howard, A. Phosphorus and nitrogen adsorption capacities of biochars derived from feedstocks at different pyrolysis temperatures. </w:t>
      </w:r>
      <w:r w:rsidDel="00000000" w:rsidR="00000000" w:rsidRPr="00000000">
        <w:rPr>
          <w:i w:val="1"/>
          <w:color w:val="222222"/>
          <w:sz w:val="24"/>
          <w:szCs w:val="24"/>
          <w:highlight w:val="white"/>
          <w:rtl w:val="0"/>
        </w:rPr>
        <w:t xml:space="preserve">Water</w:t>
      </w:r>
      <w:r w:rsidDel="00000000" w:rsidR="00000000" w:rsidRPr="00000000">
        <w:rPr>
          <w:color w:val="222222"/>
          <w:sz w:val="24"/>
          <w:szCs w:val="24"/>
          <w:highlight w:val="white"/>
          <w:rtl w:val="0"/>
        </w:rPr>
        <w:t xml:space="preserve">, </w:t>
      </w:r>
      <w:r w:rsidDel="00000000" w:rsidR="00000000" w:rsidRPr="00000000">
        <w:rPr>
          <w:i w:val="1"/>
          <w:color w:val="222222"/>
          <w:sz w:val="24"/>
          <w:szCs w:val="24"/>
          <w:highlight w:val="white"/>
          <w:rtl w:val="0"/>
        </w:rPr>
        <w:t xml:space="preserve">11</w:t>
      </w:r>
      <w:r w:rsidDel="00000000" w:rsidR="00000000" w:rsidRPr="00000000">
        <w:rPr>
          <w:color w:val="222222"/>
          <w:sz w:val="24"/>
          <w:szCs w:val="24"/>
          <w:highlight w:val="white"/>
          <w:rtl w:val="0"/>
        </w:rPr>
        <w:t xml:space="preserve">(8), 1559. 2019.</w:t>
      </w:r>
      <w:r w:rsidDel="00000000" w:rsidR="00000000" w:rsidRPr="00000000">
        <w:rPr>
          <w:rtl w:val="0"/>
        </w:rPr>
      </w:r>
    </w:p>
    <w:sectPr>
      <w:headerReference r:id="rId10" w:type="default"/>
      <w:footerReference r:id="rId11" w:type="default"/>
      <w:pgSz w:h="16840" w:w="1191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6350</wp:posOffset>
          </wp:positionV>
          <wp:extent cx="600075" cy="191770"/>
          <wp:effectExtent b="0" l="0" r="0" t="0"/>
          <wp:wrapSquare wrapText="bothSides" distB="0" distT="0" distL="114300" distR="114300"/>
          <wp:docPr id="20236913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191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202369133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202369133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2023691326"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2023691330"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13335</wp:posOffset>
          </wp:positionV>
          <wp:extent cx="1447800" cy="398145"/>
          <wp:effectExtent b="0" l="0" r="0" t="0"/>
          <wp:wrapSquare wrapText="bothSides" distB="0" distT="0" distL="114300" distR="114300"/>
          <wp:docPr id="202369133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47800" cy="398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1447800" cy="1447800"/>
          <wp:effectExtent b="0" l="0" r="0" t="0"/>
          <wp:docPr id="20236913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7800" cy="144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spacing w:before="120"/>
      <w:ind w:left="821" w:right="115" w:hanging="360"/>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5A1575"/>
    <w:pPr>
      <w:tabs>
        <w:tab w:val="center" w:pos="4252"/>
        <w:tab w:val="right" w:pos="8504"/>
      </w:tabs>
    </w:pPr>
  </w:style>
  <w:style w:type="character" w:styleId="CabealhoChar" w:customStyle="1">
    <w:name w:val="Cabeçalho Char"/>
    <w:basedOn w:val="Fontepargpadro"/>
    <w:link w:val="Cabealho"/>
    <w:uiPriority w:val="99"/>
    <w:rsid w:val="005A1575"/>
    <w:rPr>
      <w:rFonts w:ascii="Times New Roman" w:cs="Times New Roman" w:eastAsia="Times New Roman" w:hAnsi="Times New Roman"/>
      <w:lang w:val="pt-PT"/>
    </w:rPr>
  </w:style>
  <w:style w:type="paragraph" w:styleId="Rodap">
    <w:name w:val="footer"/>
    <w:basedOn w:val="Normal"/>
    <w:link w:val="RodapChar"/>
    <w:uiPriority w:val="99"/>
    <w:unhideWhenUsed w:val="1"/>
    <w:rsid w:val="005A1575"/>
    <w:pPr>
      <w:tabs>
        <w:tab w:val="center" w:pos="4252"/>
        <w:tab w:val="right" w:pos="8504"/>
      </w:tabs>
    </w:pPr>
  </w:style>
  <w:style w:type="character" w:styleId="RodapChar" w:customStyle="1">
    <w:name w:val="Rodapé Char"/>
    <w:basedOn w:val="Fontepargpadro"/>
    <w:link w:val="Rodap"/>
    <w:uiPriority w:val="99"/>
    <w:rsid w:val="005A1575"/>
    <w:rPr>
      <w:rFonts w:ascii="Times New Roman" w:cs="Times New Roman" w:eastAsia="Times New Roman" w:hAnsi="Times New Roman"/>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70.0" w:type="dxa"/>
        <w:right w:w="70.0" w:type="dxa"/>
      </w:tblCellMar>
    </w:tblPr>
  </w:style>
  <w:style w:type="character" w:styleId="Refdecomentrio">
    <w:name w:val="annotation reference"/>
    <w:basedOn w:val="Fontepargpadro"/>
    <w:uiPriority w:val="99"/>
    <w:semiHidden w:val="1"/>
    <w:unhideWhenUsed w:val="1"/>
    <w:rsid w:val="00321DFB"/>
    <w:rPr>
      <w:sz w:val="16"/>
      <w:szCs w:val="16"/>
    </w:rPr>
  </w:style>
  <w:style w:type="paragraph" w:styleId="Textodecomentrio">
    <w:name w:val="annotation text"/>
    <w:basedOn w:val="Normal"/>
    <w:link w:val="TextodecomentrioChar"/>
    <w:uiPriority w:val="99"/>
    <w:unhideWhenUsed w:val="1"/>
    <w:rsid w:val="00321DFB"/>
    <w:rPr>
      <w:sz w:val="20"/>
      <w:szCs w:val="20"/>
    </w:rPr>
  </w:style>
  <w:style w:type="character" w:styleId="TextodecomentrioChar" w:customStyle="1">
    <w:name w:val="Texto de comentário Char"/>
    <w:basedOn w:val="Fontepargpadro"/>
    <w:link w:val="Textodecomentrio"/>
    <w:uiPriority w:val="99"/>
    <w:rsid w:val="00321DFB"/>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321DFB"/>
    <w:rPr>
      <w:b w:val="1"/>
      <w:bCs w:val="1"/>
    </w:rPr>
  </w:style>
  <w:style w:type="character" w:styleId="AssuntodocomentrioChar" w:customStyle="1">
    <w:name w:val="Assunto do comentário Char"/>
    <w:basedOn w:val="TextodecomentrioChar"/>
    <w:link w:val="Assuntodocomentrio"/>
    <w:uiPriority w:val="99"/>
    <w:semiHidden w:val="1"/>
    <w:rsid w:val="00321DFB"/>
    <w:rPr>
      <w:b w:val="1"/>
      <w:bCs w:val="1"/>
      <w:sz w:val="20"/>
      <w:szCs w:val="20"/>
    </w:rPr>
  </w:style>
  <w:style w:type="paragraph" w:styleId="Reviso">
    <w:name w:val="Revision"/>
    <w:hidden w:val="1"/>
    <w:uiPriority w:val="99"/>
    <w:semiHidden w:val="1"/>
    <w:rsid w:val="00253B29"/>
    <w:pPr>
      <w:widowControl w:val="1"/>
    </w:pPr>
  </w:style>
  <w:style w:type="character" w:styleId="Hyperlink">
    <w:name w:val="Hyperlink"/>
    <w:basedOn w:val="Fontepargpadro"/>
    <w:uiPriority w:val="99"/>
    <w:unhideWhenUsed w:val="1"/>
    <w:rsid w:val="00EF10A2"/>
    <w:rPr>
      <w:color w:val="0000ff" w:themeColor="hyperlink"/>
      <w:u w:val="single"/>
    </w:rPr>
  </w:style>
  <w:style w:type="character" w:styleId="MenoPendente">
    <w:name w:val="Unresolved Mention"/>
    <w:basedOn w:val="Fontepargpadro"/>
    <w:uiPriority w:val="99"/>
    <w:semiHidden w:val="1"/>
    <w:unhideWhenUsed w:val="1"/>
    <w:rsid w:val="00EF10A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8.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tonio.fernandes@ufra.edu.br" TargetMode="External"/><Relationship Id="rId8" Type="http://schemas.openxmlformats.org/officeDocument/2006/relationships/image" Target="media/image9.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bVewMFXIjlupD+qb5Y0VPY7aPg==">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2024-11-29T20:23:00Z</dcterms:created>
  <dc:creator>Lísias Faria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2022-08-23T00:00:00Z</vt:lpwstr>
  </property>
  <property fmtid="{D5CDD505-2E9C-101B-9397-08002B2CF9AE}" pid="3" name="Creator">
    <vt:lpwstr>Microsoft® Word para Microsoft 365</vt:lpwstr>
  </property>
  <property fmtid="{D5CDD505-2E9C-101B-9397-08002B2CF9AE}" pid="4" name="LastSaved">
    <vt:lpwstr>2023-08-30T00:00:00Z</vt:lpwstr>
  </property>
</Properties>
</file>