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7313E" w14:textId="4BA6A04C" w:rsidR="00E14ABB" w:rsidRPr="005533C4" w:rsidRDefault="0030146D" w:rsidP="00E14ABB">
      <w:pPr>
        <w:jc w:val="center"/>
        <w:rPr>
          <w:szCs w:val="24"/>
        </w:rPr>
      </w:pPr>
      <w:r>
        <w:rPr>
          <w:b/>
          <w:bCs/>
          <w:szCs w:val="24"/>
        </w:rPr>
        <w:t>SUBSTÂNCIAS HÚMICAS E BIOESTIMULANTES NA PRODUÇÃO DA ALFACE (</w:t>
      </w:r>
      <w:r>
        <w:rPr>
          <w:b/>
          <w:bCs/>
          <w:i/>
          <w:iCs/>
          <w:szCs w:val="24"/>
        </w:rPr>
        <w:t>Lactuca sativa L).</w:t>
      </w:r>
      <w:r w:rsidR="00E14ABB" w:rsidRPr="00F37878">
        <w:rPr>
          <w:b/>
          <w:bCs/>
          <w:szCs w:val="24"/>
        </w:rPr>
        <w:t xml:space="preserve"> </w:t>
      </w:r>
    </w:p>
    <w:p w14:paraId="24ECE530" w14:textId="55B8BB69" w:rsidR="003949CE" w:rsidRDefault="003949CE" w:rsidP="00E14ABB">
      <w:pPr>
        <w:pBdr>
          <w:bottom w:val="none" w:sz="0" w:space="8" w:color="000000"/>
        </w:pBdr>
        <w:shd w:val="clear" w:color="auto" w:fill="FFFFFF"/>
        <w:tabs>
          <w:tab w:val="left" w:pos="2500"/>
        </w:tabs>
        <w:rPr>
          <w:szCs w:val="24"/>
        </w:rPr>
      </w:pPr>
    </w:p>
    <w:p w14:paraId="7688AEF1" w14:textId="77777777" w:rsidR="005533C4" w:rsidRPr="005533C4" w:rsidRDefault="005533C4" w:rsidP="00E14ABB">
      <w:pPr>
        <w:pBdr>
          <w:bottom w:val="none" w:sz="0" w:space="8" w:color="000000"/>
        </w:pBdr>
        <w:shd w:val="clear" w:color="auto" w:fill="FFFFFF"/>
        <w:tabs>
          <w:tab w:val="left" w:pos="2500"/>
        </w:tabs>
        <w:rPr>
          <w:szCs w:val="24"/>
        </w:rPr>
      </w:pPr>
    </w:p>
    <w:p w14:paraId="1C4160AC" w14:textId="77777777" w:rsidR="00476DBA" w:rsidRDefault="00476DBA" w:rsidP="00476DBA">
      <w:pPr>
        <w:shd w:val="clear" w:color="auto" w:fill="FFFFFF"/>
        <w:tabs>
          <w:tab w:val="left" w:pos="2500"/>
        </w:tabs>
        <w:jc w:val="center"/>
        <w:rPr>
          <w:szCs w:val="24"/>
          <w:vertAlign w:val="superscript"/>
        </w:rPr>
      </w:pPr>
      <w:r>
        <w:rPr>
          <w:szCs w:val="24"/>
        </w:rPr>
        <w:t>Valéria Vitória de Souza Santos</w:t>
      </w:r>
      <w:r>
        <w:rPr>
          <w:szCs w:val="24"/>
          <w:vertAlign w:val="superscript"/>
        </w:rPr>
        <w:t>1</w:t>
      </w:r>
      <w:r>
        <w:rPr>
          <w:szCs w:val="24"/>
        </w:rPr>
        <w:t>; Alana Valeria Silva Oliveira</w:t>
      </w:r>
      <w:r w:rsidRPr="006738A7">
        <w:rPr>
          <w:szCs w:val="24"/>
          <w:vertAlign w:val="superscript"/>
        </w:rPr>
        <w:t>2</w:t>
      </w:r>
      <w:r>
        <w:rPr>
          <w:szCs w:val="24"/>
        </w:rPr>
        <w:t>;</w:t>
      </w:r>
      <w:r>
        <w:rPr>
          <w:szCs w:val="24"/>
          <w:vertAlign w:val="superscript"/>
        </w:rPr>
        <w:t xml:space="preserve"> </w:t>
      </w:r>
      <w:r>
        <w:rPr>
          <w:szCs w:val="24"/>
        </w:rPr>
        <w:t>Thyago Gonçalves Miranda</w:t>
      </w:r>
      <w:r>
        <w:rPr>
          <w:szCs w:val="24"/>
          <w:vertAlign w:val="superscript"/>
        </w:rPr>
        <w:t>3</w:t>
      </w:r>
      <w:r>
        <w:rPr>
          <w:szCs w:val="24"/>
        </w:rPr>
        <w:t>; Gleidson Marques Pereira</w:t>
      </w:r>
      <w:r w:rsidRPr="006738A7">
        <w:rPr>
          <w:szCs w:val="24"/>
          <w:vertAlign w:val="superscript"/>
        </w:rPr>
        <w:t>4</w:t>
      </w:r>
      <w:r>
        <w:rPr>
          <w:szCs w:val="24"/>
        </w:rPr>
        <w:t>.</w:t>
      </w:r>
    </w:p>
    <w:p w14:paraId="13266B59" w14:textId="77777777" w:rsidR="00476DBA" w:rsidRPr="00453F4D" w:rsidRDefault="00476DBA" w:rsidP="00476DBA">
      <w:pPr>
        <w:shd w:val="clear" w:color="auto" w:fill="FFFFFF"/>
        <w:tabs>
          <w:tab w:val="left" w:pos="2500"/>
        </w:tabs>
        <w:jc w:val="center"/>
        <w:rPr>
          <w:szCs w:val="24"/>
          <w:vertAlign w:val="superscript"/>
        </w:rPr>
      </w:pPr>
    </w:p>
    <w:p w14:paraId="43F0E609" w14:textId="77777777" w:rsidR="00476DBA" w:rsidRPr="006738A7" w:rsidRDefault="00476DBA" w:rsidP="00476DBA">
      <w:pPr>
        <w:jc w:val="center"/>
        <w:rPr>
          <w:color w:val="0000FF" w:themeColor="hyperlink"/>
          <w:szCs w:val="24"/>
          <w:u w:val="single"/>
        </w:rPr>
      </w:pPr>
      <w:r w:rsidRPr="00E14ABB">
        <w:rPr>
          <w:szCs w:val="24"/>
        </w:rPr>
        <w:t>¹</w:t>
      </w:r>
      <w:r>
        <w:rPr>
          <w:szCs w:val="24"/>
        </w:rPr>
        <w:t xml:space="preserve"> </w:t>
      </w:r>
      <w:r w:rsidRPr="00E14ABB">
        <w:rPr>
          <w:szCs w:val="24"/>
        </w:rPr>
        <w:t xml:space="preserve">Graduando em Ciências Biológicas. Universidade do </w:t>
      </w:r>
      <w:r>
        <w:rPr>
          <w:szCs w:val="24"/>
        </w:rPr>
        <w:t>E</w:t>
      </w:r>
      <w:r w:rsidRPr="00E14ABB">
        <w:rPr>
          <w:szCs w:val="24"/>
        </w:rPr>
        <w:t xml:space="preserve">stado do Pará. </w:t>
      </w:r>
      <w:hyperlink r:id="rId8" w:history="1">
        <w:r w:rsidRPr="005D2EB1">
          <w:rPr>
            <w:rStyle w:val="Hyperlink"/>
            <w:szCs w:val="24"/>
          </w:rPr>
          <w:t>valeriavitoria619@gmail.com</w:t>
        </w:r>
      </w:hyperlink>
    </w:p>
    <w:p w14:paraId="0BB5C3A9" w14:textId="77777777" w:rsidR="00476DBA" w:rsidRDefault="00476DBA" w:rsidP="00476DBA">
      <w:pPr>
        <w:jc w:val="center"/>
        <w:rPr>
          <w:szCs w:val="24"/>
        </w:rPr>
      </w:pPr>
      <w:r w:rsidRPr="006738A7">
        <w:rPr>
          <w:szCs w:val="24"/>
          <w:vertAlign w:val="superscript"/>
        </w:rPr>
        <w:t>2</w:t>
      </w:r>
      <w:r>
        <w:rPr>
          <w:szCs w:val="24"/>
        </w:rPr>
        <w:t xml:space="preserve"> </w:t>
      </w:r>
      <w:r w:rsidRPr="00E14ABB">
        <w:rPr>
          <w:szCs w:val="24"/>
        </w:rPr>
        <w:t xml:space="preserve">Graduando em Ciências Biológicas. Universidade do </w:t>
      </w:r>
      <w:r>
        <w:rPr>
          <w:szCs w:val="24"/>
        </w:rPr>
        <w:t>E</w:t>
      </w:r>
      <w:r w:rsidRPr="00E14ABB">
        <w:rPr>
          <w:szCs w:val="24"/>
        </w:rPr>
        <w:t>stado do Pará.</w:t>
      </w:r>
    </w:p>
    <w:p w14:paraId="571FDC72" w14:textId="77777777" w:rsidR="00476DBA" w:rsidRPr="006738A7" w:rsidRDefault="00476DBA" w:rsidP="00476DBA">
      <w:pPr>
        <w:jc w:val="center"/>
        <w:rPr>
          <w:szCs w:val="24"/>
        </w:rPr>
      </w:pPr>
      <w:hyperlink r:id="rId9" w:history="1">
        <w:r w:rsidRPr="00B31C78">
          <w:rPr>
            <w:rStyle w:val="Hyperlink"/>
            <w:szCs w:val="24"/>
          </w:rPr>
          <w:t>alanavaleriasilvaoliveira@gmail.com</w:t>
        </w:r>
      </w:hyperlink>
    </w:p>
    <w:p w14:paraId="7C58E823" w14:textId="77777777" w:rsidR="00476DBA" w:rsidRDefault="00476DBA" w:rsidP="00476DBA">
      <w:pPr>
        <w:keepLines/>
        <w:pBdr>
          <w:bottom w:val="none" w:sz="0" w:space="8" w:color="000000"/>
        </w:pBdr>
        <w:shd w:val="clear" w:color="auto" w:fill="FFFFFF"/>
        <w:tabs>
          <w:tab w:val="left" w:pos="2500"/>
        </w:tabs>
        <w:jc w:val="center"/>
        <w:rPr>
          <w:szCs w:val="24"/>
        </w:rPr>
      </w:pPr>
      <w:r w:rsidRPr="006738A7">
        <w:rPr>
          <w:szCs w:val="24"/>
          <w:vertAlign w:val="superscript"/>
        </w:rPr>
        <w:t>3</w:t>
      </w:r>
      <w:r>
        <w:rPr>
          <w:szCs w:val="24"/>
          <w:vertAlign w:val="superscript"/>
        </w:rPr>
        <w:t xml:space="preserve"> </w:t>
      </w:r>
      <w:r w:rsidRPr="009F346B">
        <w:rPr>
          <w:szCs w:val="24"/>
        </w:rPr>
        <w:t xml:space="preserve">Doutor em Biodiversidade e Biotecnologia. Universidade do Estado do Pará. </w:t>
      </w:r>
      <w:r>
        <w:fldChar w:fldCharType="begin"/>
      </w:r>
      <w:r>
        <w:instrText>HYPERLINK "mailto:thyagomiran@hotmail.com"</w:instrText>
      </w:r>
      <w:r>
        <w:fldChar w:fldCharType="separate"/>
      </w:r>
      <w:r w:rsidRPr="002F7908">
        <w:rPr>
          <w:rStyle w:val="Hyperlink"/>
          <w:szCs w:val="24"/>
        </w:rPr>
        <w:t>thyagomiran@hotmail.com</w:t>
      </w:r>
      <w:r>
        <w:rPr>
          <w:rStyle w:val="Hyperlink"/>
          <w:szCs w:val="24"/>
        </w:rPr>
        <w:fldChar w:fldCharType="end"/>
      </w:r>
      <w:r>
        <w:rPr>
          <w:szCs w:val="24"/>
        </w:rPr>
        <w:t xml:space="preserve"> </w:t>
      </w:r>
    </w:p>
    <w:p w14:paraId="79CE880A" w14:textId="77777777" w:rsidR="00476DBA" w:rsidRDefault="00476DBA" w:rsidP="00476DBA">
      <w:pPr>
        <w:keepLines/>
        <w:pBdr>
          <w:bottom w:val="none" w:sz="0" w:space="8" w:color="000000"/>
        </w:pBdr>
        <w:shd w:val="clear" w:color="auto" w:fill="FFFFFF"/>
        <w:tabs>
          <w:tab w:val="left" w:pos="2500"/>
        </w:tabs>
        <w:jc w:val="center"/>
        <w:rPr>
          <w:szCs w:val="24"/>
        </w:rPr>
      </w:pPr>
      <w:r w:rsidRPr="006738A7">
        <w:rPr>
          <w:szCs w:val="24"/>
          <w:vertAlign w:val="superscript"/>
        </w:rPr>
        <w:t>4</w:t>
      </w:r>
      <w:r>
        <w:rPr>
          <w:szCs w:val="24"/>
          <w:vertAlign w:val="superscript"/>
        </w:rPr>
        <w:t xml:space="preserve"> </w:t>
      </w:r>
      <w:r>
        <w:rPr>
          <w:szCs w:val="24"/>
        </w:rPr>
        <w:t>Mestre em Agronomia – Solos e Nutrição da Plantas</w:t>
      </w:r>
      <w:r w:rsidRPr="00E14ABB">
        <w:rPr>
          <w:szCs w:val="24"/>
        </w:rPr>
        <w:t xml:space="preserve">. Universidade do </w:t>
      </w:r>
      <w:r>
        <w:rPr>
          <w:szCs w:val="24"/>
        </w:rPr>
        <w:t>E</w:t>
      </w:r>
      <w:r w:rsidRPr="00E14ABB">
        <w:rPr>
          <w:szCs w:val="24"/>
        </w:rPr>
        <w:t>stado do Pará.</w:t>
      </w:r>
    </w:p>
    <w:p w14:paraId="0345D542" w14:textId="77777777" w:rsidR="00476DBA" w:rsidRDefault="00476DBA" w:rsidP="00476DBA">
      <w:pPr>
        <w:keepLines/>
        <w:pBdr>
          <w:bottom w:val="none" w:sz="0" w:space="8" w:color="000000"/>
        </w:pBdr>
        <w:shd w:val="clear" w:color="auto" w:fill="FFFFFF"/>
        <w:tabs>
          <w:tab w:val="left" w:pos="2500"/>
        </w:tabs>
        <w:jc w:val="center"/>
        <w:rPr>
          <w:szCs w:val="24"/>
        </w:rPr>
      </w:pPr>
      <w:hyperlink r:id="rId10" w:history="1">
        <w:r w:rsidRPr="00B31C78">
          <w:rPr>
            <w:rStyle w:val="Hyperlink"/>
            <w:szCs w:val="24"/>
          </w:rPr>
          <w:t>Gleidson.pereira@uepa.br</w:t>
        </w:r>
      </w:hyperlink>
    </w:p>
    <w:p w14:paraId="6AAB508A" w14:textId="6407E7F3" w:rsidR="0006526C" w:rsidRDefault="0006526C" w:rsidP="000E2ADB">
      <w:pPr>
        <w:keepLines/>
        <w:pBdr>
          <w:bottom w:val="none" w:sz="0" w:space="8" w:color="000000"/>
        </w:pBdr>
        <w:shd w:val="clear" w:color="auto" w:fill="FFFFFF"/>
        <w:tabs>
          <w:tab w:val="left" w:pos="2500"/>
        </w:tabs>
        <w:jc w:val="center"/>
        <w:rPr>
          <w:szCs w:val="24"/>
        </w:rPr>
      </w:pPr>
    </w:p>
    <w:p w14:paraId="445A734A" w14:textId="77777777" w:rsidR="000F1330" w:rsidRDefault="000F1330" w:rsidP="000E2ADB">
      <w:pPr>
        <w:keepLines/>
        <w:pBdr>
          <w:bottom w:val="none" w:sz="0" w:space="8" w:color="000000"/>
        </w:pBdr>
        <w:shd w:val="clear" w:color="auto" w:fill="FFFFFF"/>
        <w:tabs>
          <w:tab w:val="left" w:pos="2500"/>
        </w:tabs>
        <w:jc w:val="center"/>
        <w:rPr>
          <w:szCs w:val="24"/>
        </w:rPr>
      </w:pPr>
    </w:p>
    <w:p w14:paraId="2FABC7FE" w14:textId="65965047" w:rsidR="003949CE" w:rsidRPr="00532368" w:rsidRDefault="003949CE" w:rsidP="00532368">
      <w:pPr>
        <w:pBdr>
          <w:bottom w:val="none" w:sz="0" w:space="8" w:color="000000"/>
        </w:pBdr>
        <w:shd w:val="clear" w:color="auto" w:fill="FFFFFF"/>
        <w:tabs>
          <w:tab w:val="left" w:pos="2500"/>
        </w:tabs>
        <w:jc w:val="center"/>
        <w:rPr>
          <w:b/>
          <w:szCs w:val="24"/>
          <w:u w:val="single"/>
        </w:rPr>
      </w:pPr>
      <w:r>
        <w:rPr>
          <w:b/>
          <w:szCs w:val="24"/>
          <w:u w:val="single"/>
        </w:rPr>
        <w:t>RESUMO</w:t>
      </w:r>
    </w:p>
    <w:p w14:paraId="15DDF4D7" w14:textId="77777777" w:rsidR="008F2C60" w:rsidRPr="00C0175D" w:rsidRDefault="008F2C60" w:rsidP="008918A1">
      <w:pPr>
        <w:jc w:val="both"/>
      </w:pPr>
      <w:r w:rsidRPr="00C0175D">
        <w:rPr>
          <w:color w:val="000000"/>
        </w:rPr>
        <w:t>O trabalho apresentou como objetivo avaliar a atuação de biofertilizantes (bovino e comercial) no desenvolvimento vegetal da hortaliça alface</w:t>
      </w:r>
      <w:r>
        <w:rPr>
          <w:color w:val="000000"/>
        </w:rPr>
        <w:t xml:space="preserve"> (</w:t>
      </w:r>
      <w:r w:rsidRPr="00C0175D">
        <w:rPr>
          <w:i/>
          <w:iCs/>
        </w:rPr>
        <w:t xml:space="preserve">Lactuca </w:t>
      </w:r>
      <w:r>
        <w:rPr>
          <w:i/>
          <w:iCs/>
        </w:rPr>
        <w:t>s</w:t>
      </w:r>
      <w:r w:rsidRPr="00C0175D">
        <w:rPr>
          <w:i/>
          <w:iCs/>
        </w:rPr>
        <w:t>ativa L.</w:t>
      </w:r>
      <w:r>
        <w:rPr>
          <w:i/>
          <w:iCs/>
        </w:rPr>
        <w:t>)</w:t>
      </w:r>
      <w:r w:rsidRPr="00C0175D">
        <w:rPr>
          <w:color w:val="000000"/>
        </w:rPr>
        <w:t>. Foi adotado</w:t>
      </w:r>
      <w:r>
        <w:rPr>
          <w:color w:val="000000"/>
        </w:rPr>
        <w:t xml:space="preserve"> quatro</w:t>
      </w:r>
      <w:r w:rsidRPr="00C0175D">
        <w:rPr>
          <w:color w:val="000000"/>
        </w:rPr>
        <w:t xml:space="preserve"> tratamentos, com </w:t>
      </w:r>
      <w:r>
        <w:rPr>
          <w:color w:val="000000"/>
        </w:rPr>
        <w:t>dez</w:t>
      </w:r>
      <w:r w:rsidRPr="00C0175D">
        <w:rPr>
          <w:color w:val="000000"/>
        </w:rPr>
        <w:t xml:space="preserve"> repetições cada.  </w:t>
      </w:r>
      <w:r>
        <w:rPr>
          <w:color w:val="000000"/>
        </w:rPr>
        <w:t>De acordo com espécie de alface utilizada no experimento, nos</w:t>
      </w:r>
      <w:r w:rsidRPr="00C0175D">
        <w:rPr>
          <w:color w:val="000000"/>
          <w:lang w:eastAsia="pt-BR"/>
        </w:rPr>
        <w:t xml:space="preserve"> três primeiros tratamentos as sementes foram plantadas em terra preta, no primeiro tratamento (T1) foi aplicado as mudas 5 mL de biofertilizante bovino três vezes na semana, no segundo tratamento (T2) foi aplicado 5 mL de fertilizante comercial três vezes na semana, no terceiro tratamento (T3) foi mantida apenas a irrigação, e no quarto tratamento (T4) as mudas de alface foram plantadas em areia lavada e apenas irrigadas com água. </w:t>
      </w:r>
      <w:r w:rsidRPr="00C0175D">
        <w:rPr>
          <w:color w:val="000000"/>
        </w:rPr>
        <w:t xml:space="preserve">Foram </w:t>
      </w:r>
      <w:r>
        <w:rPr>
          <w:color w:val="000000"/>
        </w:rPr>
        <w:t xml:space="preserve">monitorados desde o processo germinativo até ciclo final de 75 dias. As </w:t>
      </w:r>
      <w:r w:rsidRPr="00C0175D">
        <w:rPr>
          <w:color w:val="000000"/>
        </w:rPr>
        <w:t>coleta</w:t>
      </w:r>
      <w:r>
        <w:rPr>
          <w:color w:val="000000"/>
        </w:rPr>
        <w:t xml:space="preserve">s dos </w:t>
      </w:r>
      <w:r w:rsidRPr="00C0175D">
        <w:rPr>
          <w:color w:val="000000"/>
        </w:rPr>
        <w:t xml:space="preserve">dados referentes à altura das mudas nos dias 30 e 60 após a germinação das sementes. A partir desses dados foi realizada a análise de variância e </w:t>
      </w:r>
      <w:r>
        <w:rPr>
          <w:color w:val="000000"/>
        </w:rPr>
        <w:t xml:space="preserve">o </w:t>
      </w:r>
      <w:r w:rsidRPr="00C0175D">
        <w:rPr>
          <w:color w:val="000000"/>
        </w:rPr>
        <w:t xml:space="preserve">Teste </w:t>
      </w:r>
      <w:r>
        <w:rPr>
          <w:color w:val="000000"/>
        </w:rPr>
        <w:t>de Tukey</w:t>
      </w:r>
      <w:r w:rsidRPr="00C0175D">
        <w:rPr>
          <w:color w:val="000000"/>
        </w:rPr>
        <w:t>. A aplicação diária de substâncias húmicas resultou em bons resultados no que se refere as propriedades químicas do solo.</w:t>
      </w:r>
    </w:p>
    <w:p w14:paraId="26D1211E" w14:textId="77777777" w:rsidR="00F15BEE" w:rsidRPr="00F15BEE" w:rsidRDefault="00F15BEE" w:rsidP="00F15BEE">
      <w:pPr>
        <w:jc w:val="both"/>
        <w:rPr>
          <w:b/>
          <w:bCs/>
          <w:szCs w:val="24"/>
          <w:lang w:val="pt-BR"/>
        </w:rPr>
      </w:pPr>
    </w:p>
    <w:p w14:paraId="71340687" w14:textId="3EFBBA5E" w:rsidR="003949CE" w:rsidRDefault="003949CE" w:rsidP="000B445B">
      <w:pPr>
        <w:shd w:val="clear" w:color="auto" w:fill="FFFFFF"/>
        <w:tabs>
          <w:tab w:val="left" w:pos="2500"/>
        </w:tabs>
        <w:jc w:val="both"/>
        <w:rPr>
          <w:szCs w:val="24"/>
        </w:rPr>
      </w:pPr>
      <w:r>
        <w:rPr>
          <w:b/>
          <w:szCs w:val="24"/>
        </w:rPr>
        <w:t xml:space="preserve">Palavras-chave: </w:t>
      </w:r>
      <w:r w:rsidR="00FC2677">
        <w:rPr>
          <w:szCs w:val="24"/>
        </w:rPr>
        <w:t>b</w:t>
      </w:r>
      <w:r w:rsidR="00C9617C">
        <w:rPr>
          <w:szCs w:val="24"/>
        </w:rPr>
        <w:t>i</w:t>
      </w:r>
      <w:r w:rsidR="008F2C60">
        <w:rPr>
          <w:szCs w:val="24"/>
        </w:rPr>
        <w:t xml:space="preserve">oestimulação, período de plantio, </w:t>
      </w:r>
      <w:r w:rsidR="008F2C60" w:rsidRPr="008F2C60">
        <w:rPr>
          <w:i/>
          <w:iCs/>
          <w:szCs w:val="24"/>
        </w:rPr>
        <w:t>Lactuca sativa</w:t>
      </w:r>
      <w:r w:rsidR="008F2C60">
        <w:rPr>
          <w:szCs w:val="24"/>
        </w:rPr>
        <w:t>.</w:t>
      </w:r>
    </w:p>
    <w:p w14:paraId="7DC97D5E" w14:textId="77777777" w:rsidR="00F15BEE" w:rsidRDefault="00F15BEE" w:rsidP="000B445B">
      <w:pPr>
        <w:shd w:val="clear" w:color="auto" w:fill="FFFFFF"/>
        <w:tabs>
          <w:tab w:val="left" w:pos="2500"/>
        </w:tabs>
        <w:jc w:val="both"/>
        <w:rPr>
          <w:szCs w:val="24"/>
        </w:rPr>
      </w:pPr>
    </w:p>
    <w:p w14:paraId="278DBA84" w14:textId="49083859" w:rsidR="003949CE" w:rsidRDefault="003949CE" w:rsidP="00EA5467">
      <w:pPr>
        <w:shd w:val="clear" w:color="auto" w:fill="FFFFFF"/>
        <w:tabs>
          <w:tab w:val="left" w:pos="2500"/>
        </w:tabs>
        <w:jc w:val="both"/>
        <w:rPr>
          <w:b/>
          <w:szCs w:val="24"/>
        </w:rPr>
      </w:pPr>
      <w:r>
        <w:rPr>
          <w:b/>
          <w:szCs w:val="24"/>
        </w:rPr>
        <w:t>Área de Interesse do Simpósio</w:t>
      </w:r>
      <w:r>
        <w:rPr>
          <w:szCs w:val="24"/>
        </w:rPr>
        <w:t xml:space="preserve">: </w:t>
      </w:r>
      <w:r w:rsidR="00692C58">
        <w:rPr>
          <w:szCs w:val="24"/>
        </w:rPr>
        <w:t>Agronomia.</w:t>
      </w:r>
    </w:p>
    <w:p w14:paraId="03392E40" w14:textId="77777777" w:rsidR="003949CE" w:rsidRDefault="003949CE" w:rsidP="00EA5467">
      <w:pPr>
        <w:pBdr>
          <w:bottom w:val="none" w:sz="0" w:space="0" w:color="000000"/>
        </w:pBdr>
        <w:shd w:val="clear" w:color="auto" w:fill="FFFFFF"/>
        <w:tabs>
          <w:tab w:val="left" w:pos="2500"/>
        </w:tabs>
        <w:jc w:val="both"/>
        <w:rPr>
          <w:szCs w:val="24"/>
        </w:rPr>
      </w:pPr>
      <w:r>
        <w:br w:type="page"/>
      </w:r>
    </w:p>
    <w:p w14:paraId="6B35A14B" w14:textId="2AE79D2F" w:rsidR="003949CE" w:rsidRDefault="003949CE" w:rsidP="00B62C2D">
      <w:pPr>
        <w:pBdr>
          <w:bottom w:val="none" w:sz="0" w:space="11" w:color="000000"/>
        </w:pBdr>
        <w:shd w:val="clear" w:color="auto" w:fill="FFFFFF"/>
        <w:tabs>
          <w:tab w:val="left" w:pos="2500"/>
        </w:tabs>
        <w:jc w:val="both"/>
        <w:rPr>
          <w:color w:val="FF0000"/>
          <w:szCs w:val="24"/>
        </w:rPr>
      </w:pPr>
      <w:r>
        <w:rPr>
          <w:b/>
          <w:szCs w:val="24"/>
        </w:rPr>
        <w:lastRenderedPageBreak/>
        <w:t xml:space="preserve">1. INTRODUÇÃO </w:t>
      </w:r>
    </w:p>
    <w:p w14:paraId="0184AD87" w14:textId="77777777" w:rsidR="008F2C60" w:rsidRDefault="008F2C60" w:rsidP="008E36A7">
      <w:pPr>
        <w:spacing w:before="60" w:after="60" w:line="360" w:lineRule="auto"/>
        <w:ind w:right="6" w:firstLine="709"/>
        <w:jc w:val="both"/>
      </w:pPr>
      <w:r w:rsidRPr="008646A7">
        <w:t>A alface (</w:t>
      </w:r>
      <w:r w:rsidRPr="008F2C60">
        <w:rPr>
          <w:i/>
          <w:iCs/>
        </w:rPr>
        <w:t>Lactuca sativa L</w:t>
      </w:r>
      <w:r w:rsidRPr="008646A7">
        <w:t>.), um vegetal folhoso amplamente cultivado</w:t>
      </w:r>
      <w:r w:rsidRPr="00E72BCC">
        <w:t xml:space="preserve"> </w:t>
      </w:r>
      <w:r w:rsidRPr="00C0175D">
        <w:t xml:space="preserve">é pertencente da família </w:t>
      </w:r>
      <w:r w:rsidRPr="00AC46DB">
        <w:t>Asteraceae e</w:t>
      </w:r>
      <w:r w:rsidRPr="00C0175D">
        <w:rPr>
          <w:i/>
          <w:iCs/>
        </w:rPr>
        <w:t xml:space="preserve"> </w:t>
      </w:r>
      <w:r>
        <w:t xml:space="preserve">é </w:t>
      </w:r>
      <w:r w:rsidRPr="00C0175D">
        <w:t>nativa do Oriente Médio</w:t>
      </w:r>
      <w:r w:rsidRPr="008646A7">
        <w:t xml:space="preserve">, </w:t>
      </w:r>
      <w:r>
        <w:t xml:space="preserve">e </w:t>
      </w:r>
      <w:r w:rsidRPr="008646A7">
        <w:t>é selecionada como a planta de teste, pois é facilmente afetada por muitas deficiências nutricionais</w:t>
      </w:r>
      <w:r w:rsidRPr="00C0175D">
        <w:t xml:space="preserve">, </w:t>
      </w:r>
      <w:r>
        <w:t>(LIAN et al., 2021).</w:t>
      </w:r>
    </w:p>
    <w:p w14:paraId="5A01C319" w14:textId="56997D32" w:rsidR="008F2C60" w:rsidRDefault="008F2C60" w:rsidP="008E36A7">
      <w:pPr>
        <w:spacing w:before="60" w:after="60" w:line="360" w:lineRule="auto"/>
        <w:ind w:right="6" w:firstLine="709"/>
        <w:jc w:val="both"/>
      </w:pPr>
      <w:r w:rsidRPr="00C0175D">
        <w:t>A parte comerciável da alface é definida pela fase vegetativa, que se finaliza quando as folhas atingem o seu maior tamanho (ABAURRE, 2004). Seu alto consumo in natura na fase vegetativa se dá devido às altas taxas de fibras, vitaminas, sais minerais e por seu baixo teor calórico. Ela tem seu melhor desenvolvimento em clima frio e exige solos com alta fertilidade, com maior necessidade a nitrogénio, cálcio e potássio (SEDIYAMA et al., 20</w:t>
      </w:r>
      <w:r w:rsidR="00A2456D">
        <w:t>16</w:t>
      </w:r>
      <w:r w:rsidRPr="00C0175D">
        <w:t xml:space="preserve">). </w:t>
      </w:r>
    </w:p>
    <w:p w14:paraId="0F97EFE5" w14:textId="0A82D6F0" w:rsidR="00F5593F" w:rsidRDefault="00F5593F" w:rsidP="00F5593F">
      <w:pPr>
        <w:spacing w:before="60" w:after="60" w:line="360" w:lineRule="auto"/>
        <w:ind w:right="3" w:firstLine="708"/>
        <w:jc w:val="both"/>
      </w:pPr>
      <w:r>
        <w:t>Os macro e micronutrientes são vitais para o desenvolvimento saudável das plantas. Macronutrientes como nitrogênio (N), fósforo (P) e potássio (K) são necessários em maiores quantidades; o nitrogênio é crucial para o crescimento vegetativo e produção de clorofila, enquanto o fósforo é fundamental para a formação de raízes, flores e frutos, e o potássio ajuda na regulação osmótica e resistência a doenças. Outros macronutrientes importantes incluem cálcio (Ca), magnésio (Mg) e enxofre (S), que contribuem para a estrutura celular, fotossíntese e metabolismo (TREDER et al., 2022).</w:t>
      </w:r>
    </w:p>
    <w:p w14:paraId="4DCB4780" w14:textId="77777777" w:rsidR="00F5593F" w:rsidRDefault="00F5593F" w:rsidP="00F5593F">
      <w:pPr>
        <w:spacing w:before="60" w:after="60" w:line="360" w:lineRule="auto"/>
        <w:ind w:right="3" w:firstLine="708"/>
        <w:jc w:val="both"/>
      </w:pPr>
      <w:r>
        <w:t>Micronutrientes, embora necessários em menores quantidades, são igualmente essenciais. Elementos como ferro (Fe), manganês (Mn), zinco (Zn), cobre (Cu), molibdênio (Mo) e boro (B) desempenham papéis críticos em processos enzimáticos e metabólicos. A deficiência de qualquer um desses nutrientes pode levar a problemas de crescimento e desenvolvimento, afetando a produtividade das culturas. Portanto, a manutenção de um solo equilibrado, rico em macro e micronutrientes, é essencial para a saúde e eficiência das plantas (BEKMIRZAEV et al., 2021).</w:t>
      </w:r>
    </w:p>
    <w:p w14:paraId="10A6729F" w14:textId="322B9A4D" w:rsidR="008F2C60" w:rsidRPr="00C0175D" w:rsidRDefault="008F2C60" w:rsidP="00F5593F">
      <w:pPr>
        <w:spacing w:before="60" w:after="60" w:line="360" w:lineRule="auto"/>
        <w:ind w:right="3" w:firstLine="708"/>
        <w:jc w:val="both"/>
      </w:pPr>
      <w:r>
        <w:t>Como questão norteadora, biofertilizantes terá mais influência no crescimento vegetal que fertilizantes industriais? A hipótese desse trabalho é que os biofertilizantes terão mais influência no crescimento vegetal do que o fertilizante industrial, p</w:t>
      </w:r>
      <w:r w:rsidRPr="00C0175D">
        <w:t>artindo deste princípio o presente trabalho teve por objetivo analisar a resposta da cultura da alface (</w:t>
      </w:r>
      <w:r w:rsidRPr="00C0175D">
        <w:rPr>
          <w:i/>
          <w:iCs/>
        </w:rPr>
        <w:t xml:space="preserve">Lactuca </w:t>
      </w:r>
      <w:r>
        <w:rPr>
          <w:i/>
          <w:iCs/>
        </w:rPr>
        <w:t>s</w:t>
      </w:r>
      <w:r w:rsidRPr="00C0175D">
        <w:rPr>
          <w:i/>
          <w:iCs/>
        </w:rPr>
        <w:t>ativa L.</w:t>
      </w:r>
      <w:r w:rsidRPr="00C0175D">
        <w:t xml:space="preserve">), a partir da aplicação de biofertilizantes e </w:t>
      </w:r>
      <w:r>
        <w:t xml:space="preserve">fertilizante </w:t>
      </w:r>
      <w:r w:rsidRPr="00C0175D">
        <w:t xml:space="preserve">industrial. </w:t>
      </w:r>
    </w:p>
    <w:p w14:paraId="309E8D17" w14:textId="2723BBD6" w:rsidR="003949CE" w:rsidRDefault="003949CE" w:rsidP="00DD4DF4">
      <w:pPr>
        <w:pBdr>
          <w:bottom w:val="none" w:sz="0" w:space="8" w:color="000000"/>
        </w:pBdr>
        <w:shd w:val="clear" w:color="auto" w:fill="FFFFFF"/>
        <w:tabs>
          <w:tab w:val="left" w:pos="2500"/>
        </w:tabs>
        <w:spacing w:line="310" w:lineRule="auto"/>
        <w:jc w:val="both"/>
        <w:rPr>
          <w:color w:val="FF0000"/>
          <w:szCs w:val="24"/>
        </w:rPr>
      </w:pPr>
      <w:r>
        <w:rPr>
          <w:b/>
          <w:szCs w:val="24"/>
        </w:rPr>
        <w:t>2.</w:t>
      </w:r>
      <w:r w:rsidR="0025662D">
        <w:rPr>
          <w:b/>
          <w:szCs w:val="24"/>
        </w:rPr>
        <w:t xml:space="preserve"> </w:t>
      </w:r>
      <w:r>
        <w:rPr>
          <w:b/>
          <w:szCs w:val="24"/>
        </w:rPr>
        <w:t>METODOLOGIA</w:t>
      </w:r>
    </w:p>
    <w:p w14:paraId="0F89DF8E" w14:textId="5040549A" w:rsidR="00DD4DF4" w:rsidRPr="00DD4DF4" w:rsidRDefault="00DD4DF4" w:rsidP="00DD4DF4">
      <w:pPr>
        <w:spacing w:line="360" w:lineRule="auto"/>
        <w:jc w:val="both"/>
        <w:rPr>
          <w:b/>
          <w:bCs/>
          <w:szCs w:val="24"/>
        </w:rPr>
      </w:pPr>
      <w:r w:rsidRPr="008E320B">
        <w:rPr>
          <w:szCs w:val="24"/>
        </w:rPr>
        <w:t>2</w:t>
      </w:r>
      <w:r>
        <w:rPr>
          <w:b/>
          <w:bCs/>
          <w:szCs w:val="24"/>
        </w:rPr>
        <w:t>.</w:t>
      </w:r>
      <w:r w:rsidRPr="008E320B">
        <w:rPr>
          <w:szCs w:val="24"/>
        </w:rPr>
        <w:t>1</w:t>
      </w:r>
      <w:r w:rsidR="008E320B">
        <w:rPr>
          <w:szCs w:val="24"/>
        </w:rPr>
        <w:t xml:space="preserve"> </w:t>
      </w:r>
      <w:r w:rsidR="00105278">
        <w:rPr>
          <w:szCs w:val="24"/>
        </w:rPr>
        <w:t>DELINEAMENTO AMOSTRAL</w:t>
      </w:r>
    </w:p>
    <w:p w14:paraId="597E3FD5" w14:textId="77777777" w:rsidR="008F2C60" w:rsidRPr="00C0175D" w:rsidRDefault="008F2C60" w:rsidP="008F2C60">
      <w:pPr>
        <w:pStyle w:val="Ttulo1"/>
        <w:spacing w:line="360" w:lineRule="auto"/>
        <w:ind w:left="0" w:right="3" w:firstLine="708"/>
        <w:jc w:val="both"/>
        <w:rPr>
          <w:rFonts w:ascii="Times New Roman" w:hAnsi="Times New Roman" w:cs="Times New Roman"/>
          <w:sz w:val="24"/>
          <w:szCs w:val="24"/>
        </w:rPr>
      </w:pPr>
      <w:r>
        <w:rPr>
          <w:rFonts w:ascii="Times New Roman" w:eastAsia="Times New Roman" w:hAnsi="Times New Roman" w:cs="Times New Roman"/>
          <w:b w:val="0"/>
          <w:bCs w:val="0"/>
          <w:sz w:val="24"/>
          <w:szCs w:val="24"/>
          <w:lang w:eastAsia="pt-BR"/>
        </w:rPr>
        <w:lastRenderedPageBreak/>
        <w:t xml:space="preserve">Para as substâncias húmicas, </w:t>
      </w:r>
      <w:r w:rsidRPr="00C0175D">
        <w:rPr>
          <w:rFonts w:ascii="Times New Roman" w:eastAsia="Times New Roman" w:hAnsi="Times New Roman" w:cs="Times New Roman"/>
          <w:b w:val="0"/>
          <w:bCs w:val="0"/>
          <w:sz w:val="24"/>
          <w:szCs w:val="24"/>
          <w:lang w:eastAsia="pt-BR"/>
        </w:rPr>
        <w:t>a extração do solo, segundo método descrito pelo Ministério da Agricultura, Pecuária e Abastecimento (2003), o solo utilizado para a extração é classificado como Latossolo Vermelho-Amarelo Distrófico, coletado na Secretaria Municipal de Agricultura</w:t>
      </w:r>
      <w:r>
        <w:rPr>
          <w:rFonts w:ascii="Times New Roman" w:eastAsia="Times New Roman" w:hAnsi="Times New Roman" w:cs="Times New Roman"/>
          <w:b w:val="0"/>
          <w:bCs w:val="0"/>
          <w:sz w:val="24"/>
          <w:szCs w:val="24"/>
          <w:lang w:eastAsia="pt-BR"/>
        </w:rPr>
        <w:t xml:space="preserve"> de Marabá</w:t>
      </w:r>
      <w:r w:rsidRPr="00C0175D">
        <w:rPr>
          <w:rFonts w:ascii="Times New Roman" w:eastAsia="Times New Roman" w:hAnsi="Times New Roman" w:cs="Times New Roman"/>
          <w:b w:val="0"/>
          <w:bCs w:val="0"/>
          <w:sz w:val="24"/>
          <w:szCs w:val="24"/>
          <w:lang w:eastAsia="pt-BR"/>
        </w:rPr>
        <w:t>.</w:t>
      </w:r>
    </w:p>
    <w:p w14:paraId="5B63C2AB" w14:textId="77777777" w:rsidR="008F2C60" w:rsidRDefault="008F2C60" w:rsidP="008F2C60">
      <w:pPr>
        <w:keepNext/>
        <w:spacing w:before="60" w:after="60" w:line="360" w:lineRule="auto"/>
        <w:jc w:val="both"/>
        <w:rPr>
          <w:lang w:eastAsia="pt-BR"/>
        </w:rPr>
      </w:pPr>
      <w:r w:rsidRPr="00C0175D">
        <w:rPr>
          <w:lang w:eastAsia="pt-BR"/>
        </w:rPr>
        <w:tab/>
      </w:r>
      <w:r>
        <w:rPr>
          <w:lang w:eastAsia="pt-BR"/>
        </w:rPr>
        <w:t xml:space="preserve">Para a produção do </w:t>
      </w:r>
      <w:r w:rsidRPr="00C0175D">
        <w:rPr>
          <w:lang w:eastAsia="pt-BR"/>
        </w:rPr>
        <w:t>biofertilizante bovino foi realizado por método anaeróbico, seguindo a metodologia da EMBRAPA (2007)</w:t>
      </w:r>
      <w:r>
        <w:rPr>
          <w:lang w:eastAsia="pt-BR"/>
        </w:rPr>
        <w:t>, d</w:t>
      </w:r>
      <w:r w:rsidRPr="00C0175D">
        <w:rPr>
          <w:lang w:eastAsia="pt-BR"/>
        </w:rPr>
        <w:t xml:space="preserve">ois litros de esterco bovino fresco, coletado na Escola Família Agrícola no PA Grande Vitoria, localizada a cerca de 20 km do município de Marabá. </w:t>
      </w:r>
    </w:p>
    <w:p w14:paraId="1D2FF05E" w14:textId="77777777" w:rsidR="008F2C60" w:rsidRPr="00C0175D" w:rsidRDefault="008F2C60" w:rsidP="008F2C60">
      <w:pPr>
        <w:keepNext/>
        <w:spacing w:before="60" w:after="60" w:line="360" w:lineRule="auto"/>
        <w:ind w:firstLine="708"/>
        <w:jc w:val="both"/>
      </w:pPr>
      <w:r w:rsidRPr="00C0175D">
        <w:rPr>
          <w:lang w:eastAsia="pt-BR"/>
        </w:rPr>
        <w:t>O esterco bovino foi misturado em dois litros de água em um recipiente de cinco litros, permanecendo em repouso e fermentação por um período de 40 dias até ser coado e separado, para em seguida diluído em água a uma proporção de 20% de biofertilizante para 80% de água</w:t>
      </w:r>
      <w:r>
        <w:rPr>
          <w:lang w:eastAsia="pt-BR"/>
        </w:rPr>
        <w:t>, o</w:t>
      </w:r>
      <w:r w:rsidRPr="00C0175D">
        <w:rPr>
          <w:lang w:eastAsia="pt-BR"/>
        </w:rPr>
        <w:t xml:space="preserve"> outro fertilizante utilizado no trabalho foi de origem comercial.</w:t>
      </w:r>
    </w:p>
    <w:p w14:paraId="5324FC3F" w14:textId="14063511" w:rsidR="008F2C60" w:rsidRPr="00C0175D" w:rsidRDefault="008F2C60" w:rsidP="008F2C60">
      <w:pPr>
        <w:spacing w:before="60" w:after="60" w:line="360" w:lineRule="auto"/>
        <w:jc w:val="both"/>
      </w:pPr>
      <w:r w:rsidRPr="00C0175D">
        <w:rPr>
          <w:lang w:eastAsia="pt-BR"/>
        </w:rPr>
        <w:tab/>
        <w:t xml:space="preserve">A alface foi semeada em vasos de 10 X 10 X 10 em área de viveiro com </w:t>
      </w:r>
      <w:r>
        <w:rPr>
          <w:lang w:eastAsia="pt-BR"/>
        </w:rPr>
        <w:t>24</w:t>
      </w:r>
      <w:r w:rsidRPr="00C0175D">
        <w:rPr>
          <w:lang w:eastAsia="pt-BR"/>
        </w:rPr>
        <w:t xml:space="preserve"> vasos divididos igualmente em quatro tratamentos, no primeiro tratamento (T1) foi aplicado as mudas 5 mL de biofertilizante bovino três vezes na semana, no segundo tratamento (T2) foi aplicado 5 mL de fertilizante comercial</w:t>
      </w:r>
      <w:r w:rsidR="00464151">
        <w:rPr>
          <w:lang w:eastAsia="pt-BR"/>
        </w:rPr>
        <w:t xml:space="preserve"> NPK</w:t>
      </w:r>
      <w:r w:rsidRPr="00C0175D">
        <w:rPr>
          <w:lang w:eastAsia="pt-BR"/>
        </w:rPr>
        <w:t xml:space="preserve"> três vezes na semana, no terceiro tratamento (T3) foi mantida apenas a irrigação, e no quarto tratamento</w:t>
      </w:r>
      <w:r>
        <w:rPr>
          <w:lang w:eastAsia="pt-BR"/>
        </w:rPr>
        <w:t xml:space="preserve">, grupo controle </w:t>
      </w:r>
      <w:r w:rsidRPr="00C0175D">
        <w:rPr>
          <w:lang w:eastAsia="pt-BR"/>
        </w:rPr>
        <w:t>(</w:t>
      </w:r>
      <w:r>
        <w:rPr>
          <w:lang w:eastAsia="pt-BR"/>
        </w:rPr>
        <w:t>GC</w:t>
      </w:r>
      <w:r w:rsidRPr="00C0175D">
        <w:rPr>
          <w:lang w:eastAsia="pt-BR"/>
        </w:rPr>
        <w:t>) as mudas de alface foram plantadas em areia lavada e apenas irrigadas com água, todos os tratamento foram irrigados durante todos os dias do experimento.</w:t>
      </w:r>
    </w:p>
    <w:p w14:paraId="4CEDDC45" w14:textId="77777777" w:rsidR="008F2C60" w:rsidRDefault="008F2C60" w:rsidP="008F2C60">
      <w:pPr>
        <w:spacing w:before="60" w:after="60" w:line="360" w:lineRule="auto"/>
        <w:jc w:val="both"/>
      </w:pPr>
      <w:r w:rsidRPr="00C0175D">
        <w:tab/>
        <w:t>A alface foi plantada no dia 24 de março de 2021, permanecendo por 60 dias em cultivo</w:t>
      </w:r>
      <w:r>
        <w:t>,</w:t>
      </w:r>
      <w:r w:rsidRPr="00C0175D">
        <w:t xml:space="preserve"> </w:t>
      </w:r>
      <w:r>
        <w:t xml:space="preserve">o </w:t>
      </w:r>
      <w:r w:rsidRPr="00C0175D">
        <w:t>A alface foi plantada por meio de plantio direto, sendo realizados monitoramentos diários, no qual foram coletados dados do crescimento vegetal após</w:t>
      </w:r>
      <w:r>
        <w:t xml:space="preserve"> 15, </w:t>
      </w:r>
      <w:r w:rsidRPr="00C0175D">
        <w:t xml:space="preserve">30 e 60 dias de plantio. </w:t>
      </w:r>
    </w:p>
    <w:p w14:paraId="5C2825AC" w14:textId="77777777" w:rsidR="008F2C60" w:rsidRDefault="008F2C60" w:rsidP="008F2C60">
      <w:pPr>
        <w:spacing w:before="60" w:after="60" w:line="360" w:lineRule="auto"/>
        <w:jc w:val="both"/>
      </w:pPr>
      <w:r>
        <w:tab/>
        <w:t>Analisou-se a composição de macronutrientes primários e teores secundários do solo antes e após o experimento e comparou-se esses valores com a tabela da Embrapa sobre qualidade do solo.</w:t>
      </w:r>
    </w:p>
    <w:p w14:paraId="52ADC94A" w14:textId="77777777" w:rsidR="008F2C60" w:rsidRDefault="008E320B" w:rsidP="008F2C60">
      <w:pPr>
        <w:spacing w:line="360" w:lineRule="auto"/>
        <w:jc w:val="both"/>
        <w:rPr>
          <w:szCs w:val="24"/>
        </w:rPr>
      </w:pPr>
      <w:r w:rsidRPr="008E320B">
        <w:rPr>
          <w:szCs w:val="24"/>
        </w:rPr>
        <w:t>2.2</w:t>
      </w:r>
      <w:r>
        <w:rPr>
          <w:szCs w:val="24"/>
        </w:rPr>
        <w:t xml:space="preserve"> </w:t>
      </w:r>
      <w:r w:rsidR="00DD4DF4" w:rsidRPr="008E320B">
        <w:rPr>
          <w:szCs w:val="24"/>
        </w:rPr>
        <w:t>ANÁLISE DE DADOS</w:t>
      </w:r>
    </w:p>
    <w:p w14:paraId="352AA7CA" w14:textId="356E677E" w:rsidR="008F2C60" w:rsidRPr="008F2C60" w:rsidRDefault="008F2C60" w:rsidP="008F2C60">
      <w:pPr>
        <w:spacing w:line="360" w:lineRule="auto"/>
        <w:jc w:val="both"/>
        <w:rPr>
          <w:szCs w:val="24"/>
        </w:rPr>
      </w:pPr>
      <w:r>
        <w:t xml:space="preserve">            Para analisar os dados realizou-se uma Anova onde, como variável resposta utilizou-se o tamanho de crescimento vegetal e como variável preditora os diferentes tratamentos, como teste de </w:t>
      </w:r>
      <w:r w:rsidRPr="005B22A8">
        <w:rPr>
          <w:i/>
          <w:iCs/>
        </w:rPr>
        <w:t>post-hoc</w:t>
      </w:r>
      <w:r>
        <w:t xml:space="preserve"> utilizou-se o teste de Tukey, todos os testes com nível de significância de 5%. Todos os testes e gráfico foram realizados no R.</w:t>
      </w:r>
    </w:p>
    <w:p w14:paraId="4ECD85E8" w14:textId="5A7E527C" w:rsidR="003949CE" w:rsidRPr="00BD6172" w:rsidRDefault="003949CE" w:rsidP="00BD6172">
      <w:pPr>
        <w:pBdr>
          <w:bottom w:val="none" w:sz="0" w:space="8" w:color="000000"/>
        </w:pBdr>
        <w:shd w:val="clear" w:color="auto" w:fill="FFFFFF"/>
        <w:tabs>
          <w:tab w:val="left" w:pos="2500"/>
        </w:tabs>
        <w:spacing w:line="310" w:lineRule="auto"/>
        <w:jc w:val="both"/>
        <w:rPr>
          <w:color w:val="FF0000"/>
          <w:szCs w:val="24"/>
        </w:rPr>
      </w:pPr>
      <w:r>
        <w:rPr>
          <w:b/>
          <w:szCs w:val="24"/>
        </w:rPr>
        <w:t>3. RESULTADOS E DISCUSSÃO</w:t>
      </w:r>
    </w:p>
    <w:p w14:paraId="3627F1B8" w14:textId="60CA9586" w:rsidR="00007CD7" w:rsidRPr="00E109E7" w:rsidRDefault="00E109E7" w:rsidP="00007CD7">
      <w:pPr>
        <w:spacing w:line="360" w:lineRule="auto"/>
        <w:jc w:val="both"/>
        <w:rPr>
          <w:szCs w:val="24"/>
        </w:rPr>
      </w:pPr>
      <w:r w:rsidRPr="00E109E7">
        <w:rPr>
          <w:szCs w:val="24"/>
        </w:rPr>
        <w:t xml:space="preserve">3.1 </w:t>
      </w:r>
      <w:r w:rsidR="0030146D">
        <w:rPr>
          <w:szCs w:val="24"/>
        </w:rPr>
        <w:t>MACRONUTRIENTES PRIMÁRIOS E SECUNDÁRIOS</w:t>
      </w:r>
    </w:p>
    <w:p w14:paraId="58F09520" w14:textId="77777777" w:rsidR="008F2C60" w:rsidRDefault="008F2C60" w:rsidP="008F2C60">
      <w:pPr>
        <w:spacing w:before="60" w:after="60" w:line="360" w:lineRule="auto"/>
        <w:ind w:firstLine="708"/>
        <w:jc w:val="both"/>
      </w:pPr>
      <w:r w:rsidRPr="00C0175D">
        <w:lastRenderedPageBreak/>
        <w:t xml:space="preserve">O solo utilizado no experimento é composto de 72% de argila, 12% de silte e 16% de areia do tipo Franco Argiloso, na análise química do solo adubado com o biofertilizante bovino foi possível observar a maior concentração dos teores dos macronutrientes primários e secundários (Tabela 1). </w:t>
      </w:r>
    </w:p>
    <w:p w14:paraId="2095C5DE" w14:textId="77777777" w:rsidR="008F2C60" w:rsidRDefault="008F2C60" w:rsidP="008F2C60">
      <w:pPr>
        <w:spacing w:before="60" w:after="60" w:line="360" w:lineRule="auto"/>
        <w:ind w:firstLine="708"/>
        <w:jc w:val="both"/>
      </w:pPr>
      <w:r w:rsidRPr="00C0175D">
        <w:t>Constatou-se o aumento de alguns elementos no solo após o experimento, o nitrogénio (N) orgânico que após a primeira an</w:t>
      </w:r>
      <w:r>
        <w:t>á</w:t>
      </w:r>
      <w:r w:rsidRPr="00C0175D">
        <w:t>lise era inexistente, na segunda an</w:t>
      </w:r>
      <w:r>
        <w:t>á</w:t>
      </w:r>
      <w:r w:rsidRPr="00C0175D">
        <w:t>lise após o experimento apresentou um teor de 14%, o fósforo de 2 mg/dm³ para 12 mg/dm³ e o potássio (K) de 50 mg/dm³ para 69 mg/dm³.</w:t>
      </w:r>
    </w:p>
    <w:p w14:paraId="27FB28A6" w14:textId="0911E2D4" w:rsidR="003949CE" w:rsidRPr="008E36A7" w:rsidRDefault="008F2C60" w:rsidP="008E36A7">
      <w:pPr>
        <w:pBdr>
          <w:bottom w:val="none" w:sz="0" w:space="8" w:color="000000"/>
        </w:pBdr>
        <w:shd w:val="clear" w:color="auto" w:fill="FFFFFF"/>
        <w:tabs>
          <w:tab w:val="left" w:pos="2500"/>
        </w:tabs>
        <w:jc w:val="both"/>
        <w:rPr>
          <w:sz w:val="22"/>
        </w:rPr>
      </w:pPr>
      <w:r w:rsidRPr="00F1112B">
        <w:rPr>
          <w:sz w:val="22"/>
        </w:rPr>
        <w:t>Tabela 1</w:t>
      </w:r>
      <w:r w:rsidRPr="008E36A7">
        <w:rPr>
          <w:b/>
          <w:bCs/>
          <w:sz w:val="22"/>
        </w:rPr>
        <w:t xml:space="preserve"> </w:t>
      </w:r>
      <w:r w:rsidRPr="008E36A7">
        <w:rPr>
          <w:sz w:val="22"/>
        </w:rPr>
        <w:t>- Análise química do solo antes e depois da aplicação do biofertilizante bovino, com os teores de macronutrientes primários e secundários.</w:t>
      </w:r>
    </w:p>
    <w:tbl>
      <w:tblPr>
        <w:tblStyle w:val="Tabelacomgrade"/>
        <w:tblW w:w="0" w:type="auto"/>
        <w:tblInd w:w="-5" w:type="dxa"/>
        <w:tblLook w:val="04A0" w:firstRow="1" w:lastRow="0" w:firstColumn="1" w:lastColumn="0" w:noHBand="0" w:noVBand="1"/>
      </w:tblPr>
      <w:tblGrid>
        <w:gridCol w:w="2666"/>
        <w:gridCol w:w="1276"/>
        <w:gridCol w:w="2270"/>
        <w:gridCol w:w="2086"/>
      </w:tblGrid>
      <w:tr w:rsidR="008F2C60" w:rsidRPr="00F5593F" w14:paraId="672CF8BE" w14:textId="77777777" w:rsidTr="00F5593F">
        <w:tc>
          <w:tcPr>
            <w:tcW w:w="0" w:type="auto"/>
            <w:gridSpan w:val="4"/>
            <w:vAlign w:val="center"/>
          </w:tcPr>
          <w:p w14:paraId="15292995" w14:textId="77777777" w:rsidR="008F2C60" w:rsidRPr="00F5593F" w:rsidRDefault="008F2C60" w:rsidP="008B54FB">
            <w:pPr>
              <w:spacing w:before="60" w:after="60"/>
              <w:jc w:val="center"/>
              <w:rPr>
                <w:b/>
                <w:bCs/>
                <w:sz w:val="22"/>
              </w:rPr>
            </w:pPr>
            <w:r w:rsidRPr="00F5593F">
              <w:rPr>
                <w:b/>
                <w:bCs/>
                <w:sz w:val="22"/>
              </w:rPr>
              <w:t>Macronutrientes primários e secundários</w:t>
            </w:r>
          </w:p>
        </w:tc>
      </w:tr>
      <w:tr w:rsidR="008F2C60" w:rsidRPr="00F5593F" w14:paraId="5CC52B58" w14:textId="77777777" w:rsidTr="00F5593F">
        <w:tc>
          <w:tcPr>
            <w:tcW w:w="0" w:type="auto"/>
          </w:tcPr>
          <w:p w14:paraId="434F7308" w14:textId="77777777" w:rsidR="008F2C60" w:rsidRPr="00F5593F" w:rsidRDefault="008F2C60" w:rsidP="008B54FB">
            <w:pPr>
              <w:spacing w:before="60" w:after="60"/>
              <w:jc w:val="both"/>
              <w:rPr>
                <w:b/>
                <w:bCs/>
                <w:sz w:val="22"/>
              </w:rPr>
            </w:pPr>
            <w:r w:rsidRPr="00F5593F">
              <w:rPr>
                <w:b/>
                <w:bCs/>
                <w:sz w:val="22"/>
              </w:rPr>
              <w:t>Parâmetro</w:t>
            </w:r>
          </w:p>
        </w:tc>
        <w:tc>
          <w:tcPr>
            <w:tcW w:w="0" w:type="auto"/>
          </w:tcPr>
          <w:p w14:paraId="59FCC3DC" w14:textId="77777777" w:rsidR="008F2C60" w:rsidRPr="00F5593F" w:rsidRDefault="008F2C60" w:rsidP="008B54FB">
            <w:pPr>
              <w:spacing w:before="60" w:after="60"/>
              <w:jc w:val="both"/>
              <w:rPr>
                <w:b/>
                <w:bCs/>
                <w:sz w:val="22"/>
              </w:rPr>
            </w:pPr>
            <w:r w:rsidRPr="00F5593F">
              <w:rPr>
                <w:b/>
                <w:bCs/>
                <w:sz w:val="22"/>
              </w:rPr>
              <w:t>Unidade</w:t>
            </w:r>
          </w:p>
        </w:tc>
        <w:tc>
          <w:tcPr>
            <w:tcW w:w="0" w:type="auto"/>
          </w:tcPr>
          <w:p w14:paraId="50F2B37A" w14:textId="77777777" w:rsidR="008F2C60" w:rsidRPr="00F5593F" w:rsidRDefault="008F2C60" w:rsidP="008B54FB">
            <w:pPr>
              <w:spacing w:before="60" w:after="60"/>
              <w:jc w:val="both"/>
              <w:rPr>
                <w:b/>
                <w:bCs/>
                <w:sz w:val="22"/>
              </w:rPr>
            </w:pPr>
            <w:r w:rsidRPr="00F5593F">
              <w:rPr>
                <w:b/>
                <w:bCs/>
                <w:sz w:val="22"/>
              </w:rPr>
              <w:t xml:space="preserve">Antes do experimento </w:t>
            </w:r>
          </w:p>
        </w:tc>
        <w:tc>
          <w:tcPr>
            <w:tcW w:w="0" w:type="auto"/>
          </w:tcPr>
          <w:p w14:paraId="09DC2006" w14:textId="77777777" w:rsidR="008F2C60" w:rsidRPr="00F5593F" w:rsidRDefault="008F2C60" w:rsidP="008B54FB">
            <w:pPr>
              <w:spacing w:before="60" w:after="60"/>
              <w:jc w:val="both"/>
              <w:rPr>
                <w:b/>
                <w:bCs/>
                <w:sz w:val="22"/>
              </w:rPr>
            </w:pPr>
            <w:r w:rsidRPr="00F5593F">
              <w:rPr>
                <w:b/>
                <w:bCs/>
                <w:sz w:val="22"/>
              </w:rPr>
              <w:t>Após o experimento</w:t>
            </w:r>
          </w:p>
        </w:tc>
      </w:tr>
      <w:tr w:rsidR="008F2C60" w:rsidRPr="00F5593F" w14:paraId="6A2DCA67" w14:textId="77777777" w:rsidTr="00F5593F">
        <w:tc>
          <w:tcPr>
            <w:tcW w:w="0" w:type="auto"/>
          </w:tcPr>
          <w:p w14:paraId="131CAC68" w14:textId="77777777" w:rsidR="008F2C60" w:rsidRPr="00F5593F" w:rsidRDefault="008F2C60" w:rsidP="008B54FB">
            <w:pPr>
              <w:spacing w:before="60" w:after="60"/>
              <w:jc w:val="both"/>
              <w:rPr>
                <w:sz w:val="22"/>
              </w:rPr>
            </w:pPr>
            <w:r w:rsidRPr="00F5593F">
              <w:rPr>
                <w:color w:val="000000"/>
                <w:sz w:val="22"/>
                <w:lang w:eastAsia="pt-BR"/>
              </w:rPr>
              <w:t>pH – água</w:t>
            </w:r>
          </w:p>
        </w:tc>
        <w:tc>
          <w:tcPr>
            <w:tcW w:w="0" w:type="auto"/>
          </w:tcPr>
          <w:p w14:paraId="4E0ED8AA" w14:textId="77777777" w:rsidR="008F2C60" w:rsidRPr="00F5593F" w:rsidRDefault="008F2C60" w:rsidP="008B54FB">
            <w:pPr>
              <w:spacing w:before="60" w:after="60"/>
              <w:jc w:val="both"/>
              <w:rPr>
                <w:sz w:val="22"/>
              </w:rPr>
            </w:pPr>
          </w:p>
        </w:tc>
        <w:tc>
          <w:tcPr>
            <w:tcW w:w="0" w:type="auto"/>
          </w:tcPr>
          <w:p w14:paraId="2A9AC528" w14:textId="77777777" w:rsidR="008F2C60" w:rsidRPr="00F5593F" w:rsidRDefault="008F2C60" w:rsidP="008B54FB">
            <w:pPr>
              <w:spacing w:before="60" w:after="60"/>
              <w:jc w:val="both"/>
              <w:rPr>
                <w:sz w:val="22"/>
              </w:rPr>
            </w:pPr>
            <w:r w:rsidRPr="00F5593F">
              <w:rPr>
                <w:sz w:val="22"/>
              </w:rPr>
              <w:t>4.8</w:t>
            </w:r>
          </w:p>
        </w:tc>
        <w:tc>
          <w:tcPr>
            <w:tcW w:w="0" w:type="auto"/>
          </w:tcPr>
          <w:p w14:paraId="0E8A4961" w14:textId="77777777" w:rsidR="008F2C60" w:rsidRPr="00F5593F" w:rsidRDefault="008F2C60" w:rsidP="008B54FB">
            <w:pPr>
              <w:spacing w:before="60" w:after="60"/>
              <w:jc w:val="both"/>
              <w:rPr>
                <w:sz w:val="22"/>
              </w:rPr>
            </w:pPr>
            <w:r w:rsidRPr="00F5593F">
              <w:rPr>
                <w:sz w:val="22"/>
              </w:rPr>
              <w:t>6.1</w:t>
            </w:r>
          </w:p>
        </w:tc>
      </w:tr>
      <w:tr w:rsidR="008F2C60" w:rsidRPr="00F5593F" w14:paraId="21F96A76" w14:textId="77777777" w:rsidTr="00F5593F">
        <w:tc>
          <w:tcPr>
            <w:tcW w:w="0" w:type="auto"/>
          </w:tcPr>
          <w:p w14:paraId="79BACC26" w14:textId="77777777" w:rsidR="008F2C60" w:rsidRPr="00F5593F" w:rsidRDefault="008F2C60" w:rsidP="008B54FB">
            <w:pPr>
              <w:spacing w:before="60" w:after="60"/>
              <w:jc w:val="both"/>
              <w:rPr>
                <w:sz w:val="22"/>
              </w:rPr>
            </w:pPr>
            <w:r w:rsidRPr="00F5593F">
              <w:rPr>
                <w:sz w:val="22"/>
              </w:rPr>
              <w:t>M.O. (Matéria Orgânica) %</w:t>
            </w:r>
          </w:p>
        </w:tc>
        <w:tc>
          <w:tcPr>
            <w:tcW w:w="0" w:type="auto"/>
          </w:tcPr>
          <w:p w14:paraId="0E36BBE1" w14:textId="77777777" w:rsidR="008F2C60" w:rsidRPr="00F5593F" w:rsidRDefault="008F2C60" w:rsidP="008B54FB">
            <w:pPr>
              <w:spacing w:before="60" w:after="60"/>
              <w:jc w:val="both"/>
              <w:rPr>
                <w:sz w:val="22"/>
              </w:rPr>
            </w:pPr>
            <w:r w:rsidRPr="00F5593F">
              <w:rPr>
                <w:sz w:val="22"/>
              </w:rPr>
              <w:t>Dag/Kg</w:t>
            </w:r>
          </w:p>
        </w:tc>
        <w:tc>
          <w:tcPr>
            <w:tcW w:w="0" w:type="auto"/>
          </w:tcPr>
          <w:p w14:paraId="64D253C5" w14:textId="77777777" w:rsidR="008F2C60" w:rsidRPr="00F5593F" w:rsidRDefault="008F2C60" w:rsidP="008B54FB">
            <w:pPr>
              <w:spacing w:before="60" w:after="60"/>
              <w:jc w:val="both"/>
              <w:rPr>
                <w:sz w:val="22"/>
              </w:rPr>
            </w:pPr>
            <w:r w:rsidRPr="00F5593F">
              <w:rPr>
                <w:sz w:val="22"/>
              </w:rPr>
              <w:t>1.3</w:t>
            </w:r>
          </w:p>
        </w:tc>
        <w:tc>
          <w:tcPr>
            <w:tcW w:w="0" w:type="auto"/>
          </w:tcPr>
          <w:p w14:paraId="73E48CC6" w14:textId="77777777" w:rsidR="008F2C60" w:rsidRPr="00F5593F" w:rsidRDefault="008F2C60" w:rsidP="008B54FB">
            <w:pPr>
              <w:spacing w:before="60" w:after="60"/>
              <w:jc w:val="both"/>
              <w:rPr>
                <w:sz w:val="22"/>
              </w:rPr>
            </w:pPr>
            <w:r w:rsidRPr="00F5593F">
              <w:rPr>
                <w:sz w:val="22"/>
              </w:rPr>
              <w:t>3.9</w:t>
            </w:r>
          </w:p>
        </w:tc>
      </w:tr>
      <w:tr w:rsidR="008F2C60" w:rsidRPr="00F5593F" w14:paraId="1F7220AF" w14:textId="77777777" w:rsidTr="00F5593F">
        <w:tc>
          <w:tcPr>
            <w:tcW w:w="0" w:type="auto"/>
          </w:tcPr>
          <w:p w14:paraId="7876054F" w14:textId="77777777" w:rsidR="008F2C60" w:rsidRPr="00F5593F" w:rsidRDefault="008F2C60" w:rsidP="008B54FB">
            <w:pPr>
              <w:spacing w:before="60" w:after="60"/>
              <w:jc w:val="both"/>
              <w:rPr>
                <w:sz w:val="22"/>
              </w:rPr>
            </w:pPr>
            <w:r w:rsidRPr="00F5593F">
              <w:rPr>
                <w:sz w:val="22"/>
              </w:rPr>
              <w:t xml:space="preserve">N (Nitrogênio Orgânico) </w:t>
            </w:r>
          </w:p>
        </w:tc>
        <w:tc>
          <w:tcPr>
            <w:tcW w:w="0" w:type="auto"/>
          </w:tcPr>
          <w:p w14:paraId="62B69CBC" w14:textId="77777777" w:rsidR="008F2C60" w:rsidRPr="00F5593F" w:rsidRDefault="008F2C60" w:rsidP="008B54FB">
            <w:pPr>
              <w:spacing w:before="60" w:after="60"/>
              <w:jc w:val="both"/>
              <w:rPr>
                <w:sz w:val="22"/>
              </w:rPr>
            </w:pPr>
            <w:r w:rsidRPr="00F5593F">
              <w:rPr>
                <w:sz w:val="22"/>
              </w:rPr>
              <w:t>%</w:t>
            </w:r>
          </w:p>
        </w:tc>
        <w:tc>
          <w:tcPr>
            <w:tcW w:w="0" w:type="auto"/>
          </w:tcPr>
          <w:p w14:paraId="12A7CE03" w14:textId="77777777" w:rsidR="008F2C60" w:rsidRPr="00F5593F" w:rsidRDefault="008F2C60" w:rsidP="008B54FB">
            <w:pPr>
              <w:spacing w:before="60" w:after="60"/>
              <w:jc w:val="both"/>
              <w:rPr>
                <w:sz w:val="22"/>
              </w:rPr>
            </w:pPr>
            <w:r w:rsidRPr="00F5593F">
              <w:rPr>
                <w:sz w:val="22"/>
              </w:rPr>
              <w:t>0</w:t>
            </w:r>
          </w:p>
        </w:tc>
        <w:tc>
          <w:tcPr>
            <w:tcW w:w="0" w:type="auto"/>
          </w:tcPr>
          <w:p w14:paraId="4A970A47" w14:textId="77777777" w:rsidR="008F2C60" w:rsidRPr="00F5593F" w:rsidRDefault="008F2C60" w:rsidP="008B54FB">
            <w:pPr>
              <w:spacing w:before="60" w:after="60"/>
              <w:jc w:val="both"/>
              <w:rPr>
                <w:sz w:val="22"/>
              </w:rPr>
            </w:pPr>
            <w:r w:rsidRPr="00F5593F">
              <w:rPr>
                <w:sz w:val="22"/>
              </w:rPr>
              <w:t>14</w:t>
            </w:r>
          </w:p>
        </w:tc>
      </w:tr>
      <w:tr w:rsidR="008F2C60" w:rsidRPr="00F5593F" w14:paraId="4F3848B6" w14:textId="77777777" w:rsidTr="00F5593F">
        <w:tc>
          <w:tcPr>
            <w:tcW w:w="0" w:type="auto"/>
          </w:tcPr>
          <w:p w14:paraId="785C99B6" w14:textId="77777777" w:rsidR="008F2C60" w:rsidRPr="00F5593F" w:rsidRDefault="008F2C60" w:rsidP="008B54FB">
            <w:pPr>
              <w:spacing w:before="60" w:after="60"/>
              <w:jc w:val="both"/>
              <w:rPr>
                <w:sz w:val="22"/>
              </w:rPr>
            </w:pPr>
            <w:r w:rsidRPr="00F5593F">
              <w:rPr>
                <w:sz w:val="22"/>
              </w:rPr>
              <w:t>CO (C</w:t>
            </w:r>
            <w:proofErr w:type="spellStart"/>
            <w:r w:rsidRPr="00F5593F">
              <w:rPr>
                <w:color w:val="000000"/>
                <w:sz w:val="22"/>
                <w:lang w:val="en-US" w:eastAsia="pt-BR"/>
              </w:rPr>
              <w:t>arbono</w:t>
            </w:r>
            <w:proofErr w:type="spellEnd"/>
            <w:r w:rsidRPr="00F5593F">
              <w:rPr>
                <w:color w:val="000000"/>
                <w:sz w:val="22"/>
                <w:lang w:val="en-US" w:eastAsia="pt-BR"/>
              </w:rPr>
              <w:t xml:space="preserve"> </w:t>
            </w:r>
            <w:proofErr w:type="spellStart"/>
            <w:r w:rsidRPr="00F5593F">
              <w:rPr>
                <w:color w:val="000000"/>
                <w:sz w:val="22"/>
                <w:lang w:val="en-US" w:eastAsia="pt-BR"/>
              </w:rPr>
              <w:t>orgânico</w:t>
            </w:r>
            <w:proofErr w:type="spellEnd"/>
            <w:r w:rsidRPr="00F5593F">
              <w:rPr>
                <w:sz w:val="22"/>
              </w:rPr>
              <w:t>)</w:t>
            </w:r>
          </w:p>
        </w:tc>
        <w:tc>
          <w:tcPr>
            <w:tcW w:w="0" w:type="auto"/>
          </w:tcPr>
          <w:p w14:paraId="1381C78B" w14:textId="77777777" w:rsidR="008F2C60" w:rsidRPr="00F5593F" w:rsidRDefault="008F2C60" w:rsidP="008B54FB">
            <w:pPr>
              <w:spacing w:before="60" w:after="60"/>
              <w:jc w:val="both"/>
              <w:rPr>
                <w:sz w:val="22"/>
              </w:rPr>
            </w:pPr>
            <w:r w:rsidRPr="00F5593F">
              <w:rPr>
                <w:sz w:val="22"/>
              </w:rPr>
              <w:t>mg/dm</w:t>
            </w:r>
            <w:r w:rsidRPr="00F5593F">
              <w:rPr>
                <w:sz w:val="22"/>
                <w:vertAlign w:val="superscript"/>
              </w:rPr>
              <w:t>3</w:t>
            </w:r>
          </w:p>
        </w:tc>
        <w:tc>
          <w:tcPr>
            <w:tcW w:w="0" w:type="auto"/>
          </w:tcPr>
          <w:p w14:paraId="74D0CCAD" w14:textId="77777777" w:rsidR="008F2C60" w:rsidRPr="00F5593F" w:rsidRDefault="008F2C60" w:rsidP="008B54FB">
            <w:pPr>
              <w:spacing w:before="60" w:after="60"/>
              <w:jc w:val="both"/>
              <w:rPr>
                <w:sz w:val="22"/>
              </w:rPr>
            </w:pPr>
            <w:r w:rsidRPr="00F5593F">
              <w:rPr>
                <w:sz w:val="22"/>
              </w:rPr>
              <w:t>0</w:t>
            </w:r>
          </w:p>
        </w:tc>
        <w:tc>
          <w:tcPr>
            <w:tcW w:w="0" w:type="auto"/>
          </w:tcPr>
          <w:p w14:paraId="0948F6FF" w14:textId="77777777" w:rsidR="008F2C60" w:rsidRPr="00F5593F" w:rsidRDefault="008F2C60" w:rsidP="008B54FB">
            <w:pPr>
              <w:spacing w:before="60" w:after="60"/>
              <w:jc w:val="both"/>
              <w:rPr>
                <w:sz w:val="22"/>
              </w:rPr>
            </w:pPr>
            <w:r w:rsidRPr="00F5593F">
              <w:rPr>
                <w:sz w:val="22"/>
              </w:rPr>
              <w:t>10</w:t>
            </w:r>
          </w:p>
        </w:tc>
      </w:tr>
      <w:tr w:rsidR="008F2C60" w:rsidRPr="00F5593F" w14:paraId="2D541B1B" w14:textId="77777777" w:rsidTr="00F5593F">
        <w:tc>
          <w:tcPr>
            <w:tcW w:w="0" w:type="auto"/>
          </w:tcPr>
          <w:p w14:paraId="3D4A512C" w14:textId="77777777" w:rsidR="008F2C60" w:rsidRPr="00F5593F" w:rsidRDefault="008F2C60" w:rsidP="008B54FB">
            <w:pPr>
              <w:spacing w:before="60" w:after="60"/>
              <w:jc w:val="both"/>
              <w:rPr>
                <w:sz w:val="22"/>
              </w:rPr>
            </w:pPr>
            <w:r w:rsidRPr="00F5593F">
              <w:rPr>
                <w:color w:val="000000"/>
                <w:sz w:val="22"/>
                <w:lang w:eastAsia="pt-BR"/>
              </w:rPr>
              <w:t>P (Fósforo-Resina)</w:t>
            </w:r>
          </w:p>
        </w:tc>
        <w:tc>
          <w:tcPr>
            <w:tcW w:w="0" w:type="auto"/>
          </w:tcPr>
          <w:p w14:paraId="6718E3C4" w14:textId="77777777" w:rsidR="008F2C60" w:rsidRPr="00F5593F" w:rsidRDefault="008F2C60" w:rsidP="008B54FB">
            <w:pPr>
              <w:spacing w:before="60" w:after="60"/>
              <w:jc w:val="both"/>
              <w:rPr>
                <w:sz w:val="22"/>
              </w:rPr>
            </w:pPr>
            <w:r w:rsidRPr="00F5593F">
              <w:rPr>
                <w:sz w:val="22"/>
              </w:rPr>
              <w:t>mg/dm</w:t>
            </w:r>
            <w:r w:rsidRPr="00F5593F">
              <w:rPr>
                <w:sz w:val="22"/>
                <w:vertAlign w:val="superscript"/>
              </w:rPr>
              <w:t>3</w:t>
            </w:r>
          </w:p>
        </w:tc>
        <w:tc>
          <w:tcPr>
            <w:tcW w:w="0" w:type="auto"/>
          </w:tcPr>
          <w:p w14:paraId="40E6CDCA" w14:textId="77777777" w:rsidR="008F2C60" w:rsidRPr="00F5593F" w:rsidRDefault="008F2C60" w:rsidP="008B54FB">
            <w:pPr>
              <w:spacing w:before="60" w:after="60"/>
              <w:jc w:val="both"/>
              <w:rPr>
                <w:sz w:val="22"/>
              </w:rPr>
            </w:pPr>
            <w:r w:rsidRPr="00F5593F">
              <w:rPr>
                <w:sz w:val="22"/>
              </w:rPr>
              <w:t>2</w:t>
            </w:r>
          </w:p>
        </w:tc>
        <w:tc>
          <w:tcPr>
            <w:tcW w:w="0" w:type="auto"/>
          </w:tcPr>
          <w:p w14:paraId="71719453" w14:textId="77777777" w:rsidR="008F2C60" w:rsidRPr="00F5593F" w:rsidRDefault="008F2C60" w:rsidP="008B54FB">
            <w:pPr>
              <w:spacing w:before="60" w:after="60"/>
              <w:jc w:val="both"/>
              <w:rPr>
                <w:sz w:val="22"/>
              </w:rPr>
            </w:pPr>
            <w:r w:rsidRPr="00F5593F">
              <w:rPr>
                <w:sz w:val="22"/>
              </w:rPr>
              <w:t>12</w:t>
            </w:r>
          </w:p>
        </w:tc>
      </w:tr>
      <w:tr w:rsidR="008F2C60" w:rsidRPr="00F5593F" w14:paraId="1A40DC85" w14:textId="77777777" w:rsidTr="00F5593F">
        <w:tc>
          <w:tcPr>
            <w:tcW w:w="0" w:type="auto"/>
          </w:tcPr>
          <w:p w14:paraId="0EA0A477" w14:textId="77777777" w:rsidR="008F2C60" w:rsidRPr="00F5593F" w:rsidRDefault="008F2C60" w:rsidP="008B54FB">
            <w:pPr>
              <w:spacing w:before="60" w:after="60"/>
              <w:jc w:val="both"/>
              <w:rPr>
                <w:color w:val="000000"/>
                <w:sz w:val="22"/>
                <w:lang w:eastAsia="pt-BR"/>
              </w:rPr>
            </w:pPr>
            <w:r w:rsidRPr="00F5593F">
              <w:rPr>
                <w:color w:val="000000"/>
                <w:sz w:val="22"/>
                <w:lang w:eastAsia="pt-BR"/>
              </w:rPr>
              <w:t>K (Potássio)</w:t>
            </w:r>
          </w:p>
        </w:tc>
        <w:tc>
          <w:tcPr>
            <w:tcW w:w="0" w:type="auto"/>
          </w:tcPr>
          <w:p w14:paraId="43D231E9" w14:textId="77777777" w:rsidR="008F2C60" w:rsidRPr="00F5593F" w:rsidRDefault="008F2C60" w:rsidP="008B54FB">
            <w:pPr>
              <w:spacing w:before="60" w:after="60"/>
              <w:jc w:val="both"/>
              <w:rPr>
                <w:sz w:val="22"/>
              </w:rPr>
            </w:pPr>
            <w:r w:rsidRPr="00F5593F">
              <w:rPr>
                <w:sz w:val="22"/>
              </w:rPr>
              <w:t>mg/dm</w:t>
            </w:r>
            <w:r w:rsidRPr="00F5593F">
              <w:rPr>
                <w:sz w:val="22"/>
                <w:vertAlign w:val="superscript"/>
              </w:rPr>
              <w:t>3</w:t>
            </w:r>
          </w:p>
        </w:tc>
        <w:tc>
          <w:tcPr>
            <w:tcW w:w="0" w:type="auto"/>
          </w:tcPr>
          <w:p w14:paraId="71D198D3" w14:textId="77777777" w:rsidR="008F2C60" w:rsidRPr="00F5593F" w:rsidRDefault="008F2C60" w:rsidP="008B54FB">
            <w:pPr>
              <w:spacing w:before="60" w:after="60"/>
              <w:jc w:val="both"/>
              <w:rPr>
                <w:sz w:val="22"/>
              </w:rPr>
            </w:pPr>
            <w:r w:rsidRPr="00F5593F">
              <w:rPr>
                <w:sz w:val="22"/>
              </w:rPr>
              <w:t>50</w:t>
            </w:r>
          </w:p>
        </w:tc>
        <w:tc>
          <w:tcPr>
            <w:tcW w:w="0" w:type="auto"/>
          </w:tcPr>
          <w:p w14:paraId="10E0C70C" w14:textId="77777777" w:rsidR="008F2C60" w:rsidRPr="00F5593F" w:rsidRDefault="008F2C60" w:rsidP="008B54FB">
            <w:pPr>
              <w:spacing w:before="60" w:after="60"/>
              <w:jc w:val="both"/>
              <w:rPr>
                <w:sz w:val="22"/>
              </w:rPr>
            </w:pPr>
            <w:r w:rsidRPr="00F5593F">
              <w:rPr>
                <w:sz w:val="22"/>
              </w:rPr>
              <w:t>69</w:t>
            </w:r>
          </w:p>
        </w:tc>
      </w:tr>
      <w:tr w:rsidR="008F2C60" w:rsidRPr="00F5593F" w14:paraId="3206930B" w14:textId="77777777" w:rsidTr="00F5593F">
        <w:tc>
          <w:tcPr>
            <w:tcW w:w="0" w:type="auto"/>
          </w:tcPr>
          <w:p w14:paraId="4558A6E5"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Ca2</w:t>
            </w:r>
            <w:r w:rsidRPr="00F5593F">
              <w:rPr>
                <w:color w:val="000000"/>
                <w:sz w:val="22"/>
                <w:vertAlign w:val="superscript"/>
                <w:lang w:eastAsia="pt-BR"/>
              </w:rPr>
              <w:t>+</w:t>
            </w:r>
            <w:r w:rsidRPr="00F5593F">
              <w:rPr>
                <w:color w:val="000000"/>
                <w:sz w:val="22"/>
                <w:lang w:eastAsia="pt-BR"/>
              </w:rPr>
              <w:t xml:space="preserve"> (Cálcio)</w:t>
            </w:r>
          </w:p>
        </w:tc>
        <w:tc>
          <w:tcPr>
            <w:tcW w:w="0" w:type="auto"/>
          </w:tcPr>
          <w:p w14:paraId="75076B17" w14:textId="77777777" w:rsidR="008F2C60" w:rsidRPr="00F5593F" w:rsidRDefault="008F2C60" w:rsidP="008B54FB">
            <w:pPr>
              <w:spacing w:before="60" w:after="60"/>
              <w:jc w:val="both"/>
              <w:rPr>
                <w:sz w:val="22"/>
              </w:rPr>
            </w:pPr>
            <w:r w:rsidRPr="00F5593F">
              <w:rPr>
                <w:color w:val="000000"/>
                <w:sz w:val="22"/>
                <w:lang w:eastAsia="pt-BR"/>
              </w:rPr>
              <w:t>cmolc / dm</w:t>
            </w:r>
            <w:r w:rsidRPr="00F5593F">
              <w:rPr>
                <w:color w:val="000000"/>
                <w:sz w:val="22"/>
                <w:vertAlign w:val="superscript"/>
                <w:lang w:eastAsia="pt-BR"/>
              </w:rPr>
              <w:t>3</w:t>
            </w:r>
          </w:p>
        </w:tc>
        <w:tc>
          <w:tcPr>
            <w:tcW w:w="0" w:type="auto"/>
          </w:tcPr>
          <w:p w14:paraId="38A451A2" w14:textId="77777777" w:rsidR="008F2C60" w:rsidRPr="00F5593F" w:rsidRDefault="008F2C60" w:rsidP="008B54FB">
            <w:pPr>
              <w:spacing w:before="60" w:after="60"/>
              <w:jc w:val="both"/>
              <w:rPr>
                <w:sz w:val="22"/>
              </w:rPr>
            </w:pPr>
            <w:r w:rsidRPr="00F5593F">
              <w:rPr>
                <w:sz w:val="22"/>
              </w:rPr>
              <w:t>0.9</w:t>
            </w:r>
          </w:p>
        </w:tc>
        <w:tc>
          <w:tcPr>
            <w:tcW w:w="0" w:type="auto"/>
          </w:tcPr>
          <w:p w14:paraId="12DC8C7F" w14:textId="77777777" w:rsidR="008F2C60" w:rsidRPr="00F5593F" w:rsidRDefault="008F2C60" w:rsidP="008B54FB">
            <w:pPr>
              <w:spacing w:before="60" w:after="60"/>
              <w:jc w:val="both"/>
              <w:rPr>
                <w:sz w:val="22"/>
              </w:rPr>
            </w:pPr>
            <w:r w:rsidRPr="00F5593F">
              <w:rPr>
                <w:sz w:val="22"/>
              </w:rPr>
              <w:t>14</w:t>
            </w:r>
          </w:p>
        </w:tc>
      </w:tr>
      <w:tr w:rsidR="008F2C60" w:rsidRPr="00F5593F" w14:paraId="2E25AC36" w14:textId="77777777" w:rsidTr="00F5593F">
        <w:tc>
          <w:tcPr>
            <w:tcW w:w="0" w:type="auto"/>
          </w:tcPr>
          <w:p w14:paraId="4143DB99" w14:textId="77777777" w:rsidR="008F2C60" w:rsidRPr="00F5593F" w:rsidRDefault="008F2C60" w:rsidP="008B54FB">
            <w:pPr>
              <w:spacing w:before="60" w:after="60"/>
              <w:jc w:val="both"/>
              <w:rPr>
                <w:color w:val="000000"/>
                <w:sz w:val="22"/>
                <w:lang w:eastAsia="pt-BR"/>
              </w:rPr>
            </w:pPr>
            <w:r w:rsidRPr="00F5593F">
              <w:rPr>
                <w:color w:val="000000"/>
                <w:sz w:val="22"/>
                <w:lang w:eastAsia="pt-BR"/>
              </w:rPr>
              <w:t>Mg2</w:t>
            </w:r>
            <w:r w:rsidRPr="00F5593F">
              <w:rPr>
                <w:color w:val="000000"/>
                <w:sz w:val="22"/>
                <w:vertAlign w:val="superscript"/>
                <w:lang w:eastAsia="pt-BR"/>
              </w:rPr>
              <w:t>+</w:t>
            </w:r>
            <w:r w:rsidRPr="00F5593F">
              <w:rPr>
                <w:color w:val="000000"/>
                <w:sz w:val="22"/>
                <w:lang w:eastAsia="pt-BR"/>
              </w:rPr>
              <w:t xml:space="preserve"> (Magnésio)</w:t>
            </w:r>
          </w:p>
        </w:tc>
        <w:tc>
          <w:tcPr>
            <w:tcW w:w="0" w:type="auto"/>
          </w:tcPr>
          <w:p w14:paraId="634C44D0"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cmolc / dm</w:t>
            </w:r>
            <w:r w:rsidRPr="00F5593F">
              <w:rPr>
                <w:color w:val="000000"/>
                <w:sz w:val="22"/>
                <w:vertAlign w:val="superscript"/>
                <w:lang w:eastAsia="pt-BR"/>
              </w:rPr>
              <w:t>3</w:t>
            </w:r>
          </w:p>
        </w:tc>
        <w:tc>
          <w:tcPr>
            <w:tcW w:w="0" w:type="auto"/>
          </w:tcPr>
          <w:p w14:paraId="7FF8BD4B" w14:textId="77777777" w:rsidR="008F2C60" w:rsidRPr="00F5593F" w:rsidRDefault="008F2C60" w:rsidP="008B54FB">
            <w:pPr>
              <w:spacing w:before="60" w:after="60"/>
              <w:jc w:val="both"/>
              <w:rPr>
                <w:sz w:val="22"/>
              </w:rPr>
            </w:pPr>
            <w:r w:rsidRPr="00F5593F">
              <w:rPr>
                <w:sz w:val="22"/>
              </w:rPr>
              <w:t>0.5</w:t>
            </w:r>
          </w:p>
        </w:tc>
        <w:tc>
          <w:tcPr>
            <w:tcW w:w="0" w:type="auto"/>
          </w:tcPr>
          <w:p w14:paraId="0482EF5E" w14:textId="77777777" w:rsidR="008F2C60" w:rsidRPr="00F5593F" w:rsidRDefault="008F2C60" w:rsidP="008B54FB">
            <w:pPr>
              <w:spacing w:before="60" w:after="60"/>
              <w:jc w:val="both"/>
              <w:rPr>
                <w:sz w:val="22"/>
              </w:rPr>
            </w:pPr>
            <w:r w:rsidRPr="00F5593F">
              <w:rPr>
                <w:sz w:val="22"/>
              </w:rPr>
              <w:t>0.6</w:t>
            </w:r>
          </w:p>
        </w:tc>
      </w:tr>
      <w:tr w:rsidR="008F2C60" w:rsidRPr="00F5593F" w14:paraId="0B503B90" w14:textId="77777777" w:rsidTr="00F5593F">
        <w:tc>
          <w:tcPr>
            <w:tcW w:w="0" w:type="auto"/>
          </w:tcPr>
          <w:p w14:paraId="764C5CE5" w14:textId="77777777" w:rsidR="008F2C60" w:rsidRPr="00F5593F" w:rsidRDefault="008F2C60" w:rsidP="008B54FB">
            <w:pPr>
              <w:spacing w:before="60" w:after="60"/>
              <w:jc w:val="both"/>
              <w:rPr>
                <w:color w:val="000000"/>
                <w:sz w:val="22"/>
                <w:lang w:eastAsia="pt-BR"/>
              </w:rPr>
            </w:pPr>
            <w:r w:rsidRPr="00F5593F">
              <w:rPr>
                <w:color w:val="000000"/>
                <w:sz w:val="22"/>
                <w:lang w:eastAsia="pt-BR"/>
              </w:rPr>
              <w:t>Al2</w:t>
            </w:r>
            <w:r w:rsidRPr="00F5593F">
              <w:rPr>
                <w:color w:val="000000"/>
                <w:sz w:val="22"/>
                <w:vertAlign w:val="superscript"/>
                <w:lang w:eastAsia="pt-BR"/>
              </w:rPr>
              <w:t>+</w:t>
            </w:r>
          </w:p>
        </w:tc>
        <w:tc>
          <w:tcPr>
            <w:tcW w:w="0" w:type="auto"/>
          </w:tcPr>
          <w:p w14:paraId="6A94AFC1"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cmolc / dm</w:t>
            </w:r>
            <w:r w:rsidRPr="00F5593F">
              <w:rPr>
                <w:color w:val="000000"/>
                <w:sz w:val="22"/>
                <w:vertAlign w:val="superscript"/>
                <w:lang w:eastAsia="pt-BR"/>
              </w:rPr>
              <w:t>3</w:t>
            </w:r>
          </w:p>
        </w:tc>
        <w:tc>
          <w:tcPr>
            <w:tcW w:w="0" w:type="auto"/>
          </w:tcPr>
          <w:p w14:paraId="652774F9" w14:textId="77777777" w:rsidR="008F2C60" w:rsidRPr="00F5593F" w:rsidRDefault="008F2C60" w:rsidP="008B54FB">
            <w:pPr>
              <w:spacing w:before="60" w:after="60"/>
              <w:jc w:val="both"/>
              <w:rPr>
                <w:sz w:val="22"/>
              </w:rPr>
            </w:pPr>
            <w:r w:rsidRPr="00F5593F">
              <w:rPr>
                <w:sz w:val="22"/>
              </w:rPr>
              <w:t>0.8</w:t>
            </w:r>
          </w:p>
        </w:tc>
        <w:tc>
          <w:tcPr>
            <w:tcW w:w="0" w:type="auto"/>
          </w:tcPr>
          <w:p w14:paraId="35BF69F2" w14:textId="77777777" w:rsidR="008F2C60" w:rsidRPr="00F5593F" w:rsidRDefault="008F2C60" w:rsidP="008B54FB">
            <w:pPr>
              <w:spacing w:before="60" w:after="60"/>
              <w:jc w:val="both"/>
              <w:rPr>
                <w:sz w:val="22"/>
              </w:rPr>
            </w:pPr>
            <w:r w:rsidRPr="00F5593F">
              <w:rPr>
                <w:sz w:val="22"/>
              </w:rPr>
              <w:t>0.8</w:t>
            </w:r>
          </w:p>
        </w:tc>
      </w:tr>
      <w:tr w:rsidR="008F2C60" w:rsidRPr="00F5593F" w14:paraId="018466AB" w14:textId="77777777" w:rsidTr="00F5593F">
        <w:tc>
          <w:tcPr>
            <w:tcW w:w="0" w:type="auto"/>
          </w:tcPr>
          <w:p w14:paraId="2009C434" w14:textId="77777777" w:rsidR="008F2C60" w:rsidRPr="00F5593F" w:rsidRDefault="008F2C60" w:rsidP="008B54FB">
            <w:pPr>
              <w:spacing w:before="60" w:after="60"/>
              <w:jc w:val="both"/>
              <w:rPr>
                <w:color w:val="000000"/>
                <w:sz w:val="22"/>
                <w:lang w:eastAsia="pt-BR"/>
              </w:rPr>
            </w:pPr>
            <w:r w:rsidRPr="00F5593F">
              <w:rPr>
                <w:color w:val="000000"/>
                <w:sz w:val="22"/>
                <w:lang w:eastAsia="pt-BR"/>
              </w:rPr>
              <w:t>H + Al</w:t>
            </w:r>
          </w:p>
        </w:tc>
        <w:tc>
          <w:tcPr>
            <w:tcW w:w="0" w:type="auto"/>
          </w:tcPr>
          <w:p w14:paraId="31B8BDE8"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cmolc / dm</w:t>
            </w:r>
            <w:r w:rsidRPr="00F5593F">
              <w:rPr>
                <w:color w:val="000000"/>
                <w:sz w:val="22"/>
                <w:vertAlign w:val="superscript"/>
                <w:lang w:eastAsia="pt-BR"/>
              </w:rPr>
              <w:t>3</w:t>
            </w:r>
          </w:p>
        </w:tc>
        <w:tc>
          <w:tcPr>
            <w:tcW w:w="0" w:type="auto"/>
          </w:tcPr>
          <w:p w14:paraId="175A3DE8" w14:textId="77777777" w:rsidR="008F2C60" w:rsidRPr="00F5593F" w:rsidRDefault="008F2C60" w:rsidP="008B54FB">
            <w:pPr>
              <w:spacing w:before="60" w:after="60"/>
              <w:jc w:val="both"/>
              <w:rPr>
                <w:sz w:val="22"/>
              </w:rPr>
            </w:pPr>
            <w:r w:rsidRPr="00F5593F">
              <w:rPr>
                <w:sz w:val="22"/>
              </w:rPr>
              <w:t>3.9</w:t>
            </w:r>
          </w:p>
        </w:tc>
        <w:tc>
          <w:tcPr>
            <w:tcW w:w="0" w:type="auto"/>
          </w:tcPr>
          <w:p w14:paraId="7C05B1D6" w14:textId="77777777" w:rsidR="008F2C60" w:rsidRPr="00F5593F" w:rsidRDefault="008F2C60" w:rsidP="008B54FB">
            <w:pPr>
              <w:spacing w:before="60" w:after="60"/>
              <w:jc w:val="both"/>
              <w:rPr>
                <w:sz w:val="22"/>
              </w:rPr>
            </w:pPr>
            <w:r w:rsidRPr="00F5593F">
              <w:rPr>
                <w:sz w:val="22"/>
              </w:rPr>
              <w:t>3.9</w:t>
            </w:r>
          </w:p>
        </w:tc>
      </w:tr>
      <w:tr w:rsidR="008F2C60" w:rsidRPr="00F5593F" w14:paraId="0B99766C" w14:textId="77777777" w:rsidTr="00F5593F">
        <w:tc>
          <w:tcPr>
            <w:tcW w:w="0" w:type="auto"/>
          </w:tcPr>
          <w:p w14:paraId="4F634E6A" w14:textId="77777777" w:rsidR="008F2C60" w:rsidRPr="00F5593F" w:rsidRDefault="008F2C60" w:rsidP="008B54FB">
            <w:pPr>
              <w:spacing w:before="60" w:after="60"/>
              <w:jc w:val="both"/>
              <w:rPr>
                <w:color w:val="000000"/>
                <w:sz w:val="22"/>
                <w:lang w:eastAsia="pt-BR"/>
              </w:rPr>
            </w:pPr>
            <w:r w:rsidRPr="00F5593F">
              <w:rPr>
                <w:color w:val="000000"/>
                <w:sz w:val="22"/>
                <w:lang w:eastAsia="pt-BR"/>
              </w:rPr>
              <w:t>S –Soma das bases</w:t>
            </w:r>
          </w:p>
        </w:tc>
        <w:tc>
          <w:tcPr>
            <w:tcW w:w="0" w:type="auto"/>
          </w:tcPr>
          <w:p w14:paraId="2FC41D5D"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cmolc / dm</w:t>
            </w:r>
            <w:r w:rsidRPr="00F5593F">
              <w:rPr>
                <w:color w:val="000000"/>
                <w:sz w:val="22"/>
                <w:vertAlign w:val="superscript"/>
                <w:lang w:eastAsia="pt-BR"/>
              </w:rPr>
              <w:t>3</w:t>
            </w:r>
          </w:p>
        </w:tc>
        <w:tc>
          <w:tcPr>
            <w:tcW w:w="0" w:type="auto"/>
          </w:tcPr>
          <w:p w14:paraId="11A74A76" w14:textId="77777777" w:rsidR="008F2C60" w:rsidRPr="00F5593F" w:rsidRDefault="008F2C60" w:rsidP="008B54FB">
            <w:pPr>
              <w:spacing w:before="60" w:after="60"/>
              <w:jc w:val="both"/>
              <w:rPr>
                <w:sz w:val="22"/>
              </w:rPr>
            </w:pPr>
            <w:r w:rsidRPr="00F5593F">
              <w:rPr>
                <w:sz w:val="22"/>
              </w:rPr>
              <w:t>1.5</w:t>
            </w:r>
          </w:p>
        </w:tc>
        <w:tc>
          <w:tcPr>
            <w:tcW w:w="0" w:type="auto"/>
          </w:tcPr>
          <w:p w14:paraId="59E043E4" w14:textId="77777777" w:rsidR="008F2C60" w:rsidRPr="00F5593F" w:rsidRDefault="008F2C60" w:rsidP="008B54FB">
            <w:pPr>
              <w:spacing w:before="60" w:after="60"/>
              <w:jc w:val="both"/>
              <w:rPr>
                <w:sz w:val="22"/>
              </w:rPr>
            </w:pPr>
            <w:r w:rsidRPr="00F5593F">
              <w:rPr>
                <w:sz w:val="22"/>
              </w:rPr>
              <w:t>2.2</w:t>
            </w:r>
          </w:p>
        </w:tc>
      </w:tr>
      <w:tr w:rsidR="008F2C60" w:rsidRPr="00F5593F" w14:paraId="697CB3E9" w14:textId="77777777" w:rsidTr="00F5593F">
        <w:tc>
          <w:tcPr>
            <w:tcW w:w="0" w:type="auto"/>
          </w:tcPr>
          <w:p w14:paraId="1960B2A0"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CTC (T)</w:t>
            </w:r>
          </w:p>
        </w:tc>
        <w:tc>
          <w:tcPr>
            <w:tcW w:w="0" w:type="auto"/>
          </w:tcPr>
          <w:p w14:paraId="2DB1701B" w14:textId="77777777" w:rsidR="008F2C60" w:rsidRPr="00F5593F" w:rsidRDefault="008F2C60" w:rsidP="008B54FB">
            <w:pPr>
              <w:spacing w:before="60" w:after="60"/>
              <w:jc w:val="both"/>
              <w:rPr>
                <w:color w:val="000000"/>
                <w:sz w:val="22"/>
                <w:lang w:eastAsia="pt-BR"/>
              </w:rPr>
            </w:pPr>
            <w:r w:rsidRPr="00F5593F">
              <w:rPr>
                <w:color w:val="000000"/>
                <w:sz w:val="22"/>
                <w:lang w:eastAsia="pt-BR"/>
              </w:rPr>
              <w:t>cmolc / dm</w:t>
            </w:r>
            <w:r w:rsidRPr="00F5593F">
              <w:rPr>
                <w:color w:val="000000"/>
                <w:sz w:val="22"/>
                <w:vertAlign w:val="superscript"/>
                <w:lang w:eastAsia="pt-BR"/>
              </w:rPr>
              <w:t>3</w:t>
            </w:r>
          </w:p>
        </w:tc>
        <w:tc>
          <w:tcPr>
            <w:tcW w:w="0" w:type="auto"/>
          </w:tcPr>
          <w:p w14:paraId="0B267655" w14:textId="77777777" w:rsidR="008F2C60" w:rsidRPr="00F5593F" w:rsidRDefault="008F2C60" w:rsidP="008B54FB">
            <w:pPr>
              <w:spacing w:before="60" w:after="60"/>
              <w:jc w:val="both"/>
              <w:rPr>
                <w:sz w:val="22"/>
              </w:rPr>
            </w:pPr>
            <w:r w:rsidRPr="00F5593F">
              <w:rPr>
                <w:sz w:val="22"/>
              </w:rPr>
              <w:t>5.4</w:t>
            </w:r>
          </w:p>
        </w:tc>
        <w:tc>
          <w:tcPr>
            <w:tcW w:w="0" w:type="auto"/>
          </w:tcPr>
          <w:p w14:paraId="5D964909" w14:textId="77777777" w:rsidR="008F2C60" w:rsidRPr="00F5593F" w:rsidRDefault="008F2C60" w:rsidP="008B54FB">
            <w:pPr>
              <w:spacing w:before="60" w:after="60"/>
              <w:jc w:val="both"/>
              <w:rPr>
                <w:sz w:val="22"/>
              </w:rPr>
            </w:pPr>
            <w:r w:rsidRPr="00F5593F">
              <w:rPr>
                <w:sz w:val="22"/>
              </w:rPr>
              <w:t>6.1</w:t>
            </w:r>
          </w:p>
        </w:tc>
      </w:tr>
      <w:tr w:rsidR="008F2C60" w:rsidRPr="00F5593F" w14:paraId="73F6BE0E" w14:textId="77777777" w:rsidTr="00F5593F">
        <w:tc>
          <w:tcPr>
            <w:tcW w:w="0" w:type="auto"/>
          </w:tcPr>
          <w:p w14:paraId="700EE315" w14:textId="77777777" w:rsidR="008F2C60" w:rsidRPr="00F5593F" w:rsidRDefault="008F2C60" w:rsidP="008B54FB">
            <w:pPr>
              <w:spacing w:before="60" w:after="60"/>
              <w:jc w:val="both"/>
              <w:rPr>
                <w:color w:val="000000"/>
                <w:sz w:val="22"/>
                <w:lang w:eastAsia="pt-BR"/>
              </w:rPr>
            </w:pPr>
            <w:r w:rsidRPr="00F5593F">
              <w:rPr>
                <w:color w:val="000000"/>
                <w:sz w:val="22"/>
                <w:lang w:eastAsia="pt-BR"/>
              </w:rPr>
              <w:t>V – Saturação de bases</w:t>
            </w:r>
          </w:p>
        </w:tc>
        <w:tc>
          <w:tcPr>
            <w:tcW w:w="0" w:type="auto"/>
          </w:tcPr>
          <w:p w14:paraId="062A9CFC" w14:textId="77777777" w:rsidR="008F2C60" w:rsidRPr="00F5593F" w:rsidRDefault="008F2C60" w:rsidP="008B54FB">
            <w:pPr>
              <w:spacing w:before="60" w:after="60"/>
              <w:jc w:val="both"/>
              <w:rPr>
                <w:color w:val="000000"/>
                <w:sz w:val="22"/>
                <w:lang w:eastAsia="pt-BR"/>
              </w:rPr>
            </w:pPr>
            <w:r w:rsidRPr="00F5593F">
              <w:rPr>
                <w:color w:val="000000"/>
                <w:sz w:val="22"/>
                <w:lang w:eastAsia="pt-BR"/>
              </w:rPr>
              <w:t>%</w:t>
            </w:r>
          </w:p>
        </w:tc>
        <w:tc>
          <w:tcPr>
            <w:tcW w:w="0" w:type="auto"/>
          </w:tcPr>
          <w:p w14:paraId="2BD528DE" w14:textId="77777777" w:rsidR="008F2C60" w:rsidRPr="00F5593F" w:rsidRDefault="008F2C60" w:rsidP="008B54FB">
            <w:pPr>
              <w:spacing w:before="60" w:after="60"/>
              <w:jc w:val="both"/>
              <w:rPr>
                <w:sz w:val="22"/>
              </w:rPr>
            </w:pPr>
            <w:r w:rsidRPr="00F5593F">
              <w:rPr>
                <w:sz w:val="22"/>
              </w:rPr>
              <w:t>0.28</w:t>
            </w:r>
          </w:p>
        </w:tc>
        <w:tc>
          <w:tcPr>
            <w:tcW w:w="0" w:type="auto"/>
          </w:tcPr>
          <w:p w14:paraId="2B8DA4C4" w14:textId="77777777" w:rsidR="008F2C60" w:rsidRPr="00F5593F" w:rsidRDefault="008F2C60" w:rsidP="008B54FB">
            <w:pPr>
              <w:spacing w:before="60" w:after="60"/>
              <w:jc w:val="both"/>
              <w:rPr>
                <w:sz w:val="22"/>
              </w:rPr>
            </w:pPr>
            <w:r w:rsidRPr="00F5593F">
              <w:rPr>
                <w:sz w:val="22"/>
              </w:rPr>
              <w:t>36</w:t>
            </w:r>
          </w:p>
        </w:tc>
      </w:tr>
    </w:tbl>
    <w:p w14:paraId="5B50230B" w14:textId="4EC469A8" w:rsidR="008E36A7" w:rsidRPr="008E36A7" w:rsidRDefault="008E36A7" w:rsidP="00F1112B">
      <w:pPr>
        <w:widowControl/>
        <w:spacing w:after="160"/>
        <w:jc w:val="both"/>
        <w:rPr>
          <w:sz w:val="22"/>
        </w:rPr>
      </w:pPr>
      <w:r w:rsidRPr="005B7306">
        <w:rPr>
          <w:sz w:val="22"/>
        </w:rPr>
        <w:t>Fonte: Autores,</w:t>
      </w:r>
      <w:r w:rsidR="00F1112B">
        <w:rPr>
          <w:sz w:val="22"/>
        </w:rPr>
        <w:t xml:space="preserve"> </w:t>
      </w:r>
      <w:r w:rsidRPr="005B7306">
        <w:rPr>
          <w:sz w:val="22"/>
        </w:rPr>
        <w:t>2024</w:t>
      </w:r>
      <w:r w:rsidR="00527B8F">
        <w:rPr>
          <w:sz w:val="22"/>
        </w:rPr>
        <w:t>.</w:t>
      </w:r>
    </w:p>
    <w:p w14:paraId="0EA9AA65" w14:textId="1E9F2B62" w:rsidR="003949CE" w:rsidRPr="00574888" w:rsidRDefault="003949CE" w:rsidP="008E36A7">
      <w:pPr>
        <w:spacing w:before="60" w:after="60" w:line="360" w:lineRule="auto"/>
        <w:jc w:val="both"/>
      </w:pPr>
      <w:r>
        <w:rPr>
          <w:szCs w:val="24"/>
          <w:highlight w:val="white"/>
        </w:rPr>
        <w:tab/>
      </w:r>
      <w:r w:rsidR="00B84D88" w:rsidRPr="00C0175D">
        <w:t>Já para os macronutrientes secundários não se observou (Tabela 01) diferença no aumento dos teores na maioria dos elementos se comparado aos primários. Se destacando a saturação de bases (V), com um aumento de 0,28% para 36%, apontando uma melhoria na qualidade do solo.</w:t>
      </w:r>
    </w:p>
    <w:p w14:paraId="2CC75066" w14:textId="2EECA316" w:rsidR="00A819A2" w:rsidRPr="0030146D" w:rsidRDefault="00A819A2" w:rsidP="00B84D88">
      <w:pPr>
        <w:spacing w:before="60" w:after="60" w:line="360" w:lineRule="auto"/>
        <w:jc w:val="both"/>
        <w:rPr>
          <w:i/>
          <w:iCs/>
        </w:rPr>
      </w:pPr>
      <w:r w:rsidRPr="00A819A2">
        <w:rPr>
          <w:szCs w:val="24"/>
        </w:rPr>
        <w:t xml:space="preserve">3.2 </w:t>
      </w:r>
      <w:r w:rsidR="00B84D88" w:rsidRPr="00B84D88">
        <w:t xml:space="preserve">DESENVOLVIMENTO DA </w:t>
      </w:r>
      <w:r w:rsidR="00105278">
        <w:rPr>
          <w:i/>
          <w:iCs/>
        </w:rPr>
        <w:t>L</w:t>
      </w:r>
      <w:r w:rsidR="00105278" w:rsidRPr="00B84D88">
        <w:rPr>
          <w:i/>
          <w:iCs/>
        </w:rPr>
        <w:t>actuca sativa</w:t>
      </w:r>
      <w:r w:rsidR="00B84D88" w:rsidRPr="00B84D88">
        <w:t xml:space="preserve"> L.</w:t>
      </w:r>
    </w:p>
    <w:p w14:paraId="273456CE" w14:textId="6B28350C" w:rsidR="00B84D88" w:rsidRDefault="00B84D88" w:rsidP="00B84D88">
      <w:pPr>
        <w:spacing w:before="60" w:after="60" w:line="360" w:lineRule="auto"/>
        <w:jc w:val="both"/>
      </w:pPr>
      <w:r>
        <w:t xml:space="preserve">            Após 15 dias de observação, o Grupo Controle (sem aplicação de biofertilizantes) obteve os menores valores de crescimento médio com 4.16 cm (±1.83) em comparação com o </w:t>
      </w:r>
      <w:r>
        <w:lastRenderedPageBreak/>
        <w:t>T3 (apenas irrigação) com média de 8.83 (±1.94) (Figura 1).</w:t>
      </w:r>
    </w:p>
    <w:p w14:paraId="1DF2DC4D" w14:textId="77777777" w:rsidR="00B84D88" w:rsidRDefault="00B84D88" w:rsidP="00B84D88">
      <w:pPr>
        <w:spacing w:before="60" w:after="60" w:line="360" w:lineRule="auto"/>
        <w:jc w:val="both"/>
      </w:pPr>
      <w:r>
        <w:tab/>
        <w:t xml:space="preserve">Os tratamentos com fertilizantes, como esperado, foram aqueles que apresentaram os maiores desenvolvimento até 15 dias de observação, todavia cabe ressaltar que não houve diferença entre os tratamentos com biofertilizante e fertilizante comercial. </w:t>
      </w:r>
    </w:p>
    <w:p w14:paraId="3816A3F3" w14:textId="07678244" w:rsidR="00E5779D" w:rsidRDefault="00B84D88" w:rsidP="00E5779D">
      <w:pPr>
        <w:spacing w:before="60" w:after="60" w:line="360" w:lineRule="auto"/>
        <w:ind w:firstLine="708"/>
        <w:jc w:val="both"/>
      </w:pPr>
      <w:r>
        <w:t xml:space="preserve">O biofertilizante melhorou a qualidade do solo, como pode ser observado na Tabela 1, mas esse resultado </w:t>
      </w:r>
      <w:r w:rsidRPr="00C0175D">
        <w:t xml:space="preserve">não </w:t>
      </w:r>
      <w:r>
        <w:t xml:space="preserve">se </w:t>
      </w:r>
      <w:r w:rsidRPr="00C0175D">
        <w:t>refletiu no desenvolvimento da alface</w:t>
      </w:r>
      <w:r>
        <w:t xml:space="preserve"> (Figura 1), </w:t>
      </w:r>
      <w:r w:rsidRPr="00C0175D">
        <w:t>O tratamento com melhor resultado fo</w:t>
      </w:r>
      <w:r>
        <w:t xml:space="preserve">i </w:t>
      </w:r>
      <w:r w:rsidRPr="00C0175D">
        <w:t>à testemunha em terra preta (T3) sem aplicação de fertilizantes</w:t>
      </w:r>
      <w:r>
        <w:t>.</w:t>
      </w:r>
    </w:p>
    <w:p w14:paraId="5F5991C2" w14:textId="3ACAABD0" w:rsidR="008E36A7" w:rsidRPr="008E36A7" w:rsidRDefault="00B84D88" w:rsidP="008E36A7">
      <w:pPr>
        <w:spacing w:before="60" w:after="60" w:line="360" w:lineRule="auto"/>
        <w:ind w:firstLine="708"/>
        <w:jc w:val="both"/>
      </w:pPr>
      <w:r>
        <w:t>A</w:t>
      </w:r>
      <w:r w:rsidRPr="00B62453">
        <w:t>pesar do</w:t>
      </w:r>
      <w:r>
        <w:t>s</w:t>
      </w:r>
      <w:r w:rsidRPr="00B62453">
        <w:t xml:space="preserve"> benefício</w:t>
      </w:r>
      <w:r>
        <w:t>s</w:t>
      </w:r>
      <w:r w:rsidRPr="00B62453">
        <w:t xml:space="preserve"> </w:t>
      </w:r>
      <w:r>
        <w:t xml:space="preserve">apresentados pelo uso do </w:t>
      </w:r>
      <w:r w:rsidRPr="00B62453">
        <w:t>biofertilizante</w:t>
      </w:r>
      <w:r>
        <w:t xml:space="preserve"> para o solo</w:t>
      </w:r>
      <w:r w:rsidRPr="00B62453">
        <w:t xml:space="preserve">, </w:t>
      </w:r>
      <w:r>
        <w:t xml:space="preserve">o tratamento sem estímulo foi o que apresentou maior crescimento com 15 dias de observação, nesse sentido outras variáveis podem explicar esses resultados como concentração do fertilizante e quantidade de aplicação. Zandonadi et al. (2014) afirmam que se deve levar em </w:t>
      </w:r>
      <w:r w:rsidRPr="00B62453">
        <w:t>considera</w:t>
      </w:r>
      <w:r>
        <w:t>ção</w:t>
      </w:r>
      <w:r w:rsidRPr="00B62453">
        <w:t xml:space="preserve"> </w:t>
      </w:r>
      <w:r>
        <w:t xml:space="preserve">essas variáveis </w:t>
      </w:r>
      <w:r w:rsidRPr="00B62453">
        <w:t xml:space="preserve">para uma correta definição da quantidade a ser usada, </w:t>
      </w:r>
      <w:r>
        <w:t xml:space="preserve">até para se observar </w:t>
      </w:r>
      <w:r w:rsidRPr="00B62453">
        <w:t>efeitos negativos</w:t>
      </w:r>
      <w:r>
        <w:t>,</w:t>
      </w:r>
      <w:r w:rsidRPr="00B62453">
        <w:t xml:space="preserve"> como a inibição do crescimento vegetal.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1"/>
      </w:tblGrid>
      <w:tr w:rsidR="00567FB7" w14:paraId="67AA7537" w14:textId="77777777" w:rsidTr="00885C2E">
        <w:tc>
          <w:tcPr>
            <w:tcW w:w="8504" w:type="dxa"/>
          </w:tcPr>
          <w:p w14:paraId="6DA17FA3" w14:textId="466B8352" w:rsidR="00567FB7" w:rsidRPr="008E36A7" w:rsidRDefault="008E36A7" w:rsidP="00F1112B">
            <w:pPr>
              <w:spacing w:before="60" w:after="60"/>
              <w:jc w:val="center"/>
              <w:rPr>
                <w:sz w:val="22"/>
              </w:rPr>
            </w:pPr>
            <w:r w:rsidRPr="00F1112B">
              <w:rPr>
                <w:sz w:val="22"/>
              </w:rPr>
              <w:t>Figura 1:</w:t>
            </w:r>
            <w:r w:rsidRPr="008E36A7">
              <w:rPr>
                <w:sz w:val="22"/>
              </w:rPr>
              <w:t xml:space="preserve"> Médias e desvio padrão do crescimento nos diferentes tratamentos do experimento.</w:t>
            </w:r>
          </w:p>
        </w:tc>
      </w:tr>
      <w:tr w:rsidR="00567FB7" w14:paraId="205BC994" w14:textId="77777777" w:rsidTr="00885C2E">
        <w:tc>
          <w:tcPr>
            <w:tcW w:w="8504" w:type="dxa"/>
          </w:tcPr>
          <w:p w14:paraId="115FB97E" w14:textId="7E042FF6" w:rsidR="00567FB7" w:rsidRPr="00610787" w:rsidRDefault="00B84D88" w:rsidP="00885C2E">
            <w:pPr>
              <w:spacing w:line="360" w:lineRule="auto"/>
              <w:jc w:val="both"/>
              <w:rPr>
                <w:szCs w:val="24"/>
                <w:lang w:val="pt-BR"/>
              </w:rPr>
            </w:pPr>
            <w:r>
              <w:rPr>
                <w:noProof/>
              </w:rPr>
              <w:drawing>
                <wp:inline distT="0" distB="0" distL="0" distR="0" wp14:anchorId="01B0F1D9" wp14:editId="7C3AC082">
                  <wp:extent cx="5337559" cy="4448175"/>
                  <wp:effectExtent l="0" t="0" r="0" b="0"/>
                  <wp:docPr id="2"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 Gráfico de barras&#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235" cy="4453739"/>
                          </a:xfrm>
                          <a:prstGeom prst="rect">
                            <a:avLst/>
                          </a:prstGeom>
                        </pic:spPr>
                      </pic:pic>
                    </a:graphicData>
                  </a:graphic>
                </wp:inline>
              </w:drawing>
            </w:r>
          </w:p>
        </w:tc>
      </w:tr>
    </w:tbl>
    <w:p w14:paraId="2209C83C" w14:textId="3BA1F1C2" w:rsidR="007F4D48" w:rsidRPr="007A6696" w:rsidRDefault="005D081C" w:rsidP="00F1112B">
      <w:pPr>
        <w:widowControl/>
        <w:spacing w:after="160"/>
        <w:jc w:val="both"/>
        <w:rPr>
          <w:sz w:val="22"/>
        </w:rPr>
      </w:pPr>
      <w:r w:rsidRPr="005B7306">
        <w:rPr>
          <w:sz w:val="22"/>
        </w:rPr>
        <w:lastRenderedPageBreak/>
        <w:t>Fonte:</w:t>
      </w:r>
      <w:r w:rsidR="005B7306" w:rsidRPr="005B7306">
        <w:rPr>
          <w:sz w:val="22"/>
        </w:rPr>
        <w:t xml:space="preserve"> Autores,</w:t>
      </w:r>
      <w:r w:rsidR="00F1112B">
        <w:rPr>
          <w:sz w:val="22"/>
        </w:rPr>
        <w:t xml:space="preserve"> </w:t>
      </w:r>
      <w:r w:rsidR="005B7306" w:rsidRPr="005B7306">
        <w:rPr>
          <w:sz w:val="22"/>
        </w:rPr>
        <w:t>2024</w:t>
      </w:r>
      <w:r w:rsidR="00527B8F">
        <w:rPr>
          <w:sz w:val="22"/>
        </w:rPr>
        <w:t>.</w:t>
      </w:r>
    </w:p>
    <w:p w14:paraId="1B95A44A" w14:textId="0629856F" w:rsidR="00E5779D" w:rsidRDefault="00B84D88" w:rsidP="00E5779D">
      <w:pPr>
        <w:spacing w:before="60" w:after="60" w:line="360" w:lineRule="auto"/>
        <w:jc w:val="both"/>
        <w:rPr>
          <w:szCs w:val="24"/>
        </w:rPr>
      </w:pPr>
      <w:r>
        <w:rPr>
          <w:szCs w:val="24"/>
        </w:rPr>
        <w:t xml:space="preserve">        </w:t>
      </w:r>
      <w:r w:rsidR="00E5779D">
        <w:rPr>
          <w:szCs w:val="24"/>
        </w:rPr>
        <w:tab/>
      </w:r>
      <w:r w:rsidR="00E5779D" w:rsidRPr="00E5779D">
        <w:rPr>
          <w:szCs w:val="24"/>
        </w:rPr>
        <w:t>Os resultados mostraram que os tratamentos com fertilizantes, como esperado, apresentaram maior desenvolvimento inicial das plantas até 15 dias de observação</w:t>
      </w:r>
      <w:r w:rsidR="00E5779D">
        <w:rPr>
          <w:szCs w:val="24"/>
        </w:rPr>
        <w:t>, n</w:t>
      </w:r>
      <w:r w:rsidR="00E5779D" w:rsidRPr="00E5779D">
        <w:rPr>
          <w:szCs w:val="24"/>
        </w:rPr>
        <w:t>o entanto, é importante destacar que não houve diferença significativa entre o desempenho do biofertilizante e do fertilizante comercial, indicando que ambos os produtos têm eficácia semelhante na promoção do crescimento inicial.</w:t>
      </w:r>
    </w:p>
    <w:p w14:paraId="10CC4446" w14:textId="7F8A52D6" w:rsidR="00E5779D" w:rsidRDefault="00E5779D" w:rsidP="00E5779D">
      <w:pPr>
        <w:spacing w:before="60" w:after="60" w:line="360" w:lineRule="auto"/>
        <w:ind w:firstLine="720"/>
        <w:jc w:val="both"/>
        <w:rPr>
          <w:szCs w:val="24"/>
        </w:rPr>
      </w:pPr>
      <w:r w:rsidRPr="00E5779D">
        <w:rPr>
          <w:szCs w:val="24"/>
        </w:rPr>
        <w:t xml:space="preserve">Embora o biofertilizante tenha demonstrado uma melhoria na qualidade do solo, conforme evidenciado na Tabela 1, esse benefício não se refletiu diretamente no desenvolvimento da alface, como mostrado na Figura 1. </w:t>
      </w:r>
      <w:r w:rsidR="00895CCC">
        <w:rPr>
          <w:szCs w:val="24"/>
        </w:rPr>
        <w:t>O</w:t>
      </w:r>
      <w:r w:rsidRPr="00E5779D">
        <w:rPr>
          <w:szCs w:val="24"/>
        </w:rPr>
        <w:t xml:space="preserve"> tratamento que obteve o melhor resultado foi a testemunha em terra preta (T3), que não recebeu nenhum tipo de fertilizante</w:t>
      </w:r>
      <w:r w:rsidR="00895CCC">
        <w:rPr>
          <w:szCs w:val="24"/>
        </w:rPr>
        <w:t>, e</w:t>
      </w:r>
      <w:r w:rsidRPr="00E5779D">
        <w:rPr>
          <w:szCs w:val="24"/>
        </w:rPr>
        <w:t>sse resultado sugere que a terra preta, rica em matéria orgânica e nutrientes, proporciona um ambiente ideal para o crescimento das plantas, superando até mesmo os tratamentos fertilizados</w:t>
      </w:r>
      <w:r w:rsidR="00895CCC">
        <w:rPr>
          <w:szCs w:val="24"/>
        </w:rPr>
        <w:t>, i</w:t>
      </w:r>
      <w:r w:rsidRPr="00E5779D">
        <w:rPr>
          <w:szCs w:val="24"/>
        </w:rPr>
        <w:t>sso ressalta a importância de considerar a qualidade do solo base ao avaliar a necessidade e a eficácia de fertilizantes adicionais.</w:t>
      </w:r>
    </w:p>
    <w:p w14:paraId="02DBED8F" w14:textId="2AFE5F2D" w:rsidR="008E6BBB" w:rsidRDefault="008E6BBB" w:rsidP="008E6BBB">
      <w:pPr>
        <w:spacing w:before="60" w:after="60" w:line="360" w:lineRule="auto"/>
        <w:ind w:firstLine="720"/>
        <w:jc w:val="both"/>
      </w:pPr>
      <w:r>
        <w:t>Os resultados após 30 dias de observação reforçaram a tendência inicial, com o tratamento T3 continuando a ser o mais eficaz, indicando a superioridade da terra preta (T3) para o crescimento das plantas. No entanto, os tratamentos GC (Grupo Controle) e T1 apresentaram crescimento médio semelhante, destacando-se como os segundos melhores tratamentos. É interessante notar que o T2, que utilizou biofertilizante, teve desempenho superior aos tratamentos comerciais (GC e T1) após o período inicial.</w:t>
      </w:r>
    </w:p>
    <w:p w14:paraId="6B3CDB2C" w14:textId="4AD27D46" w:rsidR="00B84D88" w:rsidRDefault="008E6BBB" w:rsidP="008E6BBB">
      <w:pPr>
        <w:spacing w:before="60" w:after="60" w:line="360" w:lineRule="auto"/>
        <w:ind w:firstLine="720"/>
        <w:jc w:val="both"/>
      </w:pPr>
      <w:r>
        <w:t>Esses resultados sugerem que o biofertilizante (T2) possui uma ação mais gradual, promovendo um crescimento mais estável e sustentado ao longo do tempo, em comparação com os tratamentos comerciais que mostraram um crescimento inicial mais rápido, mas que se estabilizou posteriormente. Esse efeito pode ser vantajoso em cenários agrícolas onde o desenvolvimento contínuo e a saúde a longo prazo das plantas são desejáveis. Assim, o uso de biofertilizantes pode ser uma estratégia eficiente para manejo sustentável do solo e cultivo, complementando as práticas convencionais</w:t>
      </w:r>
      <w:r w:rsidR="00047DF1">
        <w:t xml:space="preserve"> (FERNANDES  et al., 2020)</w:t>
      </w:r>
      <w:r w:rsidR="00B84D88">
        <w:t xml:space="preserve">. </w:t>
      </w:r>
    </w:p>
    <w:p w14:paraId="7198A2A1" w14:textId="61286E29" w:rsidR="003949CE" w:rsidRPr="008E36A7" w:rsidRDefault="008E36A7" w:rsidP="00F1112B">
      <w:pPr>
        <w:jc w:val="center"/>
        <w:rPr>
          <w:sz w:val="22"/>
        </w:rPr>
      </w:pPr>
      <w:r w:rsidRPr="00F1112B">
        <w:rPr>
          <w:sz w:val="22"/>
        </w:rPr>
        <w:t>Figura 2:</w:t>
      </w:r>
      <w:r w:rsidRPr="008E36A7">
        <w:rPr>
          <w:sz w:val="22"/>
        </w:rPr>
        <w:t xml:space="preserve"> Médias e desvio padrão do crescimento nos diferentes tratamentos do experimento.</w:t>
      </w:r>
      <w:r w:rsidR="00B84D88" w:rsidRPr="008E36A7">
        <w:rPr>
          <w:noProof/>
          <w:sz w:val="22"/>
        </w:rPr>
        <w:lastRenderedPageBreak/>
        <w:drawing>
          <wp:inline distT="0" distB="0" distL="0" distR="0" wp14:anchorId="1A34172F" wp14:editId="5B6A1DAB">
            <wp:extent cx="5295900" cy="4413458"/>
            <wp:effectExtent l="0" t="0" r="0" b="6350"/>
            <wp:docPr id="1"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barras&#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3819" cy="4420057"/>
                    </a:xfrm>
                    <a:prstGeom prst="rect">
                      <a:avLst/>
                    </a:prstGeom>
                  </pic:spPr>
                </pic:pic>
              </a:graphicData>
            </a:graphic>
          </wp:inline>
        </w:drawing>
      </w:r>
    </w:p>
    <w:p w14:paraId="124184DF" w14:textId="60162520" w:rsidR="008E36A7" w:rsidRPr="008E36A7" w:rsidRDefault="008E36A7" w:rsidP="00F1112B">
      <w:pPr>
        <w:widowControl/>
        <w:spacing w:after="160"/>
        <w:jc w:val="both"/>
        <w:rPr>
          <w:sz w:val="22"/>
        </w:rPr>
      </w:pPr>
      <w:r w:rsidRPr="005B7306">
        <w:rPr>
          <w:sz w:val="22"/>
        </w:rPr>
        <w:t>Fonte: Autores,</w:t>
      </w:r>
      <w:r w:rsidR="00F1112B">
        <w:rPr>
          <w:sz w:val="22"/>
        </w:rPr>
        <w:t xml:space="preserve"> </w:t>
      </w:r>
      <w:r w:rsidRPr="005B7306">
        <w:rPr>
          <w:sz w:val="22"/>
        </w:rPr>
        <w:t>2024</w:t>
      </w:r>
      <w:r>
        <w:rPr>
          <w:sz w:val="22"/>
        </w:rPr>
        <w:t>.</w:t>
      </w:r>
    </w:p>
    <w:p w14:paraId="6EF26A43" w14:textId="368B1F6E" w:rsidR="003949CE" w:rsidRDefault="003949CE" w:rsidP="003949CE">
      <w:pPr>
        <w:widowControl/>
        <w:tabs>
          <w:tab w:val="left" w:pos="1290"/>
        </w:tabs>
        <w:spacing w:after="160" w:line="259" w:lineRule="auto"/>
        <w:jc w:val="both"/>
        <w:rPr>
          <w:sz w:val="28"/>
          <w:szCs w:val="28"/>
        </w:rPr>
      </w:pPr>
      <w:r>
        <w:rPr>
          <w:b/>
          <w:szCs w:val="24"/>
        </w:rPr>
        <w:t>4.</w:t>
      </w:r>
      <w:r w:rsidR="004B4ADC">
        <w:rPr>
          <w:b/>
          <w:szCs w:val="24"/>
        </w:rPr>
        <w:t xml:space="preserve">  </w:t>
      </w:r>
      <w:r>
        <w:rPr>
          <w:b/>
          <w:szCs w:val="24"/>
        </w:rPr>
        <w:t xml:space="preserve">CONSIDERAÇÕES FINAIS </w:t>
      </w:r>
    </w:p>
    <w:p w14:paraId="5F8B1B8F" w14:textId="20BEF8DA" w:rsidR="008E320B" w:rsidRPr="008E320B" w:rsidRDefault="00817131" w:rsidP="00574888">
      <w:pPr>
        <w:spacing w:line="360" w:lineRule="auto"/>
        <w:ind w:firstLine="708"/>
        <w:jc w:val="both"/>
        <w:rPr>
          <w:szCs w:val="24"/>
        </w:rPr>
      </w:pPr>
      <w:r w:rsidRPr="00817131">
        <w:rPr>
          <w:szCs w:val="24"/>
        </w:rPr>
        <w:t xml:space="preserve">Com a aplicação de 5 mL de ambos fertilizantes notou-se a melhoria da qualidade química do solo, com aumento nos teores dos macronutrientes primários e secundários, demonstrando a capacidade de ser utilizado como adubo orgânico  a fim de melhorar as condições químicas do solo. No trabalho não houveram efeitos tão eficientes no desenvolvimento da alface, que pode estar ligada ao alto índices climáticos. Indicando-se que sejam feitas novas repetições em temperaturas mais amenas.    </w:t>
      </w:r>
      <w:r w:rsidR="00D0799D">
        <w:rPr>
          <w:szCs w:val="24"/>
        </w:rPr>
        <w:tab/>
      </w:r>
    </w:p>
    <w:p w14:paraId="53A0263E" w14:textId="3AF89AAA" w:rsidR="00817131" w:rsidRPr="00817131" w:rsidRDefault="003949CE" w:rsidP="00B84D88">
      <w:pPr>
        <w:widowControl/>
        <w:tabs>
          <w:tab w:val="left" w:pos="1290"/>
        </w:tabs>
        <w:spacing w:after="160" w:line="259" w:lineRule="auto"/>
        <w:jc w:val="both"/>
        <w:rPr>
          <w:b/>
          <w:szCs w:val="24"/>
        </w:rPr>
      </w:pPr>
      <w:r>
        <w:rPr>
          <w:b/>
          <w:szCs w:val="24"/>
        </w:rPr>
        <w:t>REFERÊNCIAS</w:t>
      </w:r>
      <w:bookmarkStart w:id="0" w:name="_gjdgxs" w:colFirst="0" w:colLast="0"/>
      <w:bookmarkEnd w:id="0"/>
    </w:p>
    <w:p w14:paraId="1B8E7E47" w14:textId="570C6201" w:rsidR="00355E61" w:rsidRDefault="00355E61" w:rsidP="005B0E3E">
      <w:pPr>
        <w:rPr>
          <w:color w:val="222222"/>
        </w:rPr>
      </w:pPr>
      <w:r w:rsidRPr="00B27962">
        <w:rPr>
          <w:color w:val="222222"/>
        </w:rPr>
        <w:t>ABAURRE, M. E. Crescimento e produção de duas cultivares da alface sob malhas termo reflorestadas no cultivo de verão. 2004. 79 f. Tese (Mestrado em Fitotecnia) – Universidade Federal de Viçosa, Viçosa, 2004.</w:t>
      </w:r>
    </w:p>
    <w:p w14:paraId="26FD163E" w14:textId="77777777" w:rsidR="005B0E3E" w:rsidRPr="00B27962" w:rsidRDefault="005B0E3E" w:rsidP="005B0E3E">
      <w:pPr>
        <w:spacing w:line="360" w:lineRule="auto"/>
        <w:rPr>
          <w:color w:val="222222"/>
        </w:rPr>
      </w:pPr>
    </w:p>
    <w:p w14:paraId="44B2AB96" w14:textId="6C1E0756" w:rsidR="00355E61" w:rsidRDefault="00355E61" w:rsidP="005B0E3E">
      <w:pPr>
        <w:rPr>
          <w:color w:val="222222"/>
        </w:rPr>
      </w:pPr>
      <w:r w:rsidRPr="00B27962">
        <w:rPr>
          <w:color w:val="222222"/>
        </w:rPr>
        <w:t>EMBRAPA. Extração e fracionamento quantitativo de substâncias húmicas do solo: um procedimento simplificado de baixo custo. Rio de Janeiro: EMBRAPA, 2003. Comunicado Técnico. Disponível em: https://www.embrapa.br/solos/busca-de-publicacoes/-/publicacao/337076/extracao-e-fracionamento-quantitativo-de-substancias-humicas-do-solo-</w:t>
      </w:r>
      <w:r w:rsidRPr="00B27962">
        <w:rPr>
          <w:color w:val="222222"/>
        </w:rPr>
        <w:lastRenderedPageBreak/>
        <w:t>um-procedimento-simplificado-de-baixo-custo. Acesso em: 28 out. 2024.</w:t>
      </w:r>
    </w:p>
    <w:p w14:paraId="1832CD8F" w14:textId="77777777" w:rsidR="005B0E3E" w:rsidRPr="00B27962" w:rsidRDefault="005B0E3E" w:rsidP="005B0E3E">
      <w:pPr>
        <w:spacing w:line="360" w:lineRule="auto"/>
        <w:rPr>
          <w:color w:val="222222"/>
        </w:rPr>
      </w:pPr>
    </w:p>
    <w:p w14:paraId="24A621C4" w14:textId="12E1664B" w:rsidR="00355E61" w:rsidRDefault="00355E61" w:rsidP="005B0E3E">
      <w:pPr>
        <w:rPr>
          <w:color w:val="222222"/>
        </w:rPr>
      </w:pPr>
      <w:r w:rsidRPr="00B27962">
        <w:rPr>
          <w:color w:val="222222"/>
        </w:rPr>
        <w:t>EMBRAPA. Preparo e uso de biofertilizantes líquidos. Petrolina: EMBRAPA, 2007. Comunicado Técnico. Disponível em: http://www.infoteca.cnptia.embrapa.br/infoteca/handle/doc/153383. Acesso em: 28 out. 2024.</w:t>
      </w:r>
    </w:p>
    <w:p w14:paraId="4831AB25" w14:textId="77777777" w:rsidR="005B0E3E" w:rsidRPr="00B27962" w:rsidRDefault="005B0E3E" w:rsidP="005B0E3E">
      <w:pPr>
        <w:spacing w:line="360" w:lineRule="auto"/>
        <w:rPr>
          <w:color w:val="222222"/>
        </w:rPr>
      </w:pPr>
    </w:p>
    <w:p w14:paraId="4715D349" w14:textId="2A6F822B" w:rsidR="00355E61" w:rsidRDefault="00355E61" w:rsidP="005B0E3E">
      <w:pPr>
        <w:rPr>
          <w:color w:val="222222"/>
        </w:rPr>
      </w:pPr>
      <w:r w:rsidRPr="00B27962">
        <w:rPr>
          <w:color w:val="222222"/>
        </w:rPr>
        <w:t>LIAN, Jiapan et al. Foliar-applied polystyrene nanoplastics (PSNPs) reduce the growth and nutritional quality of lettuce (Lactuca sativa L.). Environmental Pollution, v. 280, p. 116978, 2021.</w:t>
      </w:r>
    </w:p>
    <w:p w14:paraId="758F63A1" w14:textId="77777777" w:rsidR="005B0E3E" w:rsidRPr="00B27962" w:rsidRDefault="005B0E3E" w:rsidP="005B0E3E">
      <w:pPr>
        <w:spacing w:line="360" w:lineRule="auto"/>
        <w:rPr>
          <w:color w:val="222222"/>
        </w:rPr>
      </w:pPr>
    </w:p>
    <w:p w14:paraId="52462361" w14:textId="6743ADCD" w:rsidR="00355E61" w:rsidRDefault="00355E61" w:rsidP="00B27962">
      <w:pPr>
        <w:rPr>
          <w:color w:val="222222"/>
        </w:rPr>
      </w:pPr>
      <w:r w:rsidRPr="00B27962">
        <w:rPr>
          <w:color w:val="222222"/>
        </w:rPr>
        <w:t>SEDIYAMA, M. A. N.; MAGALHÃES, I. P. B.; VIDIGAL, S. M.; PINTO, C. L. O.; CARDOSO, D. S. C. P. et al. Uso de fertilizantes orgânicos no cultivo de alface americana (Lactuca sativa L.) ‘Kaiser’. Revista Brasileira de Agropecuária Sustentável (RBAS), v. 6, n. 2, 2016.</w:t>
      </w:r>
    </w:p>
    <w:p w14:paraId="0C0338A0" w14:textId="77777777" w:rsidR="005B0E3E" w:rsidRPr="00B27962" w:rsidRDefault="005B0E3E" w:rsidP="005B0E3E">
      <w:pPr>
        <w:spacing w:line="360" w:lineRule="auto"/>
        <w:rPr>
          <w:color w:val="222222"/>
        </w:rPr>
      </w:pPr>
    </w:p>
    <w:p w14:paraId="7A445806" w14:textId="67C8332D" w:rsidR="00355E61" w:rsidRPr="00B27962" w:rsidRDefault="00355E61" w:rsidP="00B27962">
      <w:pPr>
        <w:rPr>
          <w:color w:val="222222"/>
        </w:rPr>
      </w:pPr>
      <w:r w:rsidRPr="00B27962">
        <w:rPr>
          <w:color w:val="222222"/>
        </w:rPr>
        <w:t>ZANDONADI, Daniel B. et al. Ação da matéria orgânica e suas frações sobre a fisiologia de hortaliças. Horticultura Brasileira, v. 32, n. 1, p. 14-20, 2014.</w:t>
      </w:r>
    </w:p>
    <w:p w14:paraId="3F0994B5" w14:textId="77777777" w:rsidR="00817131" w:rsidRDefault="00817131" w:rsidP="00B27962">
      <w:pPr>
        <w:spacing w:line="360" w:lineRule="auto"/>
        <w:jc w:val="both"/>
        <w:rPr>
          <w:szCs w:val="24"/>
        </w:rPr>
      </w:pPr>
    </w:p>
    <w:p w14:paraId="307DDAE7" w14:textId="06614B3B" w:rsidR="00B27962" w:rsidRDefault="00870B9F" w:rsidP="00B27962">
      <w:pPr>
        <w:spacing w:line="360" w:lineRule="auto"/>
        <w:jc w:val="both"/>
        <w:rPr>
          <w:szCs w:val="24"/>
        </w:rPr>
      </w:pPr>
      <w:r w:rsidRPr="00870B9F">
        <w:rPr>
          <w:szCs w:val="24"/>
        </w:rPr>
        <w:t>TREDER, Waldemar et al. Apple leaf macro-and micronutrient content as affected by soil treatments with fertilizers and microorganisms. </w:t>
      </w:r>
      <w:r w:rsidRPr="00870B9F">
        <w:rPr>
          <w:b/>
          <w:bCs/>
          <w:szCs w:val="24"/>
        </w:rPr>
        <w:t>Scientia Horticulturae</w:t>
      </w:r>
      <w:r w:rsidRPr="00870B9F">
        <w:rPr>
          <w:szCs w:val="24"/>
        </w:rPr>
        <w:t>, v. 297, p. 110975, 2022.</w:t>
      </w:r>
    </w:p>
    <w:p w14:paraId="5CE7BF9B" w14:textId="5FF942A8" w:rsidR="00870B9F" w:rsidRDefault="00870B9F" w:rsidP="00B27962">
      <w:pPr>
        <w:spacing w:line="360" w:lineRule="auto"/>
        <w:jc w:val="both"/>
        <w:rPr>
          <w:szCs w:val="24"/>
        </w:rPr>
      </w:pPr>
      <w:r w:rsidRPr="00870B9F">
        <w:rPr>
          <w:szCs w:val="24"/>
        </w:rPr>
        <w:t>BEKMIRZAEV, Gulom et al. Effects of salinity on the macro-and micronutrient contents of a halophytic plant species (Portulaca oleracea l.). </w:t>
      </w:r>
      <w:r w:rsidRPr="00870B9F">
        <w:rPr>
          <w:b/>
          <w:bCs/>
          <w:szCs w:val="24"/>
        </w:rPr>
        <w:t>Land</w:t>
      </w:r>
      <w:r w:rsidRPr="00870B9F">
        <w:rPr>
          <w:szCs w:val="24"/>
        </w:rPr>
        <w:t>, v. 10, n. 5, p. 481, 2021.</w:t>
      </w:r>
    </w:p>
    <w:p w14:paraId="57E9666C" w14:textId="37A2B456" w:rsidR="00047DF1" w:rsidRPr="00B27962" w:rsidRDefault="00047DF1" w:rsidP="00B27962">
      <w:pPr>
        <w:spacing w:line="360" w:lineRule="auto"/>
        <w:jc w:val="both"/>
        <w:rPr>
          <w:szCs w:val="24"/>
        </w:rPr>
      </w:pPr>
      <w:r w:rsidRPr="00047DF1">
        <w:rPr>
          <w:szCs w:val="24"/>
        </w:rPr>
        <w:t>FERNANDES, Pedro Henrique et al. Uso de fertilizantes organominerais fosfatados no cultivo da alface e de milho em sucessão. </w:t>
      </w:r>
      <w:r w:rsidRPr="00047DF1">
        <w:rPr>
          <w:b/>
          <w:bCs/>
          <w:szCs w:val="24"/>
        </w:rPr>
        <w:t>Brazilian Journal of Development</w:t>
      </w:r>
      <w:r w:rsidRPr="00047DF1">
        <w:rPr>
          <w:szCs w:val="24"/>
        </w:rPr>
        <w:t>, v. 6, n. 6, p. 37907-37922, 2020.</w:t>
      </w:r>
    </w:p>
    <w:sectPr w:rsidR="00047DF1" w:rsidRPr="00B27962" w:rsidSect="005A1575">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346CC" w14:textId="77777777" w:rsidR="00DB21A1" w:rsidRDefault="00DB21A1" w:rsidP="005A1575">
      <w:r>
        <w:separator/>
      </w:r>
    </w:p>
  </w:endnote>
  <w:endnote w:type="continuationSeparator" w:id="0">
    <w:p w14:paraId="6E81E065" w14:textId="77777777" w:rsidR="00DB21A1" w:rsidRDefault="00DB21A1"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3F677" w14:textId="77777777" w:rsidR="00C639CA" w:rsidRDefault="00C639C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7E4EA" w14:textId="32DC6FA7" w:rsidR="005A1575" w:rsidRDefault="006458BF">
    <w:pPr>
      <w:pStyle w:val="Rodap"/>
    </w:pPr>
    <w:r>
      <w:rPr>
        <w:noProof/>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2111" w14:textId="77777777" w:rsidR="00C639CA" w:rsidRDefault="00C639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384EE" w14:textId="77777777" w:rsidR="00DB21A1" w:rsidRDefault="00DB21A1" w:rsidP="005A1575">
      <w:r>
        <w:separator/>
      </w:r>
    </w:p>
  </w:footnote>
  <w:footnote w:type="continuationSeparator" w:id="0">
    <w:p w14:paraId="1F5AC1DF" w14:textId="77777777" w:rsidR="00DB21A1" w:rsidRDefault="00DB21A1"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DD458" w14:textId="77777777" w:rsidR="00C639CA" w:rsidRDefault="00C639C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287E9" w14:textId="0D940639" w:rsidR="005A1575" w:rsidRPr="005A1575" w:rsidRDefault="00BD261C" w:rsidP="005A1575">
    <w:pPr>
      <w:pStyle w:val="Cabealho"/>
      <w:jc w:val="center"/>
    </w:pPr>
    <w:r>
      <w:rPr>
        <w:noProof/>
      </w:rPr>
      <w:drawing>
        <wp:anchor distT="0" distB="0" distL="114300" distR="114300" simplePos="0" relativeHeight="251722240" behindDoc="0" locked="0" layoutInCell="1" allowOverlap="1" wp14:anchorId="7DDD6682" wp14:editId="3184AF9A">
          <wp:simplePos x="0" y="0"/>
          <wp:positionH relativeFrom="margin">
            <wp:align>center</wp:align>
          </wp:positionH>
          <wp:positionV relativeFrom="paragraph">
            <wp:posOffset>-358140</wp:posOffset>
          </wp:positionV>
          <wp:extent cx="1973120" cy="1325880"/>
          <wp:effectExtent l="0" t="0" r="8255" b="7620"/>
          <wp:wrapTopAndBottom/>
          <wp:docPr id="2554060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45329"/>
                  <a:stretch/>
                </pic:blipFill>
                <pic:spPr bwMode="auto">
                  <a:xfrm>
                    <a:off x="0" y="0"/>
                    <a:ext cx="1973120" cy="13258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83E74" w14:textId="77777777" w:rsidR="00C639CA" w:rsidRDefault="00C639C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16cid:durableId="145640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074A4"/>
    <w:rsid w:val="00007CD7"/>
    <w:rsid w:val="00013A6F"/>
    <w:rsid w:val="00021A06"/>
    <w:rsid w:val="00026F9B"/>
    <w:rsid w:val="00047DF1"/>
    <w:rsid w:val="00061216"/>
    <w:rsid w:val="00063E99"/>
    <w:rsid w:val="0006526C"/>
    <w:rsid w:val="000734D1"/>
    <w:rsid w:val="00095201"/>
    <w:rsid w:val="000A5E07"/>
    <w:rsid w:val="000B2F64"/>
    <w:rsid w:val="000B3AAD"/>
    <w:rsid w:val="000B445B"/>
    <w:rsid w:val="000C0639"/>
    <w:rsid w:val="000D643C"/>
    <w:rsid w:val="000E2ADB"/>
    <w:rsid w:val="000E5373"/>
    <w:rsid w:val="000F1330"/>
    <w:rsid w:val="001041CD"/>
    <w:rsid w:val="00105278"/>
    <w:rsid w:val="001131C5"/>
    <w:rsid w:val="0013676D"/>
    <w:rsid w:val="0014405B"/>
    <w:rsid w:val="00154CB2"/>
    <w:rsid w:val="00155392"/>
    <w:rsid w:val="00161E3E"/>
    <w:rsid w:val="0017534F"/>
    <w:rsid w:val="00175451"/>
    <w:rsid w:val="001846E6"/>
    <w:rsid w:val="001B3ED5"/>
    <w:rsid w:val="001B7D81"/>
    <w:rsid w:val="001C3BA1"/>
    <w:rsid w:val="001E1627"/>
    <w:rsid w:val="001F7174"/>
    <w:rsid w:val="00215919"/>
    <w:rsid w:val="0022766B"/>
    <w:rsid w:val="00251C45"/>
    <w:rsid w:val="00251FE2"/>
    <w:rsid w:val="00254347"/>
    <w:rsid w:val="0025598D"/>
    <w:rsid w:val="0025662D"/>
    <w:rsid w:val="00263018"/>
    <w:rsid w:val="00270111"/>
    <w:rsid w:val="0027306A"/>
    <w:rsid w:val="0028189F"/>
    <w:rsid w:val="002C3DDE"/>
    <w:rsid w:val="002C3DF3"/>
    <w:rsid w:val="002E540D"/>
    <w:rsid w:val="002E5FAF"/>
    <w:rsid w:val="002E7C63"/>
    <w:rsid w:val="002F0CF2"/>
    <w:rsid w:val="002F3CF2"/>
    <w:rsid w:val="0030146D"/>
    <w:rsid w:val="00302FB8"/>
    <w:rsid w:val="00303BD2"/>
    <w:rsid w:val="003068D7"/>
    <w:rsid w:val="00312A7C"/>
    <w:rsid w:val="0031571D"/>
    <w:rsid w:val="00327D1D"/>
    <w:rsid w:val="00355E61"/>
    <w:rsid w:val="003629A3"/>
    <w:rsid w:val="0038379E"/>
    <w:rsid w:val="003949CE"/>
    <w:rsid w:val="003B2BB4"/>
    <w:rsid w:val="003C2DD9"/>
    <w:rsid w:val="003C7FF1"/>
    <w:rsid w:val="003D506E"/>
    <w:rsid w:val="00404FAF"/>
    <w:rsid w:val="0042264F"/>
    <w:rsid w:val="0043360D"/>
    <w:rsid w:val="00440B68"/>
    <w:rsid w:val="00445D35"/>
    <w:rsid w:val="004470CC"/>
    <w:rsid w:val="00453F4D"/>
    <w:rsid w:val="00464151"/>
    <w:rsid w:val="00467D39"/>
    <w:rsid w:val="00476DBA"/>
    <w:rsid w:val="00495EE9"/>
    <w:rsid w:val="004B3806"/>
    <w:rsid w:val="004B3B81"/>
    <w:rsid w:val="004B4ADC"/>
    <w:rsid w:val="004C2B15"/>
    <w:rsid w:val="004C6FF4"/>
    <w:rsid w:val="004E2E68"/>
    <w:rsid w:val="004E409D"/>
    <w:rsid w:val="004E6E00"/>
    <w:rsid w:val="0051395E"/>
    <w:rsid w:val="005202D7"/>
    <w:rsid w:val="00526023"/>
    <w:rsid w:val="00527B8F"/>
    <w:rsid w:val="00530050"/>
    <w:rsid w:val="00532368"/>
    <w:rsid w:val="00552D8E"/>
    <w:rsid w:val="005533C4"/>
    <w:rsid w:val="00555D16"/>
    <w:rsid w:val="00567FB7"/>
    <w:rsid w:val="00574888"/>
    <w:rsid w:val="00580DE2"/>
    <w:rsid w:val="00585209"/>
    <w:rsid w:val="00587FD3"/>
    <w:rsid w:val="005952B8"/>
    <w:rsid w:val="005A1575"/>
    <w:rsid w:val="005A6D1A"/>
    <w:rsid w:val="005A7A81"/>
    <w:rsid w:val="005B0E3E"/>
    <w:rsid w:val="005B69E3"/>
    <w:rsid w:val="005B7306"/>
    <w:rsid w:val="005C1471"/>
    <w:rsid w:val="005C2F9F"/>
    <w:rsid w:val="005D081C"/>
    <w:rsid w:val="005D586A"/>
    <w:rsid w:val="005E759C"/>
    <w:rsid w:val="005F5485"/>
    <w:rsid w:val="00610787"/>
    <w:rsid w:val="006304D4"/>
    <w:rsid w:val="006458BF"/>
    <w:rsid w:val="00653AD6"/>
    <w:rsid w:val="0065654F"/>
    <w:rsid w:val="00692C58"/>
    <w:rsid w:val="00694E4B"/>
    <w:rsid w:val="006979BF"/>
    <w:rsid w:val="006A10AE"/>
    <w:rsid w:val="006B3C8D"/>
    <w:rsid w:val="006B429D"/>
    <w:rsid w:val="006B49FF"/>
    <w:rsid w:val="006C10F9"/>
    <w:rsid w:val="006D223F"/>
    <w:rsid w:val="006F7B00"/>
    <w:rsid w:val="007113F4"/>
    <w:rsid w:val="00713E86"/>
    <w:rsid w:val="00713FC0"/>
    <w:rsid w:val="007142A3"/>
    <w:rsid w:val="00732C8D"/>
    <w:rsid w:val="00736559"/>
    <w:rsid w:val="00760C8B"/>
    <w:rsid w:val="0078116B"/>
    <w:rsid w:val="00786673"/>
    <w:rsid w:val="007A6696"/>
    <w:rsid w:val="007B00E2"/>
    <w:rsid w:val="007B20B5"/>
    <w:rsid w:val="007F2ADA"/>
    <w:rsid w:val="007F4D48"/>
    <w:rsid w:val="00811874"/>
    <w:rsid w:val="00817131"/>
    <w:rsid w:val="00836259"/>
    <w:rsid w:val="00845278"/>
    <w:rsid w:val="00851C4B"/>
    <w:rsid w:val="00870B9F"/>
    <w:rsid w:val="0087278E"/>
    <w:rsid w:val="008918A1"/>
    <w:rsid w:val="0089586E"/>
    <w:rsid w:val="00895CCC"/>
    <w:rsid w:val="00897800"/>
    <w:rsid w:val="008B097C"/>
    <w:rsid w:val="008B7562"/>
    <w:rsid w:val="008C3912"/>
    <w:rsid w:val="008E320B"/>
    <w:rsid w:val="008E36A7"/>
    <w:rsid w:val="008E3C0D"/>
    <w:rsid w:val="008E6BBB"/>
    <w:rsid w:val="008F129F"/>
    <w:rsid w:val="008F2C60"/>
    <w:rsid w:val="009029C9"/>
    <w:rsid w:val="009102AE"/>
    <w:rsid w:val="00920754"/>
    <w:rsid w:val="00936545"/>
    <w:rsid w:val="00944302"/>
    <w:rsid w:val="00947CD9"/>
    <w:rsid w:val="00975A01"/>
    <w:rsid w:val="009925BA"/>
    <w:rsid w:val="00995729"/>
    <w:rsid w:val="009A0550"/>
    <w:rsid w:val="009A5B63"/>
    <w:rsid w:val="009B384B"/>
    <w:rsid w:val="009D22C1"/>
    <w:rsid w:val="009F346B"/>
    <w:rsid w:val="00A063F2"/>
    <w:rsid w:val="00A21021"/>
    <w:rsid w:val="00A2456D"/>
    <w:rsid w:val="00A505F0"/>
    <w:rsid w:val="00A52233"/>
    <w:rsid w:val="00A5524A"/>
    <w:rsid w:val="00A75425"/>
    <w:rsid w:val="00A819A2"/>
    <w:rsid w:val="00A86E30"/>
    <w:rsid w:val="00A94306"/>
    <w:rsid w:val="00AC503D"/>
    <w:rsid w:val="00AC7F74"/>
    <w:rsid w:val="00AF2391"/>
    <w:rsid w:val="00AF651D"/>
    <w:rsid w:val="00B23F3D"/>
    <w:rsid w:val="00B27962"/>
    <w:rsid w:val="00B3206C"/>
    <w:rsid w:val="00B43529"/>
    <w:rsid w:val="00B50874"/>
    <w:rsid w:val="00B57D82"/>
    <w:rsid w:val="00B62C2D"/>
    <w:rsid w:val="00B637D8"/>
    <w:rsid w:val="00B64878"/>
    <w:rsid w:val="00B670F8"/>
    <w:rsid w:val="00B75D4C"/>
    <w:rsid w:val="00B84D88"/>
    <w:rsid w:val="00B92F10"/>
    <w:rsid w:val="00BA1E0D"/>
    <w:rsid w:val="00BA2DC0"/>
    <w:rsid w:val="00BB0E84"/>
    <w:rsid w:val="00BB2FE8"/>
    <w:rsid w:val="00BC4D4C"/>
    <w:rsid w:val="00BD261C"/>
    <w:rsid w:val="00BD5A9B"/>
    <w:rsid w:val="00BD6172"/>
    <w:rsid w:val="00BF57E1"/>
    <w:rsid w:val="00BF5927"/>
    <w:rsid w:val="00C40B35"/>
    <w:rsid w:val="00C639CA"/>
    <w:rsid w:val="00C65D57"/>
    <w:rsid w:val="00C84361"/>
    <w:rsid w:val="00C9617C"/>
    <w:rsid w:val="00C972E7"/>
    <w:rsid w:val="00CE7368"/>
    <w:rsid w:val="00CF2BD3"/>
    <w:rsid w:val="00D0799D"/>
    <w:rsid w:val="00D2169F"/>
    <w:rsid w:val="00D26801"/>
    <w:rsid w:val="00D425B4"/>
    <w:rsid w:val="00D43813"/>
    <w:rsid w:val="00D45E00"/>
    <w:rsid w:val="00D54B03"/>
    <w:rsid w:val="00D640FF"/>
    <w:rsid w:val="00D64BEB"/>
    <w:rsid w:val="00D762E2"/>
    <w:rsid w:val="00D81BF0"/>
    <w:rsid w:val="00DA1EA1"/>
    <w:rsid w:val="00DB21A1"/>
    <w:rsid w:val="00DB5854"/>
    <w:rsid w:val="00DB633B"/>
    <w:rsid w:val="00DC205F"/>
    <w:rsid w:val="00DC5D5D"/>
    <w:rsid w:val="00DD4DF4"/>
    <w:rsid w:val="00DD5933"/>
    <w:rsid w:val="00DE7702"/>
    <w:rsid w:val="00DF1320"/>
    <w:rsid w:val="00DF6F87"/>
    <w:rsid w:val="00E05967"/>
    <w:rsid w:val="00E109E7"/>
    <w:rsid w:val="00E12BE8"/>
    <w:rsid w:val="00E14ABB"/>
    <w:rsid w:val="00E25FDC"/>
    <w:rsid w:val="00E36912"/>
    <w:rsid w:val="00E4380C"/>
    <w:rsid w:val="00E5779D"/>
    <w:rsid w:val="00E73893"/>
    <w:rsid w:val="00E86FFF"/>
    <w:rsid w:val="00E93FA1"/>
    <w:rsid w:val="00EA0C71"/>
    <w:rsid w:val="00EA5467"/>
    <w:rsid w:val="00EB356A"/>
    <w:rsid w:val="00EC639D"/>
    <w:rsid w:val="00EC7212"/>
    <w:rsid w:val="00ED6297"/>
    <w:rsid w:val="00F0082E"/>
    <w:rsid w:val="00F07384"/>
    <w:rsid w:val="00F1112B"/>
    <w:rsid w:val="00F15BEE"/>
    <w:rsid w:val="00F46632"/>
    <w:rsid w:val="00F5593F"/>
    <w:rsid w:val="00F6230A"/>
    <w:rsid w:val="00F644FB"/>
    <w:rsid w:val="00F73617"/>
    <w:rsid w:val="00F92134"/>
    <w:rsid w:val="00F948A7"/>
    <w:rsid w:val="00F9578F"/>
    <w:rsid w:val="00F97AD8"/>
    <w:rsid w:val="00FB63EA"/>
    <w:rsid w:val="00FC2677"/>
    <w:rsid w:val="00FC6D93"/>
    <w:rsid w:val="00FD49CE"/>
    <w:rsid w:val="00FD4D32"/>
    <w:rsid w:val="00FF36B4"/>
    <w:rsid w:val="00FF60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BF0"/>
    <w:rPr>
      <w:rFonts w:ascii="Times New Roman" w:eastAsia="Times New Roman" w:hAnsi="Times New Roman" w:cs="Times New Roman"/>
      <w:sz w:val="24"/>
      <w:lang w:val="pt-PT"/>
    </w:rPr>
  </w:style>
  <w:style w:type="paragraph" w:styleId="Ttulo1">
    <w:name w:val="heading 1"/>
    <w:basedOn w:val="Normal"/>
    <w:link w:val="Ttulo1Char"/>
    <w:qFormat/>
    <w:rsid w:val="008F2C60"/>
    <w:pPr>
      <w:suppressAutoHyphens/>
      <w:autoSpaceDE/>
      <w:autoSpaceDN/>
      <w:spacing w:before="91"/>
      <w:ind w:left="4374" w:right="73" w:hanging="4098"/>
      <w:outlineLvl w:val="0"/>
    </w:pPr>
    <w:rPr>
      <w:rFonts w:ascii="Arial" w:eastAsia="Arial" w:hAnsi="Arial" w:cs="Arial"/>
      <w:b/>
      <w:bCs/>
      <w:sz w:val="28"/>
      <w:szCs w:val="28"/>
      <w:lang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Refdecomentrio">
    <w:name w:val="annotation reference"/>
    <w:basedOn w:val="Fontepargpadro"/>
    <w:uiPriority w:val="99"/>
    <w:semiHidden/>
    <w:unhideWhenUsed/>
    <w:rsid w:val="00D2169F"/>
    <w:rPr>
      <w:sz w:val="16"/>
      <w:szCs w:val="16"/>
    </w:rPr>
  </w:style>
  <w:style w:type="table" w:styleId="Tabelacomgrade">
    <w:name w:val="Table Grid"/>
    <w:basedOn w:val="Tabelanormal"/>
    <w:uiPriority w:val="39"/>
    <w:rsid w:val="00D2169F"/>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E6E00"/>
    <w:rPr>
      <w:rFonts w:ascii="Times New Roman" w:eastAsia="Times New Roman" w:hAnsi="Times New Roman" w:cs="Times New Roman"/>
      <w:lang w:val="pt-PT"/>
    </w:rPr>
  </w:style>
  <w:style w:type="character" w:styleId="Hyperlink">
    <w:name w:val="Hyperlink"/>
    <w:basedOn w:val="Fontepargpadro"/>
    <w:uiPriority w:val="99"/>
    <w:unhideWhenUsed/>
    <w:rsid w:val="00D43813"/>
    <w:rPr>
      <w:color w:val="0000FF" w:themeColor="hyperlink"/>
      <w:u w:val="single"/>
    </w:rPr>
  </w:style>
  <w:style w:type="character" w:styleId="MenoPendente">
    <w:name w:val="Unresolved Mention"/>
    <w:basedOn w:val="Fontepargpadro"/>
    <w:uiPriority w:val="99"/>
    <w:semiHidden/>
    <w:unhideWhenUsed/>
    <w:rsid w:val="00D43813"/>
    <w:rPr>
      <w:color w:val="605E5C"/>
      <w:shd w:val="clear" w:color="auto" w:fill="E1DFDD"/>
    </w:rPr>
  </w:style>
  <w:style w:type="character" w:customStyle="1" w:styleId="Ttulo1Char">
    <w:name w:val="Título 1 Char"/>
    <w:basedOn w:val="Fontepargpadro"/>
    <w:link w:val="Ttulo1"/>
    <w:rsid w:val="008F2C60"/>
    <w:rPr>
      <w:rFonts w:ascii="Arial" w:eastAsia="Arial" w:hAnsi="Arial" w:cs="Arial"/>
      <w:b/>
      <w:bCs/>
      <w:sz w:val="28"/>
      <w:szCs w:val="28"/>
      <w:lang w:val="pt-PT" w:eastAsia="pt-PT" w:bidi="pt-PT"/>
    </w:rPr>
  </w:style>
  <w:style w:type="character" w:customStyle="1" w:styleId="LinkdaInternet">
    <w:name w:val="Link da Internet"/>
    <w:basedOn w:val="Fontepargpadro"/>
    <w:uiPriority w:val="99"/>
    <w:semiHidden/>
    <w:rsid w:val="00817131"/>
    <w:rPr>
      <w:rFonts w:cs="Times New Roman"/>
      <w:color w:val="0000FF"/>
      <w:u w:val="single"/>
    </w:rPr>
  </w:style>
  <w:style w:type="paragraph" w:styleId="Textodecomentrio">
    <w:name w:val="annotation text"/>
    <w:basedOn w:val="Normal"/>
    <w:link w:val="TextodecomentrioChar"/>
    <w:uiPriority w:val="99"/>
    <w:unhideWhenUsed/>
    <w:rsid w:val="00870B9F"/>
    <w:rPr>
      <w:sz w:val="20"/>
      <w:szCs w:val="20"/>
    </w:rPr>
  </w:style>
  <w:style w:type="character" w:customStyle="1" w:styleId="TextodecomentrioChar">
    <w:name w:val="Texto de comentário Char"/>
    <w:basedOn w:val="Fontepargpadro"/>
    <w:link w:val="Textodecomentrio"/>
    <w:uiPriority w:val="99"/>
    <w:rsid w:val="00870B9F"/>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70B9F"/>
    <w:rPr>
      <w:b/>
      <w:bCs/>
    </w:rPr>
  </w:style>
  <w:style w:type="character" w:customStyle="1" w:styleId="AssuntodocomentrioChar">
    <w:name w:val="Assunto do comentário Char"/>
    <w:basedOn w:val="TextodecomentrioChar"/>
    <w:link w:val="Assuntodocomentrio"/>
    <w:uiPriority w:val="99"/>
    <w:semiHidden/>
    <w:rsid w:val="00870B9F"/>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93508">
      <w:bodyDiv w:val="1"/>
      <w:marLeft w:val="0"/>
      <w:marRight w:val="0"/>
      <w:marTop w:val="0"/>
      <w:marBottom w:val="0"/>
      <w:divBdr>
        <w:top w:val="none" w:sz="0" w:space="0" w:color="auto"/>
        <w:left w:val="none" w:sz="0" w:space="0" w:color="auto"/>
        <w:bottom w:val="none" w:sz="0" w:space="0" w:color="auto"/>
        <w:right w:val="none" w:sz="0" w:space="0" w:color="auto"/>
      </w:divBdr>
    </w:div>
    <w:div w:id="404691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eriavitoria619@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leidson.pereira@uepa.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anavaleriasilvaoliveira@gmai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9C74-B98D-44C1-B1A5-6115E526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2261</Words>
  <Characters>12215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israel santos</cp:lastModifiedBy>
  <cp:revision>14</cp:revision>
  <dcterms:created xsi:type="dcterms:W3CDTF">2024-10-29T01:15:00Z</dcterms:created>
  <dcterms:modified xsi:type="dcterms:W3CDTF">2024-12-03T17:26:00Z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