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B26C" w14:textId="6D012CD9" w:rsidR="00C578F4" w:rsidRPr="00C578F4" w:rsidRDefault="00C578F4" w:rsidP="00C578F4">
      <w:pPr>
        <w:pBdr>
          <w:bottom w:val="none" w:sz="0" w:space="8" w:color="000000"/>
        </w:pBdr>
        <w:shd w:val="clear" w:color="auto" w:fill="FFFFFF"/>
        <w:tabs>
          <w:tab w:val="left" w:pos="2500"/>
        </w:tabs>
        <w:jc w:val="center"/>
        <w:rPr>
          <w:b/>
          <w:sz w:val="24"/>
          <w:szCs w:val="24"/>
          <w:lang w:val="pt-BR"/>
        </w:rPr>
      </w:pPr>
      <w:bookmarkStart w:id="0" w:name="_Hlk183681039"/>
      <w:r w:rsidRPr="00C578F4">
        <w:rPr>
          <w:b/>
          <w:sz w:val="24"/>
          <w:szCs w:val="24"/>
          <w:lang w:val="pt-BR"/>
        </w:rPr>
        <w:t>SÍNTESE BIBLIOGRÁFIC</w:t>
      </w:r>
      <w:r w:rsidR="00210CA1">
        <w:rPr>
          <w:b/>
          <w:sz w:val="24"/>
          <w:szCs w:val="24"/>
          <w:lang w:val="pt-BR"/>
        </w:rPr>
        <w:t>A</w:t>
      </w:r>
      <w:r w:rsidRPr="00C578F4">
        <w:rPr>
          <w:b/>
          <w:sz w:val="24"/>
          <w:szCs w:val="24"/>
          <w:lang w:val="pt-BR"/>
        </w:rPr>
        <w:t xml:space="preserve"> DAS PLANTAS MEDICINAIS NO BRASIL</w:t>
      </w:r>
    </w:p>
    <w:p w14:paraId="43C9847F" w14:textId="324FF497" w:rsidR="003949CE" w:rsidRPr="00C578F4" w:rsidRDefault="003949CE" w:rsidP="003949CE">
      <w:pPr>
        <w:pBdr>
          <w:bottom w:val="none" w:sz="0" w:space="8" w:color="000000"/>
        </w:pBdr>
        <w:shd w:val="clear" w:color="auto" w:fill="FFFFFF"/>
        <w:tabs>
          <w:tab w:val="left" w:pos="2500"/>
        </w:tabs>
        <w:jc w:val="center"/>
        <w:rPr>
          <w:b/>
          <w:sz w:val="24"/>
          <w:szCs w:val="24"/>
          <w:lang w:val="pt-BR"/>
        </w:rPr>
      </w:pPr>
    </w:p>
    <w:p w14:paraId="6350E058" w14:textId="19C19383" w:rsidR="007668DA" w:rsidRPr="00D0326D" w:rsidRDefault="00D75861" w:rsidP="00D0326D">
      <w:pPr>
        <w:rPr>
          <w:sz w:val="24"/>
          <w:szCs w:val="24"/>
          <w:vertAlign w:val="superscript"/>
          <w:lang w:val="pt-BR"/>
        </w:rPr>
      </w:pPr>
      <w:r w:rsidRPr="00D0326D">
        <w:rPr>
          <w:sz w:val="24"/>
          <w:szCs w:val="24"/>
          <w:lang w:val="pt-BR"/>
        </w:rPr>
        <w:t>Tatiane Vansoski Araujo</w:t>
      </w:r>
      <w:r>
        <w:rPr>
          <w:sz w:val="24"/>
          <w:szCs w:val="24"/>
          <w:lang w:val="pt-BR"/>
        </w:rPr>
        <w:t>¹</w:t>
      </w:r>
      <w:r>
        <w:rPr>
          <w:sz w:val="24"/>
          <w:szCs w:val="24"/>
        </w:rPr>
        <w:t xml:space="preserve">; </w:t>
      </w:r>
      <w:r w:rsidR="004E2C8A" w:rsidRPr="00D0326D">
        <w:rPr>
          <w:sz w:val="24"/>
          <w:szCs w:val="24"/>
        </w:rPr>
        <w:t>Gilvan Costa Pinho</w:t>
      </w:r>
      <w:r>
        <w:rPr>
          <w:sz w:val="24"/>
          <w:szCs w:val="24"/>
        </w:rPr>
        <w:t>²</w:t>
      </w:r>
      <w:r w:rsidR="00245602" w:rsidRPr="00D0326D">
        <w:rPr>
          <w:sz w:val="24"/>
          <w:szCs w:val="24"/>
        </w:rPr>
        <w:t xml:space="preserve">; </w:t>
      </w:r>
      <w:r w:rsidR="0014085F" w:rsidRPr="00D0326D">
        <w:rPr>
          <w:sz w:val="24"/>
          <w:szCs w:val="24"/>
        </w:rPr>
        <w:t>Laila Braga Dos Santos</w:t>
      </w:r>
      <w:r>
        <w:rPr>
          <w:sz w:val="24"/>
          <w:szCs w:val="24"/>
        </w:rPr>
        <w:t>³</w:t>
      </w:r>
      <w:r w:rsidR="007668DA" w:rsidRPr="00D0326D">
        <w:rPr>
          <w:sz w:val="24"/>
          <w:szCs w:val="24"/>
          <w:lang w:val="pt-BR"/>
        </w:rPr>
        <w:t xml:space="preserve">; </w:t>
      </w:r>
      <w:r w:rsidR="007668DA" w:rsidRPr="00B423BD">
        <w:rPr>
          <w:sz w:val="24"/>
          <w:szCs w:val="24"/>
          <w:lang w:val="pt-BR"/>
        </w:rPr>
        <w:t>Thyago Gonçalves Miranda</w:t>
      </w:r>
      <w:r>
        <w:rPr>
          <w:sz w:val="24"/>
          <w:szCs w:val="24"/>
          <w:vertAlign w:val="superscript"/>
          <w:lang w:val="pt-BR"/>
        </w:rPr>
        <w:t>4</w:t>
      </w:r>
      <w:r w:rsidR="00245602" w:rsidRPr="00D0326D">
        <w:rPr>
          <w:sz w:val="24"/>
          <w:szCs w:val="24"/>
          <w:lang w:val="pt-BR"/>
        </w:rPr>
        <w:t>;</w:t>
      </w:r>
      <w:r w:rsidR="007668DA" w:rsidRPr="00D0326D">
        <w:rPr>
          <w:sz w:val="24"/>
          <w:szCs w:val="24"/>
          <w:lang w:val="pt-BR"/>
        </w:rPr>
        <w:t xml:space="preserve"> </w:t>
      </w:r>
      <w:r w:rsidR="007668DA" w:rsidRPr="00B423BD">
        <w:rPr>
          <w:sz w:val="24"/>
          <w:szCs w:val="24"/>
          <w:u w:val="single"/>
          <w:lang w:val="pt-BR"/>
        </w:rPr>
        <w:t>Ana Cláudia Caldeira Tavares-Martins</w:t>
      </w:r>
      <w:r w:rsidR="00F1481F">
        <w:rPr>
          <w:sz w:val="24"/>
          <w:szCs w:val="24"/>
          <w:vertAlign w:val="superscript"/>
          <w:lang w:val="pt-BR"/>
        </w:rPr>
        <w:t>5</w:t>
      </w:r>
      <w:r w:rsidR="00D0326D" w:rsidRPr="00D0326D">
        <w:rPr>
          <w:sz w:val="24"/>
          <w:szCs w:val="24"/>
          <w:lang w:val="pt-BR"/>
        </w:rPr>
        <w:t xml:space="preserve">; </w:t>
      </w:r>
    </w:p>
    <w:p w14:paraId="3F84D022" w14:textId="30BB8A1A" w:rsidR="00C578F4" w:rsidRPr="007668DA" w:rsidRDefault="00C578F4" w:rsidP="00163739">
      <w:pPr>
        <w:jc w:val="both"/>
        <w:rPr>
          <w:sz w:val="24"/>
          <w:szCs w:val="24"/>
          <w:lang w:val="pt-BR"/>
        </w:rPr>
      </w:pPr>
    </w:p>
    <w:p w14:paraId="4907617F" w14:textId="11BC8B8B" w:rsidR="00D43551" w:rsidRPr="00291564" w:rsidRDefault="003949CE" w:rsidP="00291564">
      <w:pPr>
        <w:keepLines/>
        <w:pBdr>
          <w:bottom w:val="none" w:sz="0" w:space="8" w:color="000000"/>
        </w:pBdr>
        <w:shd w:val="clear" w:color="auto" w:fill="FFFFFF"/>
        <w:tabs>
          <w:tab w:val="left" w:pos="2500"/>
        </w:tabs>
        <w:jc w:val="center"/>
        <w:rPr>
          <w:sz w:val="24"/>
          <w:szCs w:val="24"/>
        </w:rPr>
      </w:pPr>
      <w:r>
        <w:rPr>
          <w:sz w:val="24"/>
          <w:szCs w:val="24"/>
          <w:vertAlign w:val="superscript"/>
        </w:rPr>
        <w:t>1</w:t>
      </w:r>
      <w:r w:rsidR="00D43551">
        <w:rPr>
          <w:sz w:val="24"/>
          <w:szCs w:val="24"/>
          <w:vertAlign w:val="superscript"/>
        </w:rPr>
        <w:t xml:space="preserve"> </w:t>
      </w:r>
      <w:r w:rsidR="00D43551" w:rsidRPr="006E54A0">
        <w:rPr>
          <w:sz w:val="24"/>
          <w:szCs w:val="24"/>
        </w:rPr>
        <w:t>Mestranda em Ciências Ambientais</w:t>
      </w:r>
      <w:r w:rsidR="00D43551">
        <w:rPr>
          <w:sz w:val="24"/>
          <w:szCs w:val="24"/>
        </w:rPr>
        <w:t>. Universidade do Estado do Pará</w:t>
      </w:r>
      <w:r w:rsidR="00D43551" w:rsidRPr="006E54A0">
        <w:rPr>
          <w:sz w:val="24"/>
          <w:szCs w:val="24"/>
        </w:rPr>
        <w:t xml:space="preserve"> </w:t>
      </w:r>
      <w:hyperlink r:id="rId7" w:history="1">
        <w:r w:rsidR="00D43551" w:rsidRPr="00E144D8">
          <w:rPr>
            <w:rStyle w:val="Hyperlink"/>
            <w:sz w:val="24"/>
            <w:szCs w:val="24"/>
          </w:rPr>
          <w:t>tatianevansoski@gmail.com</w:t>
        </w:r>
      </w:hyperlink>
      <w:r w:rsidR="00C270D4">
        <w:rPr>
          <w:sz w:val="24"/>
          <w:szCs w:val="24"/>
          <w:vertAlign w:val="superscript"/>
        </w:rPr>
        <w:t xml:space="preserve"> </w:t>
      </w:r>
    </w:p>
    <w:p w14:paraId="7D915DB4" w14:textId="4859AA5E" w:rsidR="003949CE" w:rsidRDefault="00291564" w:rsidP="003949CE">
      <w:pPr>
        <w:keepLines/>
        <w:shd w:val="clear" w:color="auto" w:fill="FFFFFF"/>
        <w:tabs>
          <w:tab w:val="left" w:pos="2500"/>
        </w:tabs>
        <w:jc w:val="center"/>
        <w:rPr>
          <w:sz w:val="24"/>
          <w:szCs w:val="24"/>
        </w:rPr>
      </w:pPr>
      <w:r>
        <w:rPr>
          <w:sz w:val="24"/>
          <w:szCs w:val="24"/>
        </w:rPr>
        <w:t xml:space="preserve">² </w:t>
      </w:r>
      <w:r w:rsidR="00C270D4">
        <w:rPr>
          <w:sz w:val="24"/>
          <w:szCs w:val="24"/>
        </w:rPr>
        <w:t>Graduando em Ciências Biológicas</w:t>
      </w:r>
      <w:r w:rsidR="001E2838">
        <w:rPr>
          <w:sz w:val="24"/>
          <w:szCs w:val="24"/>
        </w:rPr>
        <w:t>. Universidade do Estado do Pará</w:t>
      </w:r>
    </w:p>
    <w:p w14:paraId="7374A007" w14:textId="72A1F4D8" w:rsidR="00BC457C" w:rsidRDefault="00BC457C" w:rsidP="002561DA">
      <w:pPr>
        <w:keepLines/>
        <w:shd w:val="clear" w:color="auto" w:fill="FFFFFF"/>
        <w:tabs>
          <w:tab w:val="left" w:pos="2500"/>
        </w:tabs>
        <w:jc w:val="center"/>
        <w:rPr>
          <w:sz w:val="24"/>
          <w:szCs w:val="24"/>
        </w:rPr>
      </w:pPr>
      <w:hyperlink r:id="rId8" w:history="1">
        <w:r w:rsidRPr="00936DA6">
          <w:rPr>
            <w:rStyle w:val="Hyperlink"/>
            <w:sz w:val="24"/>
            <w:szCs w:val="24"/>
          </w:rPr>
          <w:t>gilvan.c.pinho@aluno.uepa.br</w:t>
        </w:r>
      </w:hyperlink>
    </w:p>
    <w:p w14:paraId="62A112B8" w14:textId="483061AC" w:rsidR="001E2838" w:rsidRDefault="00291564" w:rsidP="003949CE">
      <w:pPr>
        <w:keepLines/>
        <w:shd w:val="clear" w:color="auto" w:fill="FFFFFF"/>
        <w:tabs>
          <w:tab w:val="left" w:pos="2500"/>
        </w:tabs>
        <w:jc w:val="center"/>
        <w:rPr>
          <w:sz w:val="24"/>
          <w:szCs w:val="24"/>
        </w:rPr>
      </w:pPr>
      <w:r>
        <w:rPr>
          <w:sz w:val="24"/>
          <w:szCs w:val="24"/>
        </w:rPr>
        <w:t>³</w:t>
      </w:r>
      <w:r w:rsidR="00510CE9">
        <w:rPr>
          <w:sz w:val="24"/>
          <w:szCs w:val="24"/>
        </w:rPr>
        <w:t xml:space="preserve"> Graduanda em Engenharia Ambiental e Sanitária</w:t>
      </w:r>
      <w:r w:rsidR="000F5611">
        <w:rPr>
          <w:sz w:val="24"/>
          <w:szCs w:val="24"/>
        </w:rPr>
        <w:t>. Universidade do Estado do Pará</w:t>
      </w:r>
    </w:p>
    <w:p w14:paraId="37CEDCA6" w14:textId="1191867A" w:rsidR="006137FC" w:rsidRPr="002561DA" w:rsidRDefault="007D1108" w:rsidP="002561DA">
      <w:pPr>
        <w:keepLines/>
        <w:pBdr>
          <w:bottom w:val="none" w:sz="0" w:space="8" w:color="000000"/>
        </w:pBdr>
        <w:shd w:val="clear" w:color="auto" w:fill="FFFFFF"/>
        <w:tabs>
          <w:tab w:val="left" w:pos="2500"/>
        </w:tabs>
        <w:jc w:val="center"/>
        <w:rPr>
          <w:rStyle w:val="Hyperlink"/>
          <w:szCs w:val="24"/>
        </w:rPr>
      </w:pPr>
      <w:hyperlink r:id="rId9" w:history="1">
        <w:r w:rsidRPr="002F7908">
          <w:rPr>
            <w:rStyle w:val="Hyperlink"/>
            <w:szCs w:val="24"/>
          </w:rPr>
          <w:t>laila.bdsantos@aluno.uepa.br</w:t>
        </w:r>
      </w:hyperlink>
    </w:p>
    <w:p w14:paraId="7381CC59" w14:textId="11C92E01" w:rsidR="00431BAA" w:rsidRDefault="00CA2BE7" w:rsidP="002561DA">
      <w:pPr>
        <w:keepLines/>
        <w:pBdr>
          <w:bottom w:val="none" w:sz="0" w:space="8" w:color="000000"/>
        </w:pBdr>
        <w:shd w:val="clear" w:color="auto" w:fill="FFFFFF"/>
        <w:tabs>
          <w:tab w:val="left" w:pos="2500"/>
        </w:tabs>
        <w:jc w:val="center"/>
        <w:rPr>
          <w:sz w:val="24"/>
          <w:szCs w:val="24"/>
        </w:rPr>
      </w:pPr>
      <w:r w:rsidRPr="00CA2BE7">
        <w:rPr>
          <w:sz w:val="24"/>
          <w:szCs w:val="24"/>
          <w:vertAlign w:val="superscript"/>
        </w:rPr>
        <w:t>4</w:t>
      </w:r>
      <w:r w:rsidR="00C91D93" w:rsidRPr="00C91D93">
        <w:rPr>
          <w:sz w:val="24"/>
          <w:szCs w:val="24"/>
        </w:rPr>
        <w:t xml:space="preserve"> Doutor em Biodiversidade e Biotecnologia. Universidade do Estado do Pará. </w:t>
      </w:r>
      <w:hyperlink r:id="rId10" w:history="1">
        <w:r w:rsidR="00C91D93" w:rsidRPr="00C91D93">
          <w:rPr>
            <w:rStyle w:val="Hyperlink"/>
            <w:sz w:val="24"/>
            <w:szCs w:val="24"/>
          </w:rPr>
          <w:t>thyagomiran@hotmail.com</w:t>
        </w:r>
      </w:hyperlink>
      <w:r w:rsidR="00C91D93" w:rsidRPr="00C91D93">
        <w:rPr>
          <w:sz w:val="24"/>
          <w:szCs w:val="24"/>
        </w:rPr>
        <w:t xml:space="preserve"> </w:t>
      </w:r>
    </w:p>
    <w:p w14:paraId="138B84C4" w14:textId="7086E31D" w:rsidR="00525887" w:rsidRPr="00525887" w:rsidRDefault="00F1481F" w:rsidP="00525887">
      <w:pPr>
        <w:keepLines/>
        <w:pBdr>
          <w:bottom w:val="none" w:sz="0" w:space="8" w:color="000000"/>
        </w:pBdr>
        <w:shd w:val="clear" w:color="auto" w:fill="FFFFFF"/>
        <w:tabs>
          <w:tab w:val="left" w:pos="2500"/>
        </w:tabs>
        <w:jc w:val="center"/>
        <w:rPr>
          <w:sz w:val="24"/>
          <w:szCs w:val="24"/>
        </w:rPr>
      </w:pPr>
      <w:r>
        <w:rPr>
          <w:sz w:val="24"/>
          <w:szCs w:val="24"/>
          <w:vertAlign w:val="superscript"/>
        </w:rPr>
        <w:t>5</w:t>
      </w:r>
      <w:r w:rsidR="00525887" w:rsidRPr="00525887">
        <w:rPr>
          <w:sz w:val="24"/>
          <w:szCs w:val="24"/>
          <w:vertAlign w:val="superscript"/>
        </w:rPr>
        <w:t xml:space="preserve"> </w:t>
      </w:r>
      <w:r w:rsidR="00525887" w:rsidRPr="00525887">
        <w:rPr>
          <w:sz w:val="24"/>
          <w:szCs w:val="24"/>
        </w:rPr>
        <w:t>Doutora em Botânica. Universidade do Estado do Pará.</w:t>
      </w:r>
    </w:p>
    <w:p w14:paraId="10C328BA" w14:textId="6A2C1EF8" w:rsidR="00525887" w:rsidRDefault="00525887" w:rsidP="002561DA">
      <w:pPr>
        <w:keepLines/>
        <w:pBdr>
          <w:bottom w:val="none" w:sz="0" w:space="8" w:color="000000"/>
        </w:pBdr>
        <w:shd w:val="clear" w:color="auto" w:fill="FFFFFF"/>
        <w:tabs>
          <w:tab w:val="left" w:pos="2500"/>
        </w:tabs>
        <w:jc w:val="center"/>
        <w:rPr>
          <w:sz w:val="24"/>
          <w:szCs w:val="24"/>
        </w:rPr>
      </w:pPr>
      <w:hyperlink r:id="rId11" w:history="1">
        <w:r w:rsidRPr="00525887">
          <w:rPr>
            <w:rStyle w:val="Hyperlink"/>
            <w:sz w:val="24"/>
            <w:szCs w:val="24"/>
          </w:rPr>
          <w:t>ana.martins@uepa.br</w:t>
        </w:r>
      </w:hyperlink>
    </w:p>
    <w:p w14:paraId="451A4287" w14:textId="613D78E6" w:rsidR="00DF0F5D" w:rsidRDefault="00DF0F5D" w:rsidP="00525887">
      <w:pPr>
        <w:keepLines/>
        <w:pBdr>
          <w:bottom w:val="none" w:sz="0" w:space="8" w:color="000000"/>
        </w:pBdr>
        <w:shd w:val="clear" w:color="auto" w:fill="FFFFFF"/>
        <w:tabs>
          <w:tab w:val="left" w:pos="2500"/>
        </w:tabs>
        <w:jc w:val="center"/>
        <w:rPr>
          <w:sz w:val="24"/>
          <w:szCs w:val="24"/>
        </w:rPr>
      </w:pPr>
    </w:p>
    <w:bookmarkEnd w:id="0"/>
    <w:p w14:paraId="6E6DF23F" w14:textId="77777777" w:rsidR="00C106F5" w:rsidRPr="00C578F4" w:rsidRDefault="00C106F5" w:rsidP="00C106F5">
      <w:pPr>
        <w:pBdr>
          <w:bottom w:val="none" w:sz="0" w:space="8" w:color="000000"/>
        </w:pBdr>
        <w:shd w:val="clear" w:color="auto" w:fill="FFFFFF"/>
        <w:tabs>
          <w:tab w:val="left" w:pos="2500"/>
        </w:tabs>
        <w:jc w:val="center"/>
        <w:rPr>
          <w:b/>
          <w:sz w:val="24"/>
          <w:szCs w:val="24"/>
          <w:lang w:val="pt-BR"/>
        </w:rPr>
      </w:pPr>
      <w:r w:rsidRPr="00C578F4">
        <w:rPr>
          <w:b/>
          <w:sz w:val="24"/>
          <w:szCs w:val="24"/>
          <w:lang w:val="pt-BR"/>
        </w:rPr>
        <w:t>SÍNTESE BIBLIOGRÁFIC</w:t>
      </w:r>
      <w:r>
        <w:rPr>
          <w:b/>
          <w:sz w:val="24"/>
          <w:szCs w:val="24"/>
          <w:lang w:val="pt-BR"/>
        </w:rPr>
        <w:t>A</w:t>
      </w:r>
      <w:r w:rsidRPr="00C578F4">
        <w:rPr>
          <w:b/>
          <w:sz w:val="24"/>
          <w:szCs w:val="24"/>
          <w:lang w:val="pt-BR"/>
        </w:rPr>
        <w:t xml:space="preserve"> DAS PLANTAS MEDICINAIS NO BRASIL</w:t>
      </w:r>
    </w:p>
    <w:p w14:paraId="0AF35E64" w14:textId="77777777" w:rsidR="00C106F5" w:rsidRDefault="00C106F5" w:rsidP="00C106F5">
      <w:pPr>
        <w:pBdr>
          <w:bottom w:val="none" w:sz="0" w:space="8" w:color="000000"/>
        </w:pBdr>
        <w:shd w:val="clear" w:color="auto" w:fill="FFFFFF"/>
        <w:tabs>
          <w:tab w:val="left" w:pos="2500"/>
        </w:tabs>
        <w:jc w:val="center"/>
        <w:rPr>
          <w:b/>
          <w:sz w:val="24"/>
          <w:szCs w:val="24"/>
          <w:u w:val="single"/>
        </w:rPr>
      </w:pPr>
    </w:p>
    <w:p w14:paraId="3578CD6A" w14:textId="77777777" w:rsidR="00C106F5" w:rsidRDefault="00C106F5" w:rsidP="00C106F5">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766D1FFD" w14:textId="77777777" w:rsidR="00C106F5" w:rsidRDefault="00C106F5" w:rsidP="00C106F5">
      <w:pPr>
        <w:shd w:val="clear" w:color="auto" w:fill="FFFFFF"/>
        <w:tabs>
          <w:tab w:val="left" w:pos="2500"/>
        </w:tabs>
        <w:jc w:val="both"/>
        <w:rPr>
          <w:sz w:val="24"/>
          <w:szCs w:val="24"/>
          <w:lang w:val="pt-BR"/>
        </w:rPr>
      </w:pPr>
      <w:r w:rsidRPr="002F3023">
        <w:rPr>
          <w:sz w:val="24"/>
          <w:szCs w:val="24"/>
          <w:lang w:val="pt-BR"/>
        </w:rPr>
        <w:t xml:space="preserve">Este trabalho apresenta uma revisão sistemática sobre a diversidade de plantas medicinais no Brasil, com foco na distribuição geográfica e taxonômica dessas espécies. A partir da análise de 1.663 estudos, 188 foram selecionados para compor a síntese, abordando a relação entre a biodiversidade de plantas medicinais e seus usos em diferentes contextos, como áreas urbanas, rurais e comunidades tradicionais. Os resultados destacam a riqueza de espécies em biomas como a Amazônia e o Pampa, que apresentaram médias de 113,58 e 116,50 espécies, respectivamente. Além disso, verificou-se que áreas rurais sem comunidades tradicionais demonstraram maior diversidade, embora não tenham sido observadas diferenças significativas entre os tipos de ambientes avaliados. Os gêneros </w:t>
      </w:r>
      <w:r w:rsidRPr="002F3023">
        <w:rPr>
          <w:i/>
          <w:iCs/>
          <w:sz w:val="24"/>
          <w:szCs w:val="24"/>
          <w:lang w:val="pt-BR"/>
        </w:rPr>
        <w:t>Solanum</w:t>
      </w:r>
      <w:r w:rsidRPr="002F3023">
        <w:rPr>
          <w:sz w:val="24"/>
          <w:szCs w:val="24"/>
          <w:lang w:val="pt-BR"/>
        </w:rPr>
        <w:t xml:space="preserve">, </w:t>
      </w:r>
      <w:r w:rsidRPr="002F3023">
        <w:rPr>
          <w:i/>
          <w:iCs/>
          <w:sz w:val="24"/>
          <w:szCs w:val="24"/>
          <w:lang w:val="pt-BR"/>
        </w:rPr>
        <w:t>Senna</w:t>
      </w:r>
      <w:r w:rsidRPr="002F3023">
        <w:rPr>
          <w:sz w:val="24"/>
          <w:szCs w:val="24"/>
          <w:lang w:val="pt-BR"/>
        </w:rPr>
        <w:t xml:space="preserve"> e </w:t>
      </w:r>
      <w:r w:rsidRPr="002F3023">
        <w:rPr>
          <w:i/>
          <w:iCs/>
          <w:sz w:val="24"/>
          <w:szCs w:val="24"/>
          <w:lang w:val="pt-BR"/>
        </w:rPr>
        <w:t>Piper</w:t>
      </w:r>
      <w:r w:rsidRPr="002F3023">
        <w:rPr>
          <w:sz w:val="24"/>
          <w:szCs w:val="24"/>
          <w:lang w:val="pt-BR"/>
        </w:rPr>
        <w:t xml:space="preserve"> foram os mais comuns nos estudos, indicando sua relevância tanto na medicina tradicional quanto em abordagens terapêuticas modernas. Embora o número de publicações sobre plantas medicinais tenha crescido nas últimas décadas, o estudo revela lacunas significativas, especialmente no campo da etnobotânica urbana. Isso sugere a necessidade de mais pesquisas para aprofundar o entendimento sobre o uso dessas plantas em diferentes contextos socioculturais. Os achados deste estudo podem servir de base para o desenvolvimento de políticas públicas que promovam a conservação da biodiversidade e o uso sustentável de plantas medicinais, além de apoiar a valorização dos conhecimentos tradicionais associados a esses recursos.</w:t>
      </w:r>
    </w:p>
    <w:p w14:paraId="53712DDC" w14:textId="77777777" w:rsidR="00C106F5" w:rsidRDefault="00C106F5" w:rsidP="00C106F5">
      <w:pPr>
        <w:shd w:val="clear" w:color="auto" w:fill="FFFFFF"/>
        <w:tabs>
          <w:tab w:val="left" w:pos="2500"/>
        </w:tabs>
        <w:jc w:val="both"/>
        <w:rPr>
          <w:sz w:val="24"/>
          <w:szCs w:val="24"/>
          <w:lang w:val="pt-BR"/>
        </w:rPr>
      </w:pPr>
    </w:p>
    <w:p w14:paraId="37F941FD" w14:textId="77777777" w:rsidR="00C106F5" w:rsidRPr="002F3023" w:rsidRDefault="00C106F5" w:rsidP="00C106F5">
      <w:pPr>
        <w:shd w:val="clear" w:color="auto" w:fill="FFFFFF"/>
        <w:tabs>
          <w:tab w:val="left" w:pos="2500"/>
        </w:tabs>
        <w:jc w:val="both"/>
        <w:rPr>
          <w:sz w:val="24"/>
          <w:szCs w:val="24"/>
          <w:lang w:val="pt-BR"/>
        </w:rPr>
      </w:pPr>
      <w:r w:rsidRPr="00C94C27">
        <w:rPr>
          <w:b/>
          <w:bCs/>
          <w:sz w:val="24"/>
          <w:szCs w:val="24"/>
          <w:lang w:val="pt-BR"/>
        </w:rPr>
        <w:t>Palavras-chave</w:t>
      </w:r>
      <w:r w:rsidRPr="00C94C27">
        <w:rPr>
          <w:sz w:val="24"/>
          <w:szCs w:val="24"/>
          <w:lang w:val="pt-BR"/>
        </w:rPr>
        <w:t>: Plantas medicinais, biodiversidade, etnobotânica</w:t>
      </w:r>
      <w:r>
        <w:rPr>
          <w:sz w:val="24"/>
          <w:szCs w:val="24"/>
          <w:lang w:val="pt-BR"/>
        </w:rPr>
        <w:t>.</w:t>
      </w:r>
    </w:p>
    <w:p w14:paraId="7065646B" w14:textId="77777777" w:rsidR="00C106F5" w:rsidRPr="002F3023" w:rsidRDefault="00C106F5" w:rsidP="00C106F5">
      <w:pPr>
        <w:shd w:val="clear" w:color="auto" w:fill="FFFFFF"/>
        <w:tabs>
          <w:tab w:val="left" w:pos="2500"/>
        </w:tabs>
        <w:jc w:val="center"/>
        <w:rPr>
          <w:sz w:val="24"/>
          <w:szCs w:val="24"/>
          <w:lang w:val="pt-BR"/>
        </w:rPr>
      </w:pPr>
    </w:p>
    <w:p w14:paraId="7CCA5115" w14:textId="77777777" w:rsidR="00C106F5" w:rsidRDefault="00C106F5" w:rsidP="00C106F5">
      <w:pPr>
        <w:shd w:val="clear" w:color="auto" w:fill="FFFFFF"/>
        <w:tabs>
          <w:tab w:val="left" w:pos="2500"/>
        </w:tabs>
        <w:jc w:val="both"/>
        <w:rPr>
          <w:sz w:val="24"/>
          <w:szCs w:val="24"/>
        </w:rPr>
      </w:pPr>
      <w:r>
        <w:rPr>
          <w:b/>
          <w:sz w:val="24"/>
          <w:szCs w:val="24"/>
        </w:rPr>
        <w:t>Área de Interesse do Simpósio</w:t>
      </w:r>
      <w:r>
        <w:rPr>
          <w:sz w:val="24"/>
          <w:szCs w:val="24"/>
        </w:rPr>
        <w:t>: Caracterização de Ecossistemas.</w:t>
      </w:r>
    </w:p>
    <w:p w14:paraId="78958857" w14:textId="77777777" w:rsidR="00C106F5" w:rsidRDefault="00C106F5" w:rsidP="00C106F5">
      <w:pPr>
        <w:shd w:val="clear" w:color="auto" w:fill="FFFFFF"/>
        <w:tabs>
          <w:tab w:val="left" w:pos="2500"/>
        </w:tabs>
        <w:rPr>
          <w:b/>
          <w:sz w:val="24"/>
          <w:szCs w:val="24"/>
        </w:rPr>
      </w:pPr>
    </w:p>
    <w:p w14:paraId="1B9C593C" w14:textId="77777777" w:rsidR="00C106F5" w:rsidRDefault="00C106F5" w:rsidP="00C106F5">
      <w:pPr>
        <w:shd w:val="clear" w:color="auto" w:fill="FFFFFF"/>
        <w:tabs>
          <w:tab w:val="left" w:pos="2500"/>
        </w:tabs>
        <w:rPr>
          <w:b/>
          <w:sz w:val="24"/>
          <w:szCs w:val="24"/>
        </w:rPr>
      </w:pPr>
    </w:p>
    <w:p w14:paraId="58180E5D" w14:textId="77777777" w:rsidR="00C106F5" w:rsidRDefault="00C106F5" w:rsidP="00C106F5">
      <w:pPr>
        <w:shd w:val="clear" w:color="auto" w:fill="FFFFFF"/>
        <w:tabs>
          <w:tab w:val="left" w:pos="2500"/>
        </w:tabs>
        <w:rPr>
          <w:b/>
          <w:sz w:val="24"/>
          <w:szCs w:val="24"/>
        </w:rPr>
      </w:pPr>
    </w:p>
    <w:p w14:paraId="2DEBEF23" w14:textId="77777777" w:rsidR="00C106F5" w:rsidRDefault="00C106F5" w:rsidP="00C106F5">
      <w:pPr>
        <w:shd w:val="clear" w:color="auto" w:fill="FFFFFF"/>
        <w:tabs>
          <w:tab w:val="left" w:pos="2500"/>
        </w:tabs>
        <w:rPr>
          <w:b/>
          <w:sz w:val="24"/>
          <w:szCs w:val="24"/>
        </w:rPr>
      </w:pPr>
    </w:p>
    <w:p w14:paraId="4F41D407" w14:textId="77777777" w:rsidR="00C106F5" w:rsidRDefault="00C106F5" w:rsidP="00C106F5">
      <w:pPr>
        <w:shd w:val="clear" w:color="auto" w:fill="FFFFFF"/>
        <w:tabs>
          <w:tab w:val="left" w:pos="2500"/>
        </w:tabs>
        <w:rPr>
          <w:b/>
          <w:sz w:val="24"/>
          <w:szCs w:val="24"/>
        </w:rPr>
      </w:pPr>
    </w:p>
    <w:p w14:paraId="2B6FE0DE" w14:textId="77777777" w:rsidR="00C106F5" w:rsidRDefault="00C106F5" w:rsidP="00C106F5">
      <w:pPr>
        <w:shd w:val="clear" w:color="auto" w:fill="FFFFFF"/>
        <w:tabs>
          <w:tab w:val="left" w:pos="2500"/>
        </w:tabs>
        <w:rPr>
          <w:b/>
          <w:sz w:val="24"/>
          <w:szCs w:val="24"/>
        </w:rPr>
      </w:pPr>
    </w:p>
    <w:p w14:paraId="7E1273B2" w14:textId="77777777" w:rsidR="00C106F5" w:rsidRDefault="00C106F5" w:rsidP="00C106F5">
      <w:pPr>
        <w:shd w:val="clear" w:color="auto" w:fill="FFFFFF"/>
        <w:tabs>
          <w:tab w:val="left" w:pos="2500"/>
        </w:tabs>
        <w:rPr>
          <w:b/>
          <w:sz w:val="24"/>
          <w:szCs w:val="24"/>
        </w:rPr>
      </w:pPr>
    </w:p>
    <w:p w14:paraId="24ED65B5" w14:textId="77777777" w:rsidR="00C106F5" w:rsidRDefault="00C106F5" w:rsidP="00C106F5">
      <w:pPr>
        <w:shd w:val="clear" w:color="auto" w:fill="FFFFFF"/>
        <w:tabs>
          <w:tab w:val="left" w:pos="2500"/>
        </w:tabs>
        <w:rPr>
          <w:b/>
          <w:sz w:val="24"/>
          <w:szCs w:val="24"/>
        </w:rPr>
      </w:pPr>
    </w:p>
    <w:p w14:paraId="426395EA" w14:textId="77777777" w:rsidR="00C106F5" w:rsidRDefault="00C106F5" w:rsidP="00C106F5">
      <w:pPr>
        <w:shd w:val="clear" w:color="auto" w:fill="FFFFFF"/>
        <w:tabs>
          <w:tab w:val="left" w:pos="2500"/>
        </w:tabs>
        <w:rPr>
          <w:b/>
          <w:sz w:val="24"/>
          <w:szCs w:val="24"/>
        </w:rPr>
      </w:pPr>
    </w:p>
    <w:p w14:paraId="017AFE97" w14:textId="77777777" w:rsidR="00C106F5" w:rsidRDefault="00C106F5" w:rsidP="00C106F5">
      <w:pPr>
        <w:shd w:val="clear" w:color="auto" w:fill="FFFFFF"/>
        <w:tabs>
          <w:tab w:val="left" w:pos="2500"/>
        </w:tabs>
        <w:rPr>
          <w:b/>
          <w:sz w:val="24"/>
          <w:szCs w:val="24"/>
        </w:rPr>
      </w:pPr>
    </w:p>
    <w:p w14:paraId="66858C64" w14:textId="77777777" w:rsidR="00C106F5" w:rsidRDefault="00C106F5" w:rsidP="00C106F5">
      <w:pPr>
        <w:shd w:val="clear" w:color="auto" w:fill="FFFFFF"/>
        <w:tabs>
          <w:tab w:val="left" w:pos="2500"/>
        </w:tabs>
        <w:rPr>
          <w:b/>
          <w:sz w:val="24"/>
          <w:szCs w:val="24"/>
        </w:rPr>
      </w:pPr>
    </w:p>
    <w:p w14:paraId="2C67D89C" w14:textId="77777777" w:rsidR="00C106F5" w:rsidRDefault="00C106F5" w:rsidP="00C106F5">
      <w:pPr>
        <w:shd w:val="clear" w:color="auto" w:fill="FFFFFF"/>
        <w:tabs>
          <w:tab w:val="left" w:pos="2500"/>
        </w:tabs>
        <w:rPr>
          <w:b/>
          <w:sz w:val="24"/>
          <w:szCs w:val="24"/>
        </w:rPr>
      </w:pPr>
    </w:p>
    <w:p w14:paraId="26ED966A" w14:textId="77777777" w:rsidR="00C106F5" w:rsidRDefault="00C106F5" w:rsidP="00C106F5">
      <w:pPr>
        <w:shd w:val="clear" w:color="auto" w:fill="FFFFFF"/>
        <w:tabs>
          <w:tab w:val="left" w:pos="2500"/>
        </w:tabs>
        <w:rPr>
          <w:b/>
          <w:sz w:val="24"/>
          <w:szCs w:val="24"/>
        </w:rPr>
      </w:pPr>
    </w:p>
    <w:p w14:paraId="03B02DC3" w14:textId="77777777" w:rsidR="00C106F5" w:rsidRDefault="00C106F5" w:rsidP="00C106F5">
      <w:pPr>
        <w:shd w:val="clear" w:color="auto" w:fill="FFFFFF"/>
        <w:tabs>
          <w:tab w:val="left" w:pos="2500"/>
        </w:tabs>
        <w:rPr>
          <w:b/>
          <w:sz w:val="24"/>
          <w:szCs w:val="24"/>
        </w:rPr>
      </w:pPr>
    </w:p>
    <w:p w14:paraId="18D84FBC" w14:textId="77777777" w:rsidR="00C106F5" w:rsidRDefault="00C106F5" w:rsidP="00C106F5">
      <w:pPr>
        <w:shd w:val="clear" w:color="auto" w:fill="FFFFFF"/>
        <w:tabs>
          <w:tab w:val="left" w:pos="2500"/>
        </w:tabs>
        <w:rPr>
          <w:b/>
          <w:sz w:val="24"/>
          <w:szCs w:val="24"/>
        </w:rPr>
      </w:pPr>
    </w:p>
    <w:p w14:paraId="3D77941F" w14:textId="77777777" w:rsidR="00C106F5" w:rsidRDefault="00C106F5" w:rsidP="00C106F5">
      <w:pPr>
        <w:shd w:val="clear" w:color="auto" w:fill="FFFFFF"/>
        <w:tabs>
          <w:tab w:val="left" w:pos="2500"/>
        </w:tabs>
        <w:rPr>
          <w:b/>
          <w:sz w:val="24"/>
          <w:szCs w:val="24"/>
        </w:rPr>
      </w:pPr>
    </w:p>
    <w:p w14:paraId="2F7A4546" w14:textId="77777777" w:rsidR="00C106F5" w:rsidRDefault="00C106F5" w:rsidP="00C106F5">
      <w:pPr>
        <w:shd w:val="clear" w:color="auto" w:fill="FFFFFF"/>
        <w:tabs>
          <w:tab w:val="left" w:pos="2500"/>
        </w:tabs>
        <w:rPr>
          <w:b/>
          <w:sz w:val="24"/>
          <w:szCs w:val="24"/>
        </w:rPr>
      </w:pPr>
    </w:p>
    <w:p w14:paraId="00C06A5F" w14:textId="77777777" w:rsidR="00C106F5" w:rsidRDefault="00C106F5" w:rsidP="00C106F5">
      <w:pPr>
        <w:shd w:val="clear" w:color="auto" w:fill="FFFFFF"/>
        <w:tabs>
          <w:tab w:val="left" w:pos="2500"/>
        </w:tabs>
        <w:rPr>
          <w:b/>
          <w:sz w:val="24"/>
          <w:szCs w:val="24"/>
        </w:rPr>
      </w:pPr>
    </w:p>
    <w:p w14:paraId="70BD6D1D" w14:textId="77777777" w:rsidR="00C106F5" w:rsidRDefault="00C106F5" w:rsidP="00C106F5">
      <w:pPr>
        <w:shd w:val="clear" w:color="auto" w:fill="FFFFFF"/>
        <w:tabs>
          <w:tab w:val="left" w:pos="2500"/>
        </w:tabs>
        <w:rPr>
          <w:b/>
          <w:sz w:val="24"/>
          <w:szCs w:val="24"/>
        </w:rPr>
      </w:pPr>
    </w:p>
    <w:p w14:paraId="2E0FF0FE" w14:textId="77777777" w:rsidR="00C106F5" w:rsidRDefault="00C106F5" w:rsidP="00C106F5">
      <w:pPr>
        <w:shd w:val="clear" w:color="auto" w:fill="FFFFFF"/>
        <w:tabs>
          <w:tab w:val="left" w:pos="2500"/>
        </w:tabs>
        <w:rPr>
          <w:b/>
          <w:sz w:val="24"/>
          <w:szCs w:val="24"/>
        </w:rPr>
      </w:pPr>
    </w:p>
    <w:p w14:paraId="349CFE3D" w14:textId="77777777" w:rsidR="00C106F5" w:rsidRDefault="00C106F5" w:rsidP="00C106F5">
      <w:pPr>
        <w:shd w:val="clear" w:color="auto" w:fill="FFFFFF"/>
        <w:tabs>
          <w:tab w:val="left" w:pos="2500"/>
        </w:tabs>
        <w:rPr>
          <w:b/>
          <w:sz w:val="24"/>
          <w:szCs w:val="24"/>
        </w:rPr>
      </w:pPr>
    </w:p>
    <w:p w14:paraId="05D24C52" w14:textId="77777777" w:rsidR="00C106F5" w:rsidRPr="005E3893" w:rsidRDefault="00C106F5" w:rsidP="00C106F5">
      <w:pPr>
        <w:shd w:val="clear" w:color="auto" w:fill="FFFFFF"/>
        <w:tabs>
          <w:tab w:val="left" w:pos="2500"/>
        </w:tabs>
        <w:rPr>
          <w:b/>
          <w:sz w:val="24"/>
          <w:szCs w:val="24"/>
        </w:rPr>
      </w:pPr>
      <w:r w:rsidRPr="005E3893">
        <w:rPr>
          <w:b/>
          <w:sz w:val="24"/>
          <w:szCs w:val="24"/>
        </w:rPr>
        <w:t>1. INTRODUÇÃO</w:t>
      </w:r>
    </w:p>
    <w:p w14:paraId="6FC69750" w14:textId="77777777" w:rsidR="00C106F5" w:rsidRDefault="00C106F5" w:rsidP="00C106F5">
      <w:pPr>
        <w:pBdr>
          <w:bottom w:val="none" w:sz="0" w:space="8" w:color="000000"/>
        </w:pBdr>
        <w:shd w:val="clear" w:color="auto" w:fill="FFFFFF"/>
        <w:tabs>
          <w:tab w:val="left" w:pos="699"/>
        </w:tabs>
        <w:spacing w:line="360" w:lineRule="auto"/>
        <w:ind w:firstLine="709"/>
        <w:jc w:val="both"/>
        <w:rPr>
          <w:sz w:val="24"/>
          <w:szCs w:val="24"/>
          <w:lang w:val="pt-BR"/>
        </w:rPr>
      </w:pPr>
      <w:r w:rsidRPr="00A81E79">
        <w:rPr>
          <w:sz w:val="24"/>
          <w:szCs w:val="24"/>
          <w:lang w:val="pt-BR"/>
        </w:rPr>
        <w:t>O uso de plantas medicinais tem desempenhado um papel fundamental ao longo da história humana, especialmente em países megadiversos como o Brasil</w:t>
      </w:r>
      <w:r>
        <w:rPr>
          <w:sz w:val="24"/>
          <w:szCs w:val="24"/>
          <w:lang w:val="pt-BR"/>
        </w:rPr>
        <w:t>,</w:t>
      </w:r>
      <w:r w:rsidRPr="00A81E79">
        <w:rPr>
          <w:sz w:val="24"/>
          <w:szCs w:val="24"/>
          <w:lang w:val="pt-BR"/>
        </w:rPr>
        <w:t xml:space="preserve"> </w:t>
      </w:r>
      <w:r>
        <w:rPr>
          <w:sz w:val="24"/>
          <w:szCs w:val="24"/>
          <w:lang w:val="pt-BR"/>
        </w:rPr>
        <w:t>os Povos Indígenas, Quilombolas e Comunidades Tradicionais (PIQTC)</w:t>
      </w:r>
      <w:r w:rsidRPr="00A81E79">
        <w:rPr>
          <w:sz w:val="24"/>
          <w:szCs w:val="24"/>
          <w:lang w:val="pt-BR"/>
        </w:rPr>
        <w:t>, têm preservado um vasto conhecimento sobre o uso de plantas nativas para o tratamento de diversas doenças (Elisabetsky, 2003).</w:t>
      </w:r>
    </w:p>
    <w:p w14:paraId="30A7DABD" w14:textId="77777777" w:rsidR="00C106F5" w:rsidRDefault="00C106F5" w:rsidP="00C106F5">
      <w:pPr>
        <w:pBdr>
          <w:bottom w:val="none" w:sz="0" w:space="8" w:color="000000"/>
        </w:pBdr>
        <w:shd w:val="clear" w:color="auto" w:fill="FFFFFF"/>
        <w:tabs>
          <w:tab w:val="left" w:pos="699"/>
        </w:tabs>
        <w:spacing w:line="360" w:lineRule="auto"/>
        <w:ind w:firstLine="709"/>
        <w:jc w:val="both"/>
        <w:rPr>
          <w:sz w:val="24"/>
          <w:szCs w:val="24"/>
          <w:lang w:val="pt-BR"/>
        </w:rPr>
      </w:pPr>
      <w:r w:rsidRPr="00A81E79">
        <w:rPr>
          <w:sz w:val="24"/>
          <w:szCs w:val="24"/>
          <w:lang w:val="pt-BR"/>
        </w:rPr>
        <w:t xml:space="preserve"> Nos últimos anos, o interesse científico e econômico nesse tipo de recurso natural cresceu significativamente, impulsionado pelo potencial da biodiversidade brasileira para o desenvolvimento de fitoterápicos e outros produtos à base de plantas (Simões e Schenkel, 2002).</w:t>
      </w:r>
    </w:p>
    <w:p w14:paraId="327F561C" w14:textId="77777777" w:rsidR="00C106F5" w:rsidRPr="00A81E79" w:rsidRDefault="00C106F5" w:rsidP="00C106F5">
      <w:pPr>
        <w:pBdr>
          <w:bottom w:val="none" w:sz="0" w:space="8" w:color="000000"/>
        </w:pBdr>
        <w:shd w:val="clear" w:color="auto" w:fill="FFFFFF"/>
        <w:tabs>
          <w:tab w:val="left" w:pos="699"/>
        </w:tabs>
        <w:spacing w:line="360" w:lineRule="auto"/>
        <w:ind w:firstLine="709"/>
        <w:jc w:val="both"/>
        <w:rPr>
          <w:sz w:val="24"/>
          <w:szCs w:val="24"/>
          <w:lang w:val="pt-BR"/>
        </w:rPr>
      </w:pPr>
      <w:r w:rsidRPr="00A81E79">
        <w:rPr>
          <w:sz w:val="24"/>
          <w:szCs w:val="24"/>
          <w:lang w:val="pt-BR"/>
        </w:rPr>
        <w:t>Apesar desse crescente interesse, o número de publicações científicas relacionadas ao tema ainda é considerado insuficiente frente ao vasto potencial oferecido pela biodiversidade vegetal do Brasil (Carneiro et al., 2014). Esse cenário reflete tanto a falta de financiamento para pesquisas nessa área quanto as barreiras regulatórias para o desenvolvimento e a comercialização de fitoterápicos, conforme apontado por Albuquerque e Hanazaki (2006)</w:t>
      </w:r>
      <w:r>
        <w:rPr>
          <w:sz w:val="24"/>
          <w:szCs w:val="24"/>
          <w:lang w:val="pt-BR"/>
        </w:rPr>
        <w:t>.</w:t>
      </w:r>
    </w:p>
    <w:p w14:paraId="5A1734A8" w14:textId="77777777" w:rsidR="00C106F5" w:rsidRPr="00A81E79" w:rsidRDefault="00C106F5" w:rsidP="00C106F5">
      <w:pPr>
        <w:pBdr>
          <w:bottom w:val="none" w:sz="0" w:space="8" w:color="000000"/>
        </w:pBdr>
        <w:shd w:val="clear" w:color="auto" w:fill="FFFFFF"/>
        <w:tabs>
          <w:tab w:val="left" w:pos="699"/>
        </w:tabs>
        <w:spacing w:line="360" w:lineRule="auto"/>
        <w:ind w:firstLine="709"/>
        <w:jc w:val="both"/>
        <w:rPr>
          <w:sz w:val="24"/>
          <w:szCs w:val="24"/>
          <w:lang w:val="pt-BR"/>
        </w:rPr>
      </w:pPr>
      <w:r>
        <w:rPr>
          <w:sz w:val="24"/>
          <w:szCs w:val="24"/>
          <w:lang w:val="pt-BR"/>
        </w:rPr>
        <w:t>A</w:t>
      </w:r>
      <w:r w:rsidRPr="00A81E79">
        <w:rPr>
          <w:sz w:val="24"/>
          <w:szCs w:val="24"/>
          <w:lang w:val="pt-BR"/>
        </w:rPr>
        <w:t>inda são necessários mais estudos para preencher lacunas no conhecimento sobre a diversidade de plantas medicinais em diferentes regiões e biomas brasileiros</w:t>
      </w:r>
      <w:r>
        <w:rPr>
          <w:sz w:val="24"/>
          <w:szCs w:val="24"/>
          <w:lang w:val="pt-BR"/>
        </w:rPr>
        <w:t>, e</w:t>
      </w:r>
      <w:r w:rsidRPr="00A81E79">
        <w:rPr>
          <w:sz w:val="24"/>
          <w:szCs w:val="24"/>
          <w:lang w:val="pt-BR"/>
        </w:rPr>
        <w:t>ssas lacunas tornam-se ainda mais evidentes em áreas urbanas e periurbanas, onde a etnobotânica é um campo emergente e subexplorado (Sganzerla et al., 2022).</w:t>
      </w:r>
    </w:p>
    <w:p w14:paraId="474BEB9F" w14:textId="77777777" w:rsidR="00C106F5" w:rsidRPr="000A643D" w:rsidRDefault="00C106F5" w:rsidP="00C106F5">
      <w:pPr>
        <w:pBdr>
          <w:bottom w:val="none" w:sz="0" w:space="8" w:color="000000"/>
        </w:pBdr>
        <w:shd w:val="clear" w:color="auto" w:fill="FFFFFF"/>
        <w:tabs>
          <w:tab w:val="left" w:pos="0"/>
          <w:tab w:val="left" w:pos="699"/>
        </w:tabs>
        <w:spacing w:line="360" w:lineRule="auto"/>
        <w:ind w:firstLine="709"/>
        <w:jc w:val="both"/>
        <w:rPr>
          <w:sz w:val="24"/>
          <w:szCs w:val="24"/>
          <w:lang w:val="pt-BR"/>
        </w:rPr>
      </w:pPr>
      <w:r w:rsidRPr="00A81E79">
        <w:rPr>
          <w:sz w:val="24"/>
          <w:szCs w:val="24"/>
          <w:lang w:val="pt-BR"/>
        </w:rPr>
        <w:t xml:space="preserve">Este estudo tem como objetivo realizar </w:t>
      </w:r>
      <w:r>
        <w:rPr>
          <w:sz w:val="24"/>
          <w:szCs w:val="24"/>
          <w:lang w:val="pt-BR"/>
        </w:rPr>
        <w:t xml:space="preserve">uma síntese sobre estudos de </w:t>
      </w:r>
      <w:r w:rsidRPr="00A81E79">
        <w:rPr>
          <w:sz w:val="24"/>
          <w:szCs w:val="24"/>
          <w:lang w:val="pt-BR"/>
        </w:rPr>
        <w:t xml:space="preserve">plantas medicinais no Brasil, investigando a distribuição geográfica das espécies, a diversidade entre os biomas e </w:t>
      </w:r>
      <w:r w:rsidRPr="00A81E79">
        <w:rPr>
          <w:sz w:val="24"/>
          <w:szCs w:val="24"/>
          <w:lang w:val="pt-BR"/>
        </w:rPr>
        <w:lastRenderedPageBreak/>
        <w:t xml:space="preserve">as diferenças nos padrões de uso em contextos urbanos, rurais ausentes de comunidades tradicionais e Povos Indígenas, Quilombolas e Comunidades Tradicionais (PIQCT). </w:t>
      </w:r>
    </w:p>
    <w:p w14:paraId="469AFD64" w14:textId="77777777" w:rsidR="00C106F5" w:rsidRDefault="00C106F5" w:rsidP="00C106F5">
      <w:pPr>
        <w:pBdr>
          <w:bottom w:val="none" w:sz="0" w:space="8" w:color="000000"/>
        </w:pBdr>
        <w:shd w:val="clear" w:color="auto" w:fill="FFFFFF"/>
        <w:tabs>
          <w:tab w:val="left" w:pos="2500"/>
        </w:tabs>
        <w:spacing w:line="360" w:lineRule="auto"/>
        <w:rPr>
          <w:b/>
          <w:bCs/>
          <w:sz w:val="24"/>
          <w:szCs w:val="24"/>
          <w:lang w:val="pt-BR"/>
        </w:rPr>
      </w:pPr>
      <w:r>
        <w:rPr>
          <w:b/>
          <w:bCs/>
          <w:sz w:val="24"/>
          <w:szCs w:val="24"/>
          <w:lang w:val="pt-BR"/>
        </w:rPr>
        <w:t xml:space="preserve">2. </w:t>
      </w:r>
      <w:r w:rsidRPr="00195AB0">
        <w:rPr>
          <w:b/>
          <w:bCs/>
          <w:sz w:val="24"/>
          <w:szCs w:val="24"/>
          <w:lang w:val="pt-BR"/>
        </w:rPr>
        <w:t>MATERIAL E MÉTODOS</w:t>
      </w:r>
    </w:p>
    <w:p w14:paraId="42F7BBDF" w14:textId="77777777" w:rsidR="00C106F5" w:rsidRDefault="00C106F5" w:rsidP="00C106F5">
      <w:pPr>
        <w:pBdr>
          <w:bottom w:val="none" w:sz="0" w:space="8" w:color="000000"/>
        </w:pBdr>
        <w:shd w:val="clear" w:color="auto" w:fill="FFFFFF"/>
        <w:tabs>
          <w:tab w:val="left" w:pos="2500"/>
        </w:tabs>
        <w:spacing w:line="360" w:lineRule="auto"/>
        <w:rPr>
          <w:sz w:val="24"/>
          <w:szCs w:val="24"/>
          <w:lang w:val="pt-BR"/>
        </w:rPr>
      </w:pPr>
      <w:r>
        <w:rPr>
          <w:sz w:val="24"/>
          <w:szCs w:val="24"/>
          <w:lang w:val="pt-BR"/>
        </w:rPr>
        <w:t xml:space="preserve">2.1 </w:t>
      </w:r>
      <w:r w:rsidRPr="005F7701">
        <w:rPr>
          <w:sz w:val="24"/>
          <w:szCs w:val="24"/>
          <w:lang w:val="pt-BR"/>
        </w:rPr>
        <w:t>COLETA DE DADOS E SELEÇÃO BIBLIOGRÁFICA</w:t>
      </w:r>
    </w:p>
    <w:p w14:paraId="34EF2BFC" w14:textId="77777777" w:rsidR="00C106F5" w:rsidRPr="00EF48A0" w:rsidRDefault="00C106F5" w:rsidP="00C106F5">
      <w:pPr>
        <w:spacing w:line="360" w:lineRule="auto"/>
        <w:ind w:firstLine="709"/>
        <w:jc w:val="both"/>
        <w:rPr>
          <w:sz w:val="24"/>
          <w:szCs w:val="24"/>
          <w:lang w:val="pt-BR"/>
        </w:rPr>
      </w:pPr>
      <w:r w:rsidRPr="00EF48A0">
        <w:rPr>
          <w:sz w:val="24"/>
          <w:szCs w:val="24"/>
          <w:lang w:val="pt-BR"/>
        </w:rPr>
        <w:t xml:space="preserve">A coleta de dados para esta revisão sistemática foi realizada entre os dias 23 e 26 de outubro de 2023. Os termos de busca utilizados incluíram "Ethnobotan*", "Ethnofarm*", e "Brazil*", aplicados nas bases de dados </w:t>
      </w:r>
      <w:r w:rsidRPr="00CE381E">
        <w:rPr>
          <w:i/>
          <w:iCs/>
          <w:sz w:val="24"/>
          <w:szCs w:val="24"/>
          <w:lang w:val="pt-BR"/>
        </w:rPr>
        <w:t>Web of Science</w:t>
      </w:r>
      <w:r w:rsidRPr="00EF48A0">
        <w:rPr>
          <w:sz w:val="24"/>
          <w:szCs w:val="24"/>
          <w:lang w:val="pt-BR"/>
        </w:rPr>
        <w:t xml:space="preserve">, </w:t>
      </w:r>
      <w:r w:rsidRPr="00CE381E">
        <w:rPr>
          <w:i/>
          <w:iCs/>
          <w:sz w:val="24"/>
          <w:szCs w:val="24"/>
          <w:lang w:val="pt-BR"/>
        </w:rPr>
        <w:t>Scopus</w:t>
      </w:r>
      <w:r w:rsidRPr="00EF48A0">
        <w:rPr>
          <w:sz w:val="24"/>
          <w:szCs w:val="24"/>
          <w:lang w:val="pt-BR"/>
        </w:rPr>
        <w:t xml:space="preserve"> e Scientific Electronic Library Online (SciELO).</w:t>
      </w:r>
    </w:p>
    <w:p w14:paraId="56773172" w14:textId="77777777" w:rsidR="00C106F5" w:rsidRPr="00EF48A0" w:rsidRDefault="00C106F5" w:rsidP="00C106F5">
      <w:pPr>
        <w:spacing w:line="360" w:lineRule="auto"/>
        <w:ind w:firstLine="709"/>
        <w:jc w:val="both"/>
        <w:rPr>
          <w:sz w:val="24"/>
          <w:szCs w:val="24"/>
          <w:lang w:val="pt-BR"/>
        </w:rPr>
      </w:pPr>
      <w:r w:rsidRPr="00EF48A0">
        <w:rPr>
          <w:sz w:val="24"/>
          <w:szCs w:val="24"/>
          <w:lang w:val="pt-BR"/>
        </w:rPr>
        <w:t>Os critérios de inclusão abrangeram estudos que investigaram a interação entre grupos humanos e a biodiversidade vegetal com foco no tratamento de doenças</w:t>
      </w:r>
      <w:r>
        <w:rPr>
          <w:sz w:val="24"/>
          <w:szCs w:val="24"/>
          <w:lang w:val="pt-BR"/>
        </w:rPr>
        <w:t>, a</w:t>
      </w:r>
      <w:r w:rsidRPr="00EF48A0">
        <w:rPr>
          <w:sz w:val="24"/>
          <w:szCs w:val="24"/>
          <w:lang w:val="pt-BR"/>
        </w:rPr>
        <w:t>rtigos de revisão foram excluídos, embora tenham sido utilizados para identificar outros estudos que não apareceram nas buscas iniciais.</w:t>
      </w:r>
    </w:p>
    <w:p w14:paraId="35B0C685" w14:textId="77777777" w:rsidR="00C106F5" w:rsidRPr="00EF48A0" w:rsidRDefault="00C106F5" w:rsidP="00C106F5">
      <w:pPr>
        <w:spacing w:line="360" w:lineRule="auto"/>
        <w:ind w:firstLine="709"/>
        <w:jc w:val="both"/>
        <w:rPr>
          <w:sz w:val="24"/>
          <w:szCs w:val="24"/>
          <w:lang w:val="pt-BR"/>
        </w:rPr>
      </w:pPr>
      <w:r w:rsidRPr="00EF48A0">
        <w:rPr>
          <w:sz w:val="24"/>
          <w:szCs w:val="24"/>
          <w:lang w:val="pt-BR"/>
        </w:rPr>
        <w:t xml:space="preserve">Excluíram-se os estudos que não disponibilizaram o texto completo, literatura cinzenta, pesquisas sem listagem completa das espécies ou sem indicação clara das categorias de uso, estudos realizados no contexto de comércio, investigações de enfoque farmacológico, e trabalhos focados exclusivamente em uma única família, gênero ou espécie. Foram igualmente excluídos aqueles que tratavam apenas de espécies nativas, exóticas ou espontâneas, ou que abordavam doenças específicas. Estudos teóricos, metodológicos ou que não distinguiam claramente as espécies entre diferentes locais também foram descartadas </w:t>
      </w:r>
    </w:p>
    <w:p w14:paraId="59BCA991" w14:textId="77777777" w:rsidR="00C106F5" w:rsidRPr="00EF48A0" w:rsidRDefault="00C106F5" w:rsidP="00C106F5">
      <w:pPr>
        <w:spacing w:line="360" w:lineRule="auto"/>
        <w:ind w:firstLine="709"/>
        <w:jc w:val="both"/>
        <w:rPr>
          <w:sz w:val="24"/>
          <w:szCs w:val="24"/>
          <w:lang w:val="pt-BR"/>
        </w:rPr>
      </w:pPr>
      <w:r w:rsidRPr="00EF48A0">
        <w:rPr>
          <w:sz w:val="24"/>
          <w:szCs w:val="24"/>
          <w:lang w:val="pt-BR"/>
        </w:rPr>
        <w:t>Após a seleção dos artigos, as seguintes informações foram extraídas de cada estudo: título, ano de publicação, periódico, local do estudo, coordenadas geográficas, bioma</w:t>
      </w:r>
      <w:r>
        <w:rPr>
          <w:sz w:val="24"/>
          <w:szCs w:val="24"/>
          <w:lang w:val="pt-BR"/>
        </w:rPr>
        <w:t xml:space="preserve">, </w:t>
      </w:r>
      <w:r w:rsidRPr="00EF48A0">
        <w:rPr>
          <w:sz w:val="24"/>
          <w:szCs w:val="24"/>
          <w:lang w:val="pt-BR"/>
        </w:rPr>
        <w:t>regiões do Brasil</w:t>
      </w:r>
      <w:r>
        <w:rPr>
          <w:sz w:val="24"/>
          <w:szCs w:val="24"/>
          <w:lang w:val="pt-BR"/>
        </w:rPr>
        <w:t xml:space="preserve"> e a lista de espécies citadas</w:t>
      </w:r>
      <w:r w:rsidRPr="00EF48A0">
        <w:rPr>
          <w:sz w:val="24"/>
          <w:szCs w:val="24"/>
          <w:lang w:val="pt-BR"/>
        </w:rPr>
        <w:t>.</w:t>
      </w:r>
    </w:p>
    <w:p w14:paraId="35C203EE" w14:textId="77777777" w:rsidR="00C106F5" w:rsidRDefault="00C106F5" w:rsidP="00C106F5">
      <w:pPr>
        <w:spacing w:line="360" w:lineRule="auto"/>
        <w:ind w:firstLine="709"/>
        <w:jc w:val="both"/>
        <w:rPr>
          <w:sz w:val="24"/>
          <w:szCs w:val="24"/>
          <w:lang w:val="pt-BR"/>
        </w:rPr>
      </w:pPr>
      <w:r w:rsidRPr="00EF48A0">
        <w:rPr>
          <w:sz w:val="24"/>
          <w:szCs w:val="24"/>
          <w:lang w:val="pt-BR"/>
        </w:rPr>
        <w:t>Os locais dos estudos foram categorizados em três grupos principais: Ambientes Urbanos, Ambientes Rurais (ausentes de comunidades tradicionais) e Povos Indígenas, Quilombolas e Comunidades Tradicionais (PIQCT)</w:t>
      </w:r>
      <w:r>
        <w:rPr>
          <w:sz w:val="24"/>
          <w:szCs w:val="24"/>
          <w:lang w:val="pt-BR"/>
        </w:rPr>
        <w:t>, e</w:t>
      </w:r>
      <w:r w:rsidRPr="00EF48A0">
        <w:rPr>
          <w:sz w:val="24"/>
          <w:szCs w:val="24"/>
          <w:lang w:val="pt-BR"/>
        </w:rPr>
        <w:t>sta classificação foi baseada na caracterização do local feita pelos próprios autores dos estudos.</w:t>
      </w:r>
    </w:p>
    <w:p w14:paraId="6F1D9CA5" w14:textId="77777777" w:rsidR="00C106F5" w:rsidRDefault="00C106F5" w:rsidP="00C106F5">
      <w:pPr>
        <w:pBdr>
          <w:bottom w:val="none" w:sz="0" w:space="8" w:color="000000"/>
        </w:pBdr>
        <w:shd w:val="clear" w:color="auto" w:fill="FFFFFF"/>
        <w:tabs>
          <w:tab w:val="left" w:pos="2500"/>
        </w:tabs>
        <w:spacing w:line="360" w:lineRule="auto"/>
        <w:rPr>
          <w:sz w:val="24"/>
          <w:szCs w:val="24"/>
          <w:lang w:val="pt-BR"/>
        </w:rPr>
      </w:pPr>
      <w:r>
        <w:rPr>
          <w:sz w:val="24"/>
          <w:szCs w:val="24"/>
          <w:lang w:val="pt-BR"/>
        </w:rPr>
        <w:t xml:space="preserve">2.2 ANÁLISE DE DADOS </w:t>
      </w:r>
      <w:r w:rsidRPr="00EF48A0">
        <w:rPr>
          <w:sz w:val="24"/>
          <w:szCs w:val="24"/>
          <w:lang w:val="pt-BR"/>
        </w:rPr>
        <w:t xml:space="preserve"> </w:t>
      </w:r>
    </w:p>
    <w:p w14:paraId="5E0F6851" w14:textId="77777777" w:rsidR="00C106F5" w:rsidRPr="00EF48A0" w:rsidRDefault="00C106F5" w:rsidP="00C106F5">
      <w:pPr>
        <w:spacing w:line="360" w:lineRule="auto"/>
        <w:ind w:firstLine="709"/>
        <w:jc w:val="both"/>
        <w:rPr>
          <w:sz w:val="24"/>
          <w:szCs w:val="24"/>
          <w:lang w:val="pt-BR"/>
        </w:rPr>
      </w:pPr>
      <w:r>
        <w:rPr>
          <w:sz w:val="24"/>
          <w:szCs w:val="24"/>
          <w:lang w:val="pt-BR"/>
        </w:rPr>
        <w:t xml:space="preserve">Todas as informações foram tabuladas em planilhas eletrônicas, as listas de espécies dos trabalhos foram atualizadas e padronizadas segundo os nomes científicos pelo pacote Flora (Carvalho, 2022) e os dados analisados com estatística descritiva. </w:t>
      </w:r>
    </w:p>
    <w:p w14:paraId="1021C75E" w14:textId="77777777" w:rsidR="00C106F5" w:rsidRPr="00722E71" w:rsidRDefault="00C106F5" w:rsidP="00C106F5">
      <w:pPr>
        <w:spacing w:before="240"/>
        <w:jc w:val="both"/>
        <w:rPr>
          <w:b/>
          <w:bCs/>
          <w:sz w:val="24"/>
          <w:szCs w:val="24"/>
          <w:lang w:val="pt-BR"/>
        </w:rPr>
      </w:pPr>
      <w:r>
        <w:rPr>
          <w:b/>
          <w:bCs/>
          <w:sz w:val="24"/>
          <w:szCs w:val="24"/>
          <w:lang w:val="pt-BR"/>
        </w:rPr>
        <w:lastRenderedPageBreak/>
        <w:t xml:space="preserve">3. </w:t>
      </w:r>
      <w:r w:rsidRPr="00722E71">
        <w:rPr>
          <w:b/>
          <w:bCs/>
          <w:sz w:val="24"/>
          <w:szCs w:val="24"/>
          <w:lang w:val="pt-BR"/>
        </w:rPr>
        <w:t>RESULTADOS E DISCU</w:t>
      </w:r>
      <w:r>
        <w:rPr>
          <w:b/>
          <w:bCs/>
          <w:sz w:val="24"/>
          <w:szCs w:val="24"/>
          <w:lang w:val="pt-BR"/>
        </w:rPr>
        <w:t>S</w:t>
      </w:r>
      <w:r w:rsidRPr="00722E71">
        <w:rPr>
          <w:b/>
          <w:bCs/>
          <w:sz w:val="24"/>
          <w:szCs w:val="24"/>
          <w:lang w:val="pt-BR"/>
        </w:rPr>
        <w:t>SÃO</w:t>
      </w:r>
    </w:p>
    <w:p w14:paraId="7AEA0FC0" w14:textId="77777777" w:rsidR="00C106F5" w:rsidRPr="00DC530F" w:rsidRDefault="00C106F5" w:rsidP="00C106F5">
      <w:pPr>
        <w:spacing w:line="360" w:lineRule="auto"/>
        <w:ind w:firstLine="709"/>
        <w:jc w:val="both"/>
        <w:rPr>
          <w:sz w:val="24"/>
          <w:szCs w:val="24"/>
          <w:lang w:val="pt-BR"/>
        </w:rPr>
      </w:pPr>
      <w:r w:rsidRPr="00DC530F">
        <w:rPr>
          <w:sz w:val="24"/>
          <w:szCs w:val="24"/>
          <w:lang w:val="pt-BR"/>
        </w:rPr>
        <w:t>A busca nas bases de dados resultou em 1.663 estudos, dos quais 188 artigos foram selecionados para esta revisão</w:t>
      </w:r>
      <w:r>
        <w:rPr>
          <w:sz w:val="24"/>
          <w:szCs w:val="24"/>
          <w:lang w:val="pt-BR"/>
        </w:rPr>
        <w:t>,</w:t>
      </w:r>
      <w:r w:rsidRPr="00DC530F">
        <w:rPr>
          <w:sz w:val="24"/>
          <w:szCs w:val="24"/>
          <w:lang w:val="pt-BR"/>
        </w:rPr>
        <w:t xml:space="preserve"> </w:t>
      </w:r>
      <w:r>
        <w:rPr>
          <w:sz w:val="24"/>
          <w:szCs w:val="24"/>
          <w:lang w:val="pt-BR"/>
        </w:rPr>
        <w:t>o</w:t>
      </w:r>
      <w:r w:rsidRPr="00DC530F">
        <w:rPr>
          <w:sz w:val="24"/>
          <w:szCs w:val="24"/>
          <w:lang w:val="pt-BR"/>
        </w:rPr>
        <w:t xml:space="preserve"> primeiro estudo sobre o tema foi publicado em 1992, e as publicações aumentaram significativamente a partir dos anos 2000, com 2010 sendo o ano com o maior número de publicações (16 artigos)</w:t>
      </w:r>
      <w:r>
        <w:rPr>
          <w:sz w:val="24"/>
          <w:szCs w:val="24"/>
          <w:lang w:val="pt-BR"/>
        </w:rPr>
        <w:t>, a</w:t>
      </w:r>
      <w:r w:rsidRPr="00DC530F">
        <w:rPr>
          <w:sz w:val="24"/>
          <w:szCs w:val="24"/>
          <w:lang w:val="pt-BR"/>
        </w:rPr>
        <w:t xml:space="preserve"> média anual de artigos publicados foi de 6,78.</w:t>
      </w:r>
    </w:p>
    <w:p w14:paraId="006B3835" w14:textId="77777777" w:rsidR="00C106F5" w:rsidRDefault="00C106F5" w:rsidP="00C106F5">
      <w:pPr>
        <w:spacing w:line="360" w:lineRule="auto"/>
        <w:ind w:firstLine="709"/>
        <w:jc w:val="both"/>
        <w:rPr>
          <w:sz w:val="24"/>
          <w:szCs w:val="24"/>
          <w:lang w:val="pt-BR"/>
        </w:rPr>
      </w:pPr>
      <w:r w:rsidRPr="00DC530F">
        <w:rPr>
          <w:sz w:val="24"/>
          <w:szCs w:val="24"/>
          <w:lang w:val="pt-BR"/>
        </w:rPr>
        <w:t xml:space="preserve">Conforme Simões e Schenkel (2002), em 2001, a imprensa brasileira destacou o grande potencial econômico dos recursos naturais, com as terapias à base de plantas medicinais movimentando cerca de US$ 500 milhões no Brasil em 2002. </w:t>
      </w:r>
    </w:p>
    <w:p w14:paraId="2C57FBAF" w14:textId="77777777" w:rsidR="00C106F5" w:rsidRPr="00DC530F" w:rsidRDefault="00C106F5" w:rsidP="00C106F5">
      <w:pPr>
        <w:spacing w:line="360" w:lineRule="auto"/>
        <w:ind w:firstLine="709"/>
        <w:jc w:val="both"/>
        <w:rPr>
          <w:sz w:val="24"/>
          <w:szCs w:val="24"/>
          <w:lang w:val="pt-BR"/>
        </w:rPr>
      </w:pPr>
      <w:r w:rsidRPr="00DC530F">
        <w:rPr>
          <w:sz w:val="24"/>
          <w:szCs w:val="24"/>
          <w:lang w:val="pt-BR"/>
        </w:rPr>
        <w:t>O interesse em fitoterápicos impulsionou o desenvolvimento econômico e científico no setor</w:t>
      </w:r>
      <w:r>
        <w:rPr>
          <w:sz w:val="24"/>
          <w:szCs w:val="24"/>
          <w:lang w:val="pt-BR"/>
        </w:rPr>
        <w:t>, A</w:t>
      </w:r>
      <w:r w:rsidRPr="00DC530F">
        <w:rPr>
          <w:sz w:val="24"/>
          <w:szCs w:val="24"/>
          <w:lang w:val="pt-BR"/>
        </w:rPr>
        <w:t>lbuquerque e Hanazaki (2006) apontam que, na mesma época, as pesquisas científicas que integram conhecimentos tradicionais sobre o uso de plantas viviam um momento de grande produção, cenário que se mantém relevante até hoje.</w:t>
      </w:r>
    </w:p>
    <w:p w14:paraId="465F256B" w14:textId="77777777" w:rsidR="00C106F5" w:rsidRDefault="00C106F5" w:rsidP="00C106F5">
      <w:pPr>
        <w:spacing w:line="360" w:lineRule="auto"/>
        <w:ind w:firstLine="709"/>
        <w:jc w:val="both"/>
        <w:rPr>
          <w:sz w:val="24"/>
          <w:szCs w:val="24"/>
          <w:lang w:val="pt-BR"/>
        </w:rPr>
      </w:pPr>
      <w:r w:rsidRPr="00DC530F">
        <w:rPr>
          <w:sz w:val="24"/>
          <w:szCs w:val="24"/>
          <w:lang w:val="pt-BR"/>
        </w:rPr>
        <w:t>O crescimento no número de publicações científicas sobre plantas medicinais reflete a necessidade de base científica sólida para o desenvolvimento e comercialização de fitoterápicos</w:t>
      </w:r>
      <w:r>
        <w:rPr>
          <w:sz w:val="24"/>
          <w:szCs w:val="24"/>
          <w:lang w:val="pt-BR"/>
        </w:rPr>
        <w:t>, n</w:t>
      </w:r>
      <w:r w:rsidRPr="00DC530F">
        <w:rPr>
          <w:sz w:val="24"/>
          <w:szCs w:val="24"/>
          <w:lang w:val="pt-BR"/>
        </w:rPr>
        <w:t xml:space="preserve">o entanto, o número de artigos publicados ainda é insuficiente, considerando o vasto potencial da biodiversidade brasileira. </w:t>
      </w:r>
    </w:p>
    <w:p w14:paraId="4B2B4BBB" w14:textId="77777777" w:rsidR="00C106F5" w:rsidRPr="00DC530F" w:rsidRDefault="00C106F5" w:rsidP="00C106F5">
      <w:pPr>
        <w:spacing w:line="360" w:lineRule="auto"/>
        <w:ind w:firstLine="709"/>
        <w:jc w:val="both"/>
        <w:rPr>
          <w:sz w:val="24"/>
          <w:szCs w:val="24"/>
          <w:lang w:val="pt-BR"/>
        </w:rPr>
      </w:pPr>
      <w:r w:rsidRPr="00DC530F">
        <w:rPr>
          <w:sz w:val="24"/>
          <w:szCs w:val="24"/>
          <w:lang w:val="pt-BR"/>
        </w:rPr>
        <w:t>Isso é corroborado por estudos como os de Carneiro et al. (2014), Zago e Moura (2018), e De Souza et al. (2019), que também indicam uma tendência de crescimento nas publicações, mas ressaltam desafios como a falta de financiamento e infraestrutura.</w:t>
      </w:r>
    </w:p>
    <w:p w14:paraId="57051C99" w14:textId="77777777" w:rsidR="00C106F5" w:rsidRPr="00DC530F" w:rsidRDefault="00C106F5" w:rsidP="00C106F5">
      <w:pPr>
        <w:spacing w:line="360" w:lineRule="auto"/>
        <w:ind w:firstLine="709"/>
        <w:jc w:val="both"/>
        <w:rPr>
          <w:sz w:val="24"/>
          <w:szCs w:val="24"/>
          <w:lang w:val="pt-BR"/>
        </w:rPr>
      </w:pPr>
      <w:r w:rsidRPr="00DC530F">
        <w:rPr>
          <w:sz w:val="24"/>
          <w:szCs w:val="24"/>
          <w:lang w:val="pt-BR"/>
        </w:rPr>
        <w:t>Elisabetsky (2003) destaca a importância de registrar o conhecimento tradicional sobre o uso de plantas medicinais, não só para preservar saberes, mas também para promover a descoberta de novos medicamentos e práticas sustentáveis. Outro ponto relevante é a predominância de pesquisas realizadas por estrangeiros em algumas regiões da América Latina (Oliveira et al., 2009), embora o Brasil possua um número expressivo de pesquisas conduzidas por cientistas nacionais.</w:t>
      </w:r>
    </w:p>
    <w:p w14:paraId="7A270759" w14:textId="77777777" w:rsidR="00C106F5" w:rsidRPr="00DC530F" w:rsidRDefault="00C106F5" w:rsidP="00C106F5">
      <w:pPr>
        <w:spacing w:line="360" w:lineRule="auto"/>
        <w:ind w:firstLine="709"/>
        <w:jc w:val="both"/>
        <w:rPr>
          <w:sz w:val="24"/>
          <w:szCs w:val="24"/>
          <w:lang w:val="pt-BR"/>
        </w:rPr>
      </w:pPr>
      <w:r w:rsidRPr="00DC530F">
        <w:rPr>
          <w:sz w:val="24"/>
          <w:szCs w:val="24"/>
          <w:lang w:val="pt-BR"/>
        </w:rPr>
        <w:t>Quanto à distribuição geográfica das publicações</w:t>
      </w:r>
      <w:r>
        <w:rPr>
          <w:sz w:val="24"/>
          <w:szCs w:val="24"/>
          <w:lang w:val="pt-BR"/>
        </w:rPr>
        <w:t xml:space="preserve">, </w:t>
      </w:r>
      <w:r w:rsidRPr="00DC530F">
        <w:rPr>
          <w:sz w:val="24"/>
          <w:szCs w:val="24"/>
          <w:lang w:val="pt-BR"/>
        </w:rPr>
        <w:t>a região Nordeste lidera com 91 artigos (47,8%), seguida pela região Sudeste com 34 (17,9%). O destaque do Nordeste pode ser atribuído à presença de instituições de pesquisa, como o Programa de Pós-Graduação em Etnobiologia e Conservação da Natureza da Universidade Federal Rural de Pernambuco, que tem gerado um número significativo de publicações.</w:t>
      </w:r>
    </w:p>
    <w:p w14:paraId="4651E581" w14:textId="77777777" w:rsidR="00C106F5" w:rsidRDefault="00C106F5" w:rsidP="00C106F5">
      <w:pPr>
        <w:pBdr>
          <w:bottom w:val="none" w:sz="0" w:space="8" w:color="000000"/>
        </w:pBdr>
        <w:shd w:val="clear" w:color="auto" w:fill="FFFFFF"/>
        <w:spacing w:line="360" w:lineRule="auto"/>
        <w:ind w:firstLine="709"/>
        <w:jc w:val="both"/>
        <w:rPr>
          <w:sz w:val="24"/>
          <w:szCs w:val="24"/>
          <w:lang w:val="pt-BR"/>
        </w:rPr>
      </w:pPr>
      <w:r w:rsidRPr="00804A8D">
        <w:rPr>
          <w:sz w:val="24"/>
          <w:szCs w:val="24"/>
          <w:lang w:val="pt-BR"/>
        </w:rPr>
        <w:t xml:space="preserve">Em relação aos biomas, a Mata Atlântica teve o maior número de estudos (65), seguida </w:t>
      </w:r>
      <w:r w:rsidRPr="00804A8D">
        <w:rPr>
          <w:sz w:val="24"/>
          <w:szCs w:val="24"/>
          <w:lang w:val="pt-BR"/>
        </w:rPr>
        <w:lastRenderedPageBreak/>
        <w:t>pela Caatinga (58), o que está alinhado com pesquisas anteriores que apontaram esses biomas como os mais investigados. Em termos de ambientes, 58,9% dos estudos foram realizados em áreas rurais (ausentes de comunidades tradicionais), seguidos por 26,3% em comunidades indígenas, quilombolas e tradicionais, e 14,7% em áreas urbanas.</w:t>
      </w:r>
    </w:p>
    <w:p w14:paraId="4EDE6F96" w14:textId="77777777" w:rsidR="00C106F5" w:rsidRPr="00915841" w:rsidRDefault="00C106F5" w:rsidP="00C106F5">
      <w:pPr>
        <w:pBdr>
          <w:bottom w:val="none" w:sz="0" w:space="8" w:color="000000"/>
        </w:pBdr>
        <w:shd w:val="clear" w:color="auto" w:fill="FFFFFF"/>
        <w:spacing w:line="360" w:lineRule="auto"/>
        <w:ind w:firstLine="709"/>
        <w:jc w:val="both"/>
        <w:rPr>
          <w:sz w:val="24"/>
          <w:szCs w:val="24"/>
          <w:lang w:val="pt-BR"/>
        </w:rPr>
      </w:pPr>
      <w:r w:rsidRPr="00915841">
        <w:rPr>
          <w:sz w:val="24"/>
          <w:szCs w:val="24"/>
          <w:lang w:val="pt-BR"/>
        </w:rPr>
        <w:t>A análise dos 188 estudos revisados identificou um total de 2.348 espécies de plantas medicinais, distribuídas entre 176 famílias e 1.016 gêneros, as famílias com maior representatividade foram Fabaceae (300 espécies), Asteraceae (146 espécies) e Euphorbiaceae (90 espécies).</w:t>
      </w:r>
    </w:p>
    <w:p w14:paraId="466BB2A5" w14:textId="77777777" w:rsidR="00C106F5" w:rsidRDefault="00C106F5" w:rsidP="00C106F5">
      <w:pPr>
        <w:pBdr>
          <w:bottom w:val="none" w:sz="0" w:space="8" w:color="000000"/>
        </w:pBdr>
        <w:shd w:val="clear" w:color="auto" w:fill="FFFFFF"/>
        <w:spacing w:line="360" w:lineRule="auto"/>
        <w:ind w:firstLine="709"/>
        <w:jc w:val="both"/>
        <w:rPr>
          <w:sz w:val="24"/>
          <w:szCs w:val="24"/>
          <w:lang w:val="pt-BR"/>
        </w:rPr>
      </w:pPr>
      <w:r w:rsidRPr="00915841">
        <w:rPr>
          <w:sz w:val="24"/>
          <w:szCs w:val="24"/>
          <w:lang w:val="pt-BR"/>
        </w:rPr>
        <w:t>Esses resultados reforçam a importância dessas famílias botânicas, que são frequentemente destacadas em pesquisas etnobotânicas pela sua relevância medicinal, como também observado por Menendez-Baceta et al. (2012) e Sardeshpande e Shackleton (2020), que identificaram o papel similar de famílias botânicas amplamente utilizadas em regiões tropicais e subtropicais.</w:t>
      </w:r>
    </w:p>
    <w:p w14:paraId="2CB14606" w14:textId="77777777" w:rsidR="00C106F5" w:rsidRDefault="00C106F5" w:rsidP="00C106F5">
      <w:pPr>
        <w:pBdr>
          <w:bottom w:val="none" w:sz="0" w:space="8" w:color="000000"/>
        </w:pBdr>
        <w:shd w:val="clear" w:color="auto" w:fill="FFFFFF"/>
        <w:spacing w:line="360" w:lineRule="auto"/>
        <w:ind w:firstLine="709"/>
        <w:jc w:val="both"/>
        <w:rPr>
          <w:sz w:val="24"/>
          <w:szCs w:val="24"/>
          <w:lang w:val="pt-BR"/>
        </w:rPr>
      </w:pPr>
      <w:r w:rsidRPr="00B11F73">
        <w:rPr>
          <w:sz w:val="24"/>
          <w:szCs w:val="24"/>
          <w:lang w:val="pt-BR"/>
        </w:rPr>
        <w:t xml:space="preserve">Entre os gêneros mais frequentes identificados nos estudos, destacam-se </w:t>
      </w:r>
      <w:r w:rsidRPr="00B11F73">
        <w:rPr>
          <w:i/>
          <w:iCs/>
          <w:sz w:val="24"/>
          <w:szCs w:val="24"/>
          <w:lang w:val="pt-BR"/>
        </w:rPr>
        <w:t>Solanum</w:t>
      </w:r>
      <w:r w:rsidRPr="00B11F73">
        <w:rPr>
          <w:sz w:val="24"/>
          <w:szCs w:val="24"/>
          <w:lang w:val="pt-BR"/>
        </w:rPr>
        <w:t xml:space="preserve"> (42 espécies), </w:t>
      </w:r>
      <w:r w:rsidRPr="00B11F73">
        <w:rPr>
          <w:i/>
          <w:iCs/>
          <w:sz w:val="24"/>
          <w:szCs w:val="24"/>
          <w:lang w:val="pt-BR"/>
        </w:rPr>
        <w:t>Senna</w:t>
      </w:r>
      <w:r w:rsidRPr="00B11F73">
        <w:rPr>
          <w:sz w:val="24"/>
          <w:szCs w:val="24"/>
          <w:lang w:val="pt-BR"/>
        </w:rPr>
        <w:t xml:space="preserve"> (32 espécies) e </w:t>
      </w:r>
      <w:r w:rsidRPr="00B11F73">
        <w:rPr>
          <w:i/>
          <w:iCs/>
          <w:sz w:val="24"/>
          <w:szCs w:val="24"/>
          <w:lang w:val="pt-BR"/>
        </w:rPr>
        <w:t>Piper</w:t>
      </w:r>
      <w:r w:rsidRPr="00B11F73">
        <w:rPr>
          <w:sz w:val="24"/>
          <w:szCs w:val="24"/>
          <w:lang w:val="pt-BR"/>
        </w:rPr>
        <w:t xml:space="preserve"> (25 espécies)</w:t>
      </w:r>
      <w:r>
        <w:rPr>
          <w:sz w:val="24"/>
          <w:szCs w:val="24"/>
          <w:lang w:val="pt-BR"/>
        </w:rPr>
        <w:t>, e</w:t>
      </w:r>
      <w:r w:rsidRPr="00B11F73">
        <w:rPr>
          <w:sz w:val="24"/>
          <w:szCs w:val="24"/>
          <w:lang w:val="pt-BR"/>
        </w:rPr>
        <w:t xml:space="preserve">mbora </w:t>
      </w:r>
      <w:r w:rsidRPr="00B11F73">
        <w:rPr>
          <w:i/>
          <w:iCs/>
          <w:sz w:val="24"/>
          <w:szCs w:val="24"/>
          <w:lang w:val="pt-BR"/>
        </w:rPr>
        <w:t>Solanum</w:t>
      </w:r>
      <w:r w:rsidRPr="00B11F73">
        <w:rPr>
          <w:sz w:val="24"/>
          <w:szCs w:val="24"/>
          <w:lang w:val="pt-BR"/>
        </w:rPr>
        <w:t xml:space="preserve"> não pertença às famílias mais representativas encontradas no levantamento, sua predominância pode ser explicada por sua grande diversidade e ampla distribuição global</w:t>
      </w:r>
      <w:r>
        <w:rPr>
          <w:sz w:val="24"/>
          <w:szCs w:val="24"/>
          <w:lang w:val="pt-BR"/>
        </w:rPr>
        <w:t>, a</w:t>
      </w:r>
      <w:r w:rsidRPr="00B11F73">
        <w:rPr>
          <w:sz w:val="24"/>
          <w:szCs w:val="24"/>
          <w:lang w:val="pt-BR"/>
        </w:rPr>
        <w:t xml:space="preserve">lém disso, o uso medicinal consolidado de </w:t>
      </w:r>
      <w:r w:rsidRPr="00B11F73">
        <w:rPr>
          <w:i/>
          <w:iCs/>
          <w:sz w:val="24"/>
          <w:szCs w:val="24"/>
          <w:lang w:val="pt-BR"/>
        </w:rPr>
        <w:t>Solanum</w:t>
      </w:r>
      <w:r>
        <w:rPr>
          <w:i/>
          <w:iCs/>
          <w:sz w:val="24"/>
          <w:szCs w:val="24"/>
          <w:lang w:val="pt-BR"/>
        </w:rPr>
        <w:t xml:space="preserve"> sp.</w:t>
      </w:r>
      <w:r w:rsidRPr="00B11F73">
        <w:rPr>
          <w:sz w:val="24"/>
          <w:szCs w:val="24"/>
          <w:lang w:val="pt-BR"/>
        </w:rPr>
        <w:t xml:space="preserve"> em diferentes culturas reforça sua relevância nos estudos etnobotânicos. </w:t>
      </w:r>
    </w:p>
    <w:p w14:paraId="27D8251B" w14:textId="77777777" w:rsidR="00C106F5" w:rsidRDefault="00C106F5" w:rsidP="00C106F5">
      <w:pPr>
        <w:pBdr>
          <w:bottom w:val="none" w:sz="0" w:space="8" w:color="000000"/>
        </w:pBdr>
        <w:shd w:val="clear" w:color="auto" w:fill="FFFFFF"/>
        <w:spacing w:line="360" w:lineRule="auto"/>
        <w:ind w:firstLine="709"/>
        <w:jc w:val="both"/>
        <w:rPr>
          <w:lang w:val="pt-BR"/>
        </w:rPr>
      </w:pPr>
      <w:r w:rsidRPr="00B11F73">
        <w:rPr>
          <w:sz w:val="24"/>
          <w:szCs w:val="24"/>
          <w:lang w:val="pt-BR"/>
        </w:rPr>
        <w:t xml:space="preserve">Diversas espécies desse gênero são amplamente utilizadas na medicina tradicional para o tratamento de condições como inflamações, doenças respiratórias e até câncer de pele. Estudos recentes apontam para o papel contínuo de </w:t>
      </w:r>
      <w:r w:rsidRPr="00B11F73">
        <w:rPr>
          <w:i/>
          <w:iCs/>
          <w:sz w:val="24"/>
          <w:szCs w:val="24"/>
          <w:lang w:val="pt-BR"/>
        </w:rPr>
        <w:t>Solanum</w:t>
      </w:r>
      <w:r w:rsidRPr="00B11F73">
        <w:rPr>
          <w:sz w:val="24"/>
          <w:szCs w:val="24"/>
          <w:lang w:val="pt-BR"/>
        </w:rPr>
        <w:t xml:space="preserve"> na fitoterapia moderna, graças à sua versatilidade, facilidade de cultivo e eficácia medicinal, o que o torna um dos gêneros mais estudados e utilizados no contexto das plantas medicinais (Naseem et al., 2023; Thakur et al., 2024; Gafforov et al., 2024).</w:t>
      </w:r>
      <w:r>
        <w:rPr>
          <w:lang w:val="pt-BR"/>
        </w:rPr>
        <w:tab/>
      </w:r>
    </w:p>
    <w:p w14:paraId="2A1436E1" w14:textId="77777777" w:rsidR="00C106F5" w:rsidRDefault="00C106F5" w:rsidP="00C106F5">
      <w:pPr>
        <w:pBdr>
          <w:bottom w:val="none" w:sz="0" w:space="8" w:color="000000"/>
        </w:pBdr>
        <w:shd w:val="clear" w:color="auto" w:fill="FFFFFF"/>
        <w:spacing w:line="360" w:lineRule="auto"/>
        <w:ind w:firstLine="709"/>
        <w:jc w:val="both"/>
        <w:rPr>
          <w:sz w:val="24"/>
          <w:szCs w:val="24"/>
          <w:lang w:val="pt-BR"/>
        </w:rPr>
      </w:pPr>
      <w:r w:rsidRPr="00B11F73">
        <w:rPr>
          <w:sz w:val="24"/>
          <w:szCs w:val="24"/>
          <w:lang w:val="pt-BR"/>
        </w:rPr>
        <w:t xml:space="preserve">No que se refere à riqueza de espécies conforme o tipo de local de estudo, as áreas rurais ausentes de comunidades tradicionais apresentaram a maior diversidade de espécies, com uma média de 95,16 ± 62,83 espécies por estudo, seguidas pelas áreas urbanas (86,64 ± 54,95) e por estudos realizados em Povos Indígenas, Quilombolas e Comunidades Tradicionais (PIQTC), que apresentaram uma média de 74,16 ± 43,19 espécies. </w:t>
      </w:r>
    </w:p>
    <w:p w14:paraId="648A26CF" w14:textId="77777777" w:rsidR="00C106F5" w:rsidRDefault="00C106F5" w:rsidP="00C106F5">
      <w:pPr>
        <w:pBdr>
          <w:bottom w:val="none" w:sz="0" w:space="8" w:color="000000"/>
        </w:pBdr>
        <w:shd w:val="clear" w:color="auto" w:fill="FFFFFF"/>
        <w:spacing w:line="360" w:lineRule="auto"/>
        <w:ind w:firstLine="709"/>
        <w:jc w:val="both"/>
        <w:rPr>
          <w:sz w:val="24"/>
          <w:szCs w:val="24"/>
          <w:lang w:val="pt-BR"/>
        </w:rPr>
      </w:pPr>
      <w:r w:rsidRPr="00B11F73">
        <w:rPr>
          <w:sz w:val="24"/>
          <w:szCs w:val="24"/>
          <w:lang w:val="pt-BR"/>
        </w:rPr>
        <w:t xml:space="preserve">Estudos recentes sobre a diversidade de plantas medicinais em áreas urbanas e rurais indicam que, apesar das diferenças no acesso à biodiversidade natural, o conhecimento e o uso </w:t>
      </w:r>
      <w:r w:rsidRPr="00B11F73">
        <w:rPr>
          <w:sz w:val="24"/>
          <w:szCs w:val="24"/>
          <w:lang w:val="pt-BR"/>
        </w:rPr>
        <w:lastRenderedPageBreak/>
        <w:t>dessas plantas se mantêm relativamente semelhantes entre esses contextos (Costa e Marinho, 2016).</w:t>
      </w:r>
      <w:r>
        <w:rPr>
          <w:sz w:val="24"/>
          <w:szCs w:val="24"/>
          <w:lang w:val="pt-BR"/>
        </w:rPr>
        <w:t xml:space="preserve"> </w:t>
      </w:r>
    </w:p>
    <w:p w14:paraId="22FFC192" w14:textId="77777777" w:rsidR="00C106F5" w:rsidRPr="00B11F73" w:rsidRDefault="00C106F5" w:rsidP="00C106F5">
      <w:pPr>
        <w:pBdr>
          <w:bottom w:val="none" w:sz="0" w:space="8" w:color="000000"/>
        </w:pBdr>
        <w:shd w:val="clear" w:color="auto" w:fill="FFFFFF"/>
        <w:spacing w:line="360" w:lineRule="auto"/>
        <w:ind w:firstLine="709"/>
        <w:jc w:val="both"/>
        <w:rPr>
          <w:sz w:val="24"/>
          <w:szCs w:val="24"/>
          <w:lang w:val="pt-BR"/>
        </w:rPr>
      </w:pPr>
      <w:r w:rsidRPr="00B11F73">
        <w:rPr>
          <w:sz w:val="24"/>
          <w:szCs w:val="24"/>
          <w:lang w:val="pt-BR"/>
        </w:rPr>
        <w:t xml:space="preserve">Pesquisas realizadas no México sugerem que as áreas urbanas, embora menos conectadas diretamente a ambientes naturais, preservam um conhecimento considerável sobre o uso de plantas medicinais, muitas vezes devido à comercialização e transmissão cultural nos mercados tradicionais (Arjona-García et al., 2021). </w:t>
      </w:r>
    </w:p>
    <w:p w14:paraId="48B1C6DF" w14:textId="77777777" w:rsidR="00C106F5" w:rsidRDefault="00C106F5" w:rsidP="00C106F5">
      <w:pPr>
        <w:spacing w:line="360" w:lineRule="auto"/>
        <w:ind w:firstLine="709"/>
        <w:jc w:val="both"/>
        <w:rPr>
          <w:sz w:val="24"/>
          <w:szCs w:val="24"/>
          <w:lang w:val="pt-BR"/>
        </w:rPr>
      </w:pPr>
      <w:r>
        <w:rPr>
          <w:lang w:val="pt-BR"/>
        </w:rPr>
        <w:tab/>
      </w:r>
      <w:r w:rsidRPr="00B11F73">
        <w:rPr>
          <w:sz w:val="24"/>
          <w:szCs w:val="24"/>
          <w:lang w:val="pt-BR"/>
        </w:rPr>
        <w:t>De forma semelhante, um estudo realizado na Etiópia mostrou que o uso de plantas medicinais em áreas rurais e urbanas não apresenta variações significativas, reforçando a ideia de que os padrões de uso dessas plantas são amplamente homogêneos, mesmo em diferentes contextos socioeconômicos e geográficos (Awoke et al, 2024).</w:t>
      </w:r>
    </w:p>
    <w:p w14:paraId="672721C4" w14:textId="77777777" w:rsidR="00C106F5" w:rsidRPr="00B11F73" w:rsidRDefault="00C106F5" w:rsidP="00C106F5">
      <w:pPr>
        <w:spacing w:line="360" w:lineRule="auto"/>
        <w:ind w:firstLine="709"/>
        <w:jc w:val="both"/>
        <w:rPr>
          <w:sz w:val="24"/>
          <w:szCs w:val="24"/>
          <w:lang w:val="pt-BR"/>
        </w:rPr>
      </w:pPr>
      <w:r w:rsidRPr="00B11F73">
        <w:rPr>
          <w:sz w:val="24"/>
          <w:szCs w:val="24"/>
          <w:lang w:val="pt-BR"/>
        </w:rPr>
        <w:t xml:space="preserve"> Assim, tanto os ambientes urbanos quanto os rurais desempenham papéis importantes na manutenção da diversidade agrícola da região, sendo que as áreas urbanas surgem como centros de inovação agrícola, apesar dos desafios associados à intensificação do uso da terra (Emperaire &amp; Eloy, 2008).</w:t>
      </w:r>
    </w:p>
    <w:p w14:paraId="6347445A" w14:textId="77777777" w:rsidR="00C106F5" w:rsidRDefault="00C106F5" w:rsidP="00C106F5">
      <w:pPr>
        <w:spacing w:line="360" w:lineRule="auto"/>
        <w:ind w:firstLine="709"/>
        <w:jc w:val="both"/>
        <w:rPr>
          <w:sz w:val="24"/>
          <w:szCs w:val="24"/>
          <w:lang w:val="pt-BR"/>
        </w:rPr>
      </w:pPr>
      <w:r>
        <w:rPr>
          <w:lang w:val="pt-BR"/>
        </w:rPr>
        <w:tab/>
      </w:r>
      <w:r w:rsidRPr="002F4740">
        <w:rPr>
          <w:sz w:val="24"/>
          <w:szCs w:val="24"/>
          <w:lang w:val="pt-BR"/>
        </w:rPr>
        <w:t>Apesar do crescente número de estudos, ainda há lacunas significativas, especialmente no que se refere à etnobotânica urbana, que é um campo em desenvolvimento no Brasil</w:t>
      </w:r>
      <w:r>
        <w:rPr>
          <w:sz w:val="24"/>
          <w:szCs w:val="24"/>
          <w:lang w:val="pt-BR"/>
        </w:rPr>
        <w:t>, i</w:t>
      </w:r>
      <w:r w:rsidRPr="002F4740">
        <w:rPr>
          <w:sz w:val="24"/>
          <w:szCs w:val="24"/>
          <w:lang w:val="pt-BR"/>
        </w:rPr>
        <w:t>sso sugere a necessidade de mais pesquisas para preencher essas lacunas e ampliar o conhecimento sobre o uso de plantas medicinais em diferentes contextos.</w:t>
      </w:r>
    </w:p>
    <w:p w14:paraId="40161CF8" w14:textId="77777777" w:rsidR="00C106F5" w:rsidRPr="00F66E49" w:rsidRDefault="00C106F5" w:rsidP="00C106F5">
      <w:pPr>
        <w:spacing w:line="360" w:lineRule="auto"/>
        <w:jc w:val="both"/>
        <w:rPr>
          <w:b/>
          <w:bCs/>
          <w:sz w:val="24"/>
          <w:szCs w:val="24"/>
          <w:lang w:val="pt-BR"/>
        </w:rPr>
      </w:pPr>
      <w:r w:rsidRPr="00F66E49">
        <w:rPr>
          <w:b/>
          <w:bCs/>
          <w:sz w:val="24"/>
          <w:szCs w:val="24"/>
          <w:lang w:val="pt-BR"/>
        </w:rPr>
        <w:t>4. CONCLUSÃO</w:t>
      </w:r>
    </w:p>
    <w:p w14:paraId="2B621BA1" w14:textId="77777777" w:rsidR="00C106F5" w:rsidRDefault="00C106F5" w:rsidP="00C106F5">
      <w:pPr>
        <w:spacing w:line="360" w:lineRule="auto"/>
        <w:ind w:firstLine="720"/>
        <w:jc w:val="both"/>
        <w:rPr>
          <w:sz w:val="24"/>
          <w:szCs w:val="24"/>
          <w:lang w:val="pt-BR"/>
        </w:rPr>
      </w:pPr>
      <w:r w:rsidRPr="00B8449C">
        <w:rPr>
          <w:sz w:val="24"/>
          <w:szCs w:val="24"/>
          <w:lang w:val="pt-BR"/>
        </w:rPr>
        <w:t xml:space="preserve">Este estudo permitiu uma análise abrangente sobre a distribuição geográfica e taxonômica das plantas medicinais no Brasil, destacando a diversidade presente nos diferentes biomas e tipos de ambientes. </w:t>
      </w:r>
    </w:p>
    <w:p w14:paraId="6DCAB88A" w14:textId="77777777" w:rsidR="00C106F5" w:rsidRDefault="00C106F5" w:rsidP="00C106F5">
      <w:pPr>
        <w:spacing w:line="360" w:lineRule="auto"/>
        <w:ind w:firstLine="720"/>
        <w:jc w:val="both"/>
        <w:rPr>
          <w:sz w:val="24"/>
          <w:szCs w:val="24"/>
          <w:lang w:val="pt-BR"/>
        </w:rPr>
      </w:pPr>
      <w:r w:rsidRPr="00B8449C">
        <w:rPr>
          <w:sz w:val="24"/>
          <w:szCs w:val="24"/>
          <w:lang w:val="pt-BR"/>
        </w:rPr>
        <w:t xml:space="preserve">Os resultados evidenciam que biomas como a Amazônia e o Pampa possuem uma elevada riqueza de espécies, sendo cruciais para a preservação da biodiversidade vegetal e o desenvolvimento de fitoterápicos. Além disso, os dados demonstram que tanto ambientes rurais quanto urbanos têm um papel importante na manutenção do conhecimento sobre plantas medicinais, reforçando a necessidade de mais pesquisas para preencher as lacunas existentes, especialmente em relação à etnobotânica urbana. </w:t>
      </w:r>
    </w:p>
    <w:p w14:paraId="15168A29" w14:textId="77777777" w:rsidR="00C106F5" w:rsidRPr="00B8449C" w:rsidRDefault="00C106F5" w:rsidP="00C106F5">
      <w:pPr>
        <w:spacing w:line="360" w:lineRule="auto"/>
        <w:ind w:firstLine="720"/>
        <w:jc w:val="both"/>
        <w:rPr>
          <w:sz w:val="24"/>
          <w:szCs w:val="24"/>
          <w:lang w:val="pt-BR"/>
        </w:rPr>
      </w:pPr>
      <w:r w:rsidRPr="00B8449C">
        <w:rPr>
          <w:sz w:val="24"/>
          <w:szCs w:val="24"/>
          <w:lang w:val="pt-BR"/>
        </w:rPr>
        <w:t xml:space="preserve">Por fim, a continuidade dessas investigações é fundamental para orientar políticas públicas voltadas ao uso sustentável da biodiversidade e à valorização dos conhecimentos </w:t>
      </w:r>
      <w:r w:rsidRPr="00B8449C">
        <w:rPr>
          <w:sz w:val="24"/>
          <w:szCs w:val="24"/>
          <w:lang w:val="pt-BR"/>
        </w:rPr>
        <w:lastRenderedPageBreak/>
        <w:t>tradicionais.</w:t>
      </w:r>
    </w:p>
    <w:p w14:paraId="1CBEFC79" w14:textId="77777777" w:rsidR="00C106F5" w:rsidRDefault="00C106F5" w:rsidP="00C106F5">
      <w:pPr>
        <w:spacing w:line="360" w:lineRule="auto"/>
        <w:jc w:val="both"/>
        <w:rPr>
          <w:b/>
          <w:bCs/>
          <w:sz w:val="24"/>
          <w:szCs w:val="24"/>
          <w:lang w:val="pt-BR"/>
        </w:rPr>
      </w:pPr>
      <w:r w:rsidRPr="00B20628">
        <w:rPr>
          <w:b/>
          <w:bCs/>
          <w:sz w:val="24"/>
          <w:szCs w:val="24"/>
          <w:lang w:val="pt-BR"/>
        </w:rPr>
        <w:t>REFERÊNCIAS</w:t>
      </w:r>
    </w:p>
    <w:p w14:paraId="65E85C8F" w14:textId="77777777" w:rsidR="00C106F5" w:rsidRDefault="00C106F5" w:rsidP="00C106F5">
      <w:pPr>
        <w:spacing w:after="240" w:line="360" w:lineRule="auto"/>
        <w:jc w:val="both"/>
        <w:rPr>
          <w:sz w:val="24"/>
          <w:szCs w:val="24"/>
          <w:lang w:val="pt-BR"/>
        </w:rPr>
      </w:pPr>
      <w:r w:rsidRPr="006C3B75">
        <w:rPr>
          <w:sz w:val="24"/>
          <w:szCs w:val="24"/>
          <w:lang w:val="pt-BR"/>
        </w:rPr>
        <w:t xml:space="preserve">ALBUQUERQUE, UP; HANAZAKI, N. As pesquisas etnodirigidas na descoberta de novos fármacos de interesse médico e farmacêutico: fragilidades e perspectivas. </w:t>
      </w:r>
      <w:r w:rsidRPr="006C3B75">
        <w:rPr>
          <w:b/>
          <w:bCs/>
          <w:sz w:val="24"/>
          <w:szCs w:val="24"/>
          <w:lang w:val="pt-BR"/>
        </w:rPr>
        <w:t>Revista Brasileira de Farmacognosia</w:t>
      </w:r>
      <w:r w:rsidRPr="006C3B75">
        <w:rPr>
          <w:sz w:val="24"/>
          <w:szCs w:val="24"/>
          <w:lang w:val="pt-BR"/>
        </w:rPr>
        <w:t>, v. 16, p. 678-689, 2006.</w:t>
      </w:r>
    </w:p>
    <w:p w14:paraId="1E33D968" w14:textId="77777777" w:rsidR="00C106F5" w:rsidRDefault="00C106F5" w:rsidP="00C106F5">
      <w:pPr>
        <w:spacing w:after="240" w:line="360" w:lineRule="auto"/>
        <w:jc w:val="both"/>
        <w:rPr>
          <w:sz w:val="24"/>
          <w:szCs w:val="24"/>
          <w:lang w:val="en-US"/>
        </w:rPr>
      </w:pPr>
      <w:r w:rsidRPr="00D97866">
        <w:rPr>
          <w:sz w:val="24"/>
          <w:szCs w:val="24"/>
          <w:lang w:val="pt-BR"/>
        </w:rPr>
        <w:t>ARJONA-GARCÍA, C</w:t>
      </w:r>
      <w:r>
        <w:rPr>
          <w:sz w:val="24"/>
          <w:szCs w:val="24"/>
          <w:lang w:val="pt-BR"/>
        </w:rPr>
        <w:t xml:space="preserve">. </w:t>
      </w:r>
      <w:r w:rsidRPr="00D97866">
        <w:rPr>
          <w:sz w:val="24"/>
          <w:szCs w:val="24"/>
          <w:lang w:val="pt-BR"/>
        </w:rPr>
        <w:t xml:space="preserve">et al. </w:t>
      </w:r>
      <w:r w:rsidRPr="006C3B75">
        <w:rPr>
          <w:sz w:val="24"/>
          <w:szCs w:val="24"/>
          <w:lang w:val="en-US"/>
        </w:rPr>
        <w:t xml:space="preserve">How does urbanization affect perceptions and traditional knowledge of medicinal plants?. </w:t>
      </w:r>
      <w:r w:rsidRPr="006C3B75">
        <w:rPr>
          <w:b/>
          <w:bCs/>
          <w:sz w:val="24"/>
          <w:szCs w:val="24"/>
          <w:lang w:val="en-US"/>
        </w:rPr>
        <w:t>Journal of Ethnobiology and Ethnomedicine</w:t>
      </w:r>
      <w:r w:rsidRPr="006C3B75">
        <w:rPr>
          <w:sz w:val="24"/>
          <w:szCs w:val="24"/>
          <w:lang w:val="en-US"/>
        </w:rPr>
        <w:t>, v. 17, n. 1, p. 48, 2021.</w:t>
      </w:r>
    </w:p>
    <w:p w14:paraId="46281D22" w14:textId="77777777" w:rsidR="00C106F5" w:rsidRPr="00E146D2" w:rsidRDefault="00C106F5" w:rsidP="00C106F5">
      <w:pPr>
        <w:spacing w:after="240" w:line="360" w:lineRule="auto"/>
        <w:jc w:val="both"/>
        <w:rPr>
          <w:sz w:val="24"/>
          <w:szCs w:val="24"/>
          <w:lang w:val="pt-BR"/>
        </w:rPr>
      </w:pPr>
      <w:r w:rsidRPr="006C3B75">
        <w:rPr>
          <w:sz w:val="24"/>
          <w:szCs w:val="24"/>
          <w:lang w:val="en-US"/>
        </w:rPr>
        <w:t>AWOKE, A</w:t>
      </w:r>
      <w:r>
        <w:rPr>
          <w:sz w:val="24"/>
          <w:szCs w:val="24"/>
          <w:lang w:val="en-US"/>
        </w:rPr>
        <w:t>.</w:t>
      </w:r>
      <w:r w:rsidRPr="006C3B75">
        <w:rPr>
          <w:sz w:val="24"/>
          <w:szCs w:val="24"/>
          <w:lang w:val="en-US"/>
        </w:rPr>
        <w:t xml:space="preserve"> et al. Traditionally used medicinal plants for human ailments and their threats in Guraferda District, Benchi-Sheko zone, Southwest Ethiopia. </w:t>
      </w:r>
      <w:r w:rsidRPr="00E146D2">
        <w:rPr>
          <w:b/>
          <w:bCs/>
          <w:sz w:val="24"/>
          <w:szCs w:val="24"/>
          <w:lang w:val="pt-BR"/>
        </w:rPr>
        <w:t>Journal of Ethnobiology and Ethnomedicine</w:t>
      </w:r>
      <w:r w:rsidRPr="00E146D2">
        <w:rPr>
          <w:sz w:val="24"/>
          <w:szCs w:val="24"/>
          <w:lang w:val="pt-BR"/>
        </w:rPr>
        <w:t>, v. 20, n. 1, p. 82, 2024.</w:t>
      </w:r>
    </w:p>
    <w:p w14:paraId="0BF27D97" w14:textId="77777777" w:rsidR="00C106F5" w:rsidRDefault="00C106F5" w:rsidP="00C106F5">
      <w:pPr>
        <w:spacing w:after="240" w:line="360" w:lineRule="auto"/>
        <w:jc w:val="both"/>
        <w:rPr>
          <w:sz w:val="24"/>
          <w:szCs w:val="24"/>
          <w:lang w:val="pt-BR"/>
        </w:rPr>
      </w:pPr>
      <w:r w:rsidRPr="006C3B75">
        <w:rPr>
          <w:sz w:val="24"/>
          <w:szCs w:val="24"/>
          <w:lang w:val="pt-BR"/>
        </w:rPr>
        <w:t xml:space="preserve">CARNEIRO, F. M.; SILVA, M. D.; BORGES, L.L.; ALBERNAZ, L. C.; COSTA, J. D. P. Tendências dos estudos com plantas medicinais no Brasil. </w:t>
      </w:r>
      <w:r w:rsidRPr="006C3B75">
        <w:rPr>
          <w:b/>
          <w:bCs/>
          <w:sz w:val="24"/>
          <w:szCs w:val="24"/>
          <w:lang w:val="pt-BR"/>
        </w:rPr>
        <w:t>Revista Sapiência: Sociedade, Saberes e Práticas Educacionais</w:t>
      </w:r>
      <w:r w:rsidRPr="006C3B75">
        <w:rPr>
          <w:sz w:val="24"/>
          <w:szCs w:val="24"/>
          <w:lang w:val="pt-BR"/>
        </w:rPr>
        <w:t>, v. 2, pág. 44-75, 2014.</w:t>
      </w:r>
    </w:p>
    <w:p w14:paraId="70C8D455" w14:textId="77777777" w:rsidR="00C106F5" w:rsidRDefault="00C106F5" w:rsidP="00C106F5">
      <w:pPr>
        <w:spacing w:after="240" w:line="360" w:lineRule="auto"/>
        <w:jc w:val="both"/>
        <w:rPr>
          <w:sz w:val="24"/>
          <w:szCs w:val="24"/>
          <w:lang w:val="pt-BR"/>
        </w:rPr>
      </w:pPr>
      <w:r w:rsidRPr="007723FC">
        <w:rPr>
          <w:sz w:val="24"/>
          <w:szCs w:val="24"/>
        </w:rPr>
        <w:t xml:space="preserve">CARVALHO, G. </w:t>
      </w:r>
      <w:r w:rsidRPr="007723FC">
        <w:rPr>
          <w:i/>
          <w:iCs/>
          <w:sz w:val="24"/>
          <w:szCs w:val="24"/>
        </w:rPr>
        <w:t>Package ‘flora’</w:t>
      </w:r>
      <w:r w:rsidRPr="007723FC">
        <w:rPr>
          <w:sz w:val="24"/>
          <w:szCs w:val="24"/>
        </w:rPr>
        <w:t>. 2022. Disponível em: &lt;</w:t>
      </w:r>
      <w:r w:rsidRPr="007723FC">
        <w:t xml:space="preserve"> </w:t>
      </w:r>
      <w:r w:rsidRPr="007723FC">
        <w:rPr>
          <w:sz w:val="24"/>
          <w:szCs w:val="24"/>
        </w:rPr>
        <w:t xml:space="preserve">https://github.com/gustavobio/flora &gt;. Acesso em: </w:t>
      </w:r>
      <w:r w:rsidRPr="00326447">
        <w:rPr>
          <w:sz w:val="24"/>
          <w:szCs w:val="24"/>
        </w:rPr>
        <w:t>.</w:t>
      </w:r>
      <w:r>
        <w:rPr>
          <w:sz w:val="24"/>
          <w:szCs w:val="24"/>
        </w:rPr>
        <w:t>15 outubro de 2024.</w:t>
      </w:r>
    </w:p>
    <w:p w14:paraId="6386AFD9" w14:textId="77777777" w:rsidR="00C106F5" w:rsidRDefault="00C106F5" w:rsidP="00C106F5">
      <w:pPr>
        <w:spacing w:after="240" w:line="360" w:lineRule="auto"/>
        <w:jc w:val="both"/>
        <w:rPr>
          <w:sz w:val="24"/>
          <w:szCs w:val="24"/>
          <w:lang w:val="pt-BR"/>
        </w:rPr>
      </w:pPr>
      <w:r w:rsidRPr="006C3B75">
        <w:rPr>
          <w:sz w:val="24"/>
          <w:szCs w:val="24"/>
          <w:lang w:val="pt-BR"/>
        </w:rPr>
        <w:t>COSTA, J</w:t>
      </w:r>
      <w:r>
        <w:rPr>
          <w:sz w:val="24"/>
          <w:szCs w:val="24"/>
          <w:lang w:val="pt-BR"/>
        </w:rPr>
        <w:t xml:space="preserve">. </w:t>
      </w:r>
      <w:r w:rsidRPr="006C3B75">
        <w:rPr>
          <w:sz w:val="24"/>
          <w:szCs w:val="24"/>
          <w:lang w:val="pt-BR"/>
        </w:rPr>
        <w:t>C</w:t>
      </w:r>
      <w:r>
        <w:rPr>
          <w:sz w:val="24"/>
          <w:szCs w:val="24"/>
          <w:lang w:val="pt-BR"/>
        </w:rPr>
        <w:t>.</w:t>
      </w:r>
      <w:r w:rsidRPr="006C3B75">
        <w:rPr>
          <w:sz w:val="24"/>
          <w:szCs w:val="24"/>
          <w:lang w:val="pt-BR"/>
        </w:rPr>
        <w:t xml:space="preserve"> da; MARINHO, M. G. V. Etnobotânica de plantas medicinais em duas comunidades do município de Picuí, Paraíba, Brasil. </w:t>
      </w:r>
      <w:r w:rsidRPr="006C3B75">
        <w:rPr>
          <w:b/>
          <w:bCs/>
          <w:sz w:val="24"/>
          <w:szCs w:val="24"/>
          <w:lang w:val="pt-BR"/>
        </w:rPr>
        <w:t>Revista Brasileira de Plantas Medicinais</w:t>
      </w:r>
      <w:r w:rsidRPr="006C3B75">
        <w:rPr>
          <w:sz w:val="24"/>
          <w:szCs w:val="24"/>
          <w:lang w:val="pt-BR"/>
        </w:rPr>
        <w:t>, v. 18, n. 1, p. 125-134, 2016.</w:t>
      </w:r>
    </w:p>
    <w:p w14:paraId="4114F21F" w14:textId="77777777" w:rsidR="00C106F5" w:rsidRDefault="00C106F5" w:rsidP="00C106F5">
      <w:pPr>
        <w:spacing w:after="240" w:line="360" w:lineRule="auto"/>
        <w:jc w:val="both"/>
        <w:rPr>
          <w:sz w:val="24"/>
          <w:szCs w:val="24"/>
          <w:lang w:val="pt-BR"/>
        </w:rPr>
      </w:pPr>
      <w:r w:rsidRPr="006C3B75">
        <w:rPr>
          <w:sz w:val="24"/>
          <w:szCs w:val="24"/>
          <w:lang w:val="pt-BR"/>
        </w:rPr>
        <w:t xml:space="preserve">DE SOUZA, M. B. </w:t>
      </w:r>
      <w:r w:rsidRPr="006C3B75">
        <w:rPr>
          <w:i/>
          <w:iCs/>
          <w:sz w:val="24"/>
          <w:szCs w:val="24"/>
          <w:lang w:val="pt-BR"/>
        </w:rPr>
        <w:t>et al</w:t>
      </w:r>
      <w:r w:rsidRPr="006C3B75">
        <w:rPr>
          <w:sz w:val="24"/>
          <w:szCs w:val="24"/>
          <w:lang w:val="pt-BR"/>
        </w:rPr>
        <w:t xml:space="preserve">. Tendência dos estudos etnobotânicos no Cerrado: revisão cienciométrica. </w:t>
      </w:r>
      <w:r w:rsidRPr="006C3B75">
        <w:rPr>
          <w:b/>
          <w:bCs/>
          <w:sz w:val="24"/>
          <w:szCs w:val="24"/>
          <w:lang w:val="pt-BR"/>
        </w:rPr>
        <w:t>Revista Brasileira de Plantas Medicinais</w:t>
      </w:r>
      <w:r w:rsidRPr="006C3B75">
        <w:rPr>
          <w:sz w:val="24"/>
          <w:szCs w:val="24"/>
          <w:lang w:val="pt-BR"/>
        </w:rPr>
        <w:t>, v. 1-7, 2019.</w:t>
      </w:r>
    </w:p>
    <w:p w14:paraId="5B996461" w14:textId="77777777" w:rsidR="00C106F5" w:rsidRDefault="00C106F5" w:rsidP="00C106F5">
      <w:pPr>
        <w:spacing w:after="240" w:line="360" w:lineRule="auto"/>
        <w:jc w:val="both"/>
        <w:rPr>
          <w:sz w:val="24"/>
          <w:szCs w:val="24"/>
          <w:lang w:val="pt-BR"/>
        </w:rPr>
      </w:pPr>
      <w:r w:rsidRPr="006C3B75">
        <w:rPr>
          <w:sz w:val="24"/>
          <w:szCs w:val="24"/>
          <w:lang w:val="pt-BR"/>
        </w:rPr>
        <w:t xml:space="preserve">ELISABETSKY, E. Etnofarmacologia. </w:t>
      </w:r>
      <w:r w:rsidRPr="006C3B75">
        <w:rPr>
          <w:b/>
          <w:bCs/>
          <w:sz w:val="24"/>
          <w:szCs w:val="24"/>
          <w:lang w:val="pt-BR"/>
        </w:rPr>
        <w:t>Ciência e Cultura</w:t>
      </w:r>
      <w:r w:rsidRPr="006C3B75">
        <w:rPr>
          <w:sz w:val="24"/>
          <w:szCs w:val="24"/>
          <w:lang w:val="pt-BR"/>
        </w:rPr>
        <w:t>, v. 55, n. 3, pág. 35-36, 2003.</w:t>
      </w:r>
    </w:p>
    <w:p w14:paraId="26ACC444" w14:textId="77777777" w:rsidR="00C106F5" w:rsidRDefault="00C106F5" w:rsidP="00C106F5">
      <w:pPr>
        <w:spacing w:after="240" w:line="360" w:lineRule="auto"/>
        <w:jc w:val="both"/>
      </w:pPr>
      <w:r w:rsidRPr="00D97866">
        <w:rPr>
          <w:sz w:val="24"/>
          <w:szCs w:val="24"/>
          <w:lang w:val="pt-BR"/>
        </w:rPr>
        <w:t xml:space="preserve">EMPERAIRE, L; ELOY, L. </w:t>
      </w:r>
      <w:r w:rsidRPr="006C3B75">
        <w:rPr>
          <w:sz w:val="24"/>
          <w:szCs w:val="24"/>
          <w:lang w:val="pt-BR"/>
        </w:rPr>
        <w:t xml:space="preserve">A cidade, um foco de diversidade agrícola no Rio Negro (Amazonas, Brasil)?. </w:t>
      </w:r>
      <w:r w:rsidRPr="006C3B75">
        <w:rPr>
          <w:b/>
          <w:bCs/>
          <w:sz w:val="24"/>
          <w:szCs w:val="24"/>
          <w:lang w:val="pt-BR"/>
        </w:rPr>
        <w:t>Boletim do Museu Paraense Emílio Goeldi. Ciências Humanas</w:t>
      </w:r>
      <w:r w:rsidRPr="006C3B75">
        <w:rPr>
          <w:sz w:val="24"/>
          <w:szCs w:val="24"/>
          <w:lang w:val="pt-BR"/>
        </w:rPr>
        <w:t>, v. 3, p. 195-211, 2008.</w:t>
      </w:r>
    </w:p>
    <w:p w14:paraId="4CF2352D" w14:textId="77777777" w:rsidR="00C106F5" w:rsidRDefault="00C106F5" w:rsidP="00C106F5">
      <w:pPr>
        <w:spacing w:after="240" w:line="360" w:lineRule="auto"/>
        <w:jc w:val="both"/>
        <w:rPr>
          <w:sz w:val="24"/>
          <w:szCs w:val="24"/>
          <w:lang w:val="en-US"/>
        </w:rPr>
      </w:pPr>
      <w:r w:rsidRPr="00E146D2">
        <w:rPr>
          <w:sz w:val="24"/>
          <w:szCs w:val="24"/>
          <w:lang w:val="en-US"/>
        </w:rPr>
        <w:lastRenderedPageBreak/>
        <w:t xml:space="preserve">GAFFOROV, Y. et al. </w:t>
      </w:r>
      <w:r w:rsidRPr="006C3B75">
        <w:rPr>
          <w:sz w:val="24"/>
          <w:szCs w:val="24"/>
          <w:lang w:val="en-US"/>
        </w:rPr>
        <w:t xml:space="preserve">Exploring biodiversity and ethnobotanical significance of Solanum species in Uzbekistan: unveiling the cultural wealth and ethnopharmacological uses. </w:t>
      </w:r>
      <w:r w:rsidRPr="006C3B75">
        <w:rPr>
          <w:b/>
          <w:bCs/>
          <w:sz w:val="24"/>
          <w:szCs w:val="24"/>
          <w:lang w:val="en-US"/>
        </w:rPr>
        <w:t>Frontiers in Pharmacology</w:t>
      </w:r>
      <w:r w:rsidRPr="006C3B75">
        <w:rPr>
          <w:sz w:val="24"/>
          <w:szCs w:val="24"/>
          <w:lang w:val="en-US"/>
        </w:rPr>
        <w:t>, v. 14, p. 1287793, 2024.</w:t>
      </w:r>
    </w:p>
    <w:p w14:paraId="02EEDC56" w14:textId="77777777" w:rsidR="00C106F5" w:rsidRDefault="00C106F5" w:rsidP="00C106F5">
      <w:pPr>
        <w:spacing w:after="240" w:line="360" w:lineRule="auto"/>
        <w:jc w:val="both"/>
        <w:rPr>
          <w:sz w:val="24"/>
          <w:szCs w:val="24"/>
          <w:lang w:val="en-US"/>
        </w:rPr>
      </w:pPr>
      <w:r w:rsidRPr="006C3B75">
        <w:rPr>
          <w:sz w:val="24"/>
          <w:szCs w:val="24"/>
          <w:lang w:val="en-US"/>
        </w:rPr>
        <w:t>MENENDEZ-BACETA, G</w:t>
      </w:r>
      <w:r>
        <w:rPr>
          <w:sz w:val="24"/>
          <w:szCs w:val="24"/>
          <w:lang w:val="en-US"/>
        </w:rPr>
        <w:t>.</w:t>
      </w:r>
      <w:r w:rsidRPr="006C3B75">
        <w:rPr>
          <w:sz w:val="24"/>
          <w:szCs w:val="24"/>
          <w:lang w:val="en-US"/>
        </w:rPr>
        <w:t xml:space="preserve"> et al. Wild edible plants traditionally gathered in Gorbeialdea (Biscay, Basque Country). </w:t>
      </w:r>
      <w:r w:rsidRPr="006C3B75">
        <w:rPr>
          <w:b/>
          <w:bCs/>
          <w:sz w:val="24"/>
          <w:szCs w:val="24"/>
          <w:lang w:val="en-US"/>
        </w:rPr>
        <w:t>Genetic Resources and Crop Evolution</w:t>
      </w:r>
      <w:r w:rsidRPr="006C3B75">
        <w:rPr>
          <w:sz w:val="24"/>
          <w:szCs w:val="24"/>
          <w:lang w:val="en-US"/>
        </w:rPr>
        <w:t>, v. 59, p. 1329-1347, 2012.</w:t>
      </w:r>
    </w:p>
    <w:p w14:paraId="208792AE" w14:textId="77777777" w:rsidR="00C106F5" w:rsidRDefault="00C106F5" w:rsidP="00C106F5">
      <w:pPr>
        <w:spacing w:after="240" w:line="360" w:lineRule="auto"/>
        <w:jc w:val="both"/>
        <w:rPr>
          <w:sz w:val="24"/>
          <w:szCs w:val="24"/>
          <w:lang w:val="pt-BR"/>
        </w:rPr>
      </w:pPr>
      <w:r w:rsidRPr="006C3B75">
        <w:rPr>
          <w:sz w:val="24"/>
          <w:szCs w:val="24"/>
          <w:lang w:val="en-US"/>
        </w:rPr>
        <w:t>NASEEM, A</w:t>
      </w:r>
      <w:r>
        <w:rPr>
          <w:sz w:val="24"/>
          <w:szCs w:val="24"/>
          <w:lang w:val="en-US"/>
        </w:rPr>
        <w:t>.</w:t>
      </w:r>
      <w:r w:rsidRPr="006C3B75">
        <w:rPr>
          <w:sz w:val="24"/>
          <w:szCs w:val="24"/>
          <w:lang w:val="en-US"/>
        </w:rPr>
        <w:t xml:space="preserve"> et al. An Insight Into Indigenous Ethnobotanical and Pharmacological Potential of Solanaceae Family in Pakistan: A Review. </w:t>
      </w:r>
      <w:r w:rsidRPr="006C3B75">
        <w:rPr>
          <w:b/>
          <w:bCs/>
          <w:sz w:val="24"/>
          <w:szCs w:val="24"/>
          <w:lang w:val="pt-BR"/>
        </w:rPr>
        <w:t>Journal of Herbal Medicine</w:t>
      </w:r>
      <w:r w:rsidRPr="006C3B75">
        <w:rPr>
          <w:sz w:val="24"/>
          <w:szCs w:val="24"/>
          <w:lang w:val="pt-BR"/>
        </w:rPr>
        <w:t>, p. 100763, 2023.</w:t>
      </w:r>
    </w:p>
    <w:p w14:paraId="0C12E2FA" w14:textId="77777777" w:rsidR="00C106F5" w:rsidRPr="00E146D2" w:rsidRDefault="00C106F5" w:rsidP="00C106F5">
      <w:pPr>
        <w:spacing w:after="240" w:line="360" w:lineRule="auto"/>
        <w:jc w:val="both"/>
        <w:rPr>
          <w:sz w:val="24"/>
          <w:szCs w:val="24"/>
          <w:lang w:val="en-US"/>
        </w:rPr>
      </w:pPr>
      <w:r w:rsidRPr="006C3B75">
        <w:rPr>
          <w:sz w:val="24"/>
          <w:szCs w:val="24"/>
          <w:lang w:val="pt-BR"/>
        </w:rPr>
        <w:t xml:space="preserve">OLIVEIRA, F. C. D.; ALBUQUERQUE, U. P; D.; FONSECA-KRUEL, V. S. D.; HANAZAKI, N. Avanços nas pesquisas etnobotânicas no Brasil. </w:t>
      </w:r>
      <w:r w:rsidRPr="00E146D2">
        <w:rPr>
          <w:b/>
          <w:bCs/>
          <w:sz w:val="24"/>
          <w:szCs w:val="24"/>
          <w:lang w:val="en-US"/>
        </w:rPr>
        <w:t>Acta Botânica Brasileira</w:t>
      </w:r>
      <w:r w:rsidRPr="00E146D2">
        <w:rPr>
          <w:sz w:val="24"/>
          <w:szCs w:val="24"/>
          <w:lang w:val="en-US"/>
        </w:rPr>
        <w:t>, v. 23, p. 590-605, 2009.</w:t>
      </w:r>
    </w:p>
    <w:p w14:paraId="4B9A390E" w14:textId="77777777" w:rsidR="00C106F5" w:rsidRDefault="00C106F5" w:rsidP="00C106F5">
      <w:pPr>
        <w:spacing w:after="240" w:line="360" w:lineRule="auto"/>
        <w:jc w:val="both"/>
        <w:rPr>
          <w:sz w:val="24"/>
          <w:szCs w:val="24"/>
          <w:lang w:val="pt-BR"/>
        </w:rPr>
      </w:pPr>
      <w:r w:rsidRPr="006C3B75">
        <w:rPr>
          <w:sz w:val="24"/>
          <w:szCs w:val="24"/>
          <w:lang w:val="en-US"/>
        </w:rPr>
        <w:t>SARDESHPANDE, M</w:t>
      </w:r>
      <w:r>
        <w:rPr>
          <w:sz w:val="24"/>
          <w:szCs w:val="24"/>
          <w:lang w:val="en-US"/>
        </w:rPr>
        <w:t>.</w:t>
      </w:r>
      <w:r w:rsidRPr="006C3B75">
        <w:rPr>
          <w:sz w:val="24"/>
          <w:szCs w:val="24"/>
          <w:lang w:val="en-US"/>
        </w:rPr>
        <w:t xml:space="preserve">; SHACKLETON, C. Urban foraging: Land management policy, perspectives, and potential. </w:t>
      </w:r>
      <w:r w:rsidRPr="006C3B75">
        <w:rPr>
          <w:b/>
          <w:bCs/>
          <w:sz w:val="24"/>
          <w:szCs w:val="24"/>
          <w:lang w:val="pt-BR"/>
        </w:rPr>
        <w:t>PLoS One</w:t>
      </w:r>
      <w:r w:rsidRPr="006C3B75">
        <w:rPr>
          <w:sz w:val="24"/>
          <w:szCs w:val="24"/>
          <w:lang w:val="pt-BR"/>
        </w:rPr>
        <w:t>, v. 15, n. 4, p. e0230693, 2020.</w:t>
      </w:r>
    </w:p>
    <w:p w14:paraId="768BBCAD" w14:textId="77777777" w:rsidR="00C106F5" w:rsidRPr="006C3B75" w:rsidRDefault="00C106F5" w:rsidP="00C106F5">
      <w:pPr>
        <w:spacing w:after="240" w:line="360" w:lineRule="auto"/>
        <w:jc w:val="both"/>
        <w:rPr>
          <w:sz w:val="24"/>
          <w:szCs w:val="24"/>
          <w:lang w:val="pt-BR"/>
        </w:rPr>
      </w:pPr>
      <w:r w:rsidRPr="006C3B75">
        <w:rPr>
          <w:sz w:val="24"/>
          <w:szCs w:val="24"/>
          <w:lang w:val="pt-BR"/>
        </w:rPr>
        <w:t>SGANZERLA, C</w:t>
      </w:r>
      <w:r>
        <w:rPr>
          <w:sz w:val="24"/>
          <w:szCs w:val="24"/>
          <w:lang w:val="pt-BR"/>
        </w:rPr>
        <w:t>.</w:t>
      </w:r>
      <w:r w:rsidRPr="006C3B75">
        <w:rPr>
          <w:sz w:val="24"/>
          <w:szCs w:val="24"/>
          <w:lang w:val="pt-BR"/>
        </w:rPr>
        <w:t xml:space="preserve"> M</w:t>
      </w:r>
      <w:r>
        <w:rPr>
          <w:sz w:val="24"/>
          <w:szCs w:val="24"/>
          <w:lang w:val="pt-BR"/>
        </w:rPr>
        <w:t>.</w:t>
      </w:r>
      <w:r w:rsidRPr="006C3B75">
        <w:rPr>
          <w:sz w:val="24"/>
          <w:szCs w:val="24"/>
          <w:lang w:val="pt-BR"/>
        </w:rPr>
        <w:t xml:space="preserve"> et al. Revisão integrativa aplicada a levantamentos etnobotânicos de plantas medicinais no Brasil. </w:t>
      </w:r>
      <w:r w:rsidRPr="006C3B75">
        <w:rPr>
          <w:b/>
          <w:bCs/>
          <w:sz w:val="24"/>
          <w:szCs w:val="24"/>
          <w:lang w:val="pt-BR"/>
        </w:rPr>
        <w:t>Revista Acta Ambiental Catarinense</w:t>
      </w:r>
      <w:r w:rsidRPr="006C3B75">
        <w:rPr>
          <w:sz w:val="24"/>
          <w:szCs w:val="24"/>
          <w:lang w:val="pt-BR"/>
        </w:rPr>
        <w:t xml:space="preserve">, v. 19, n. 1, p. 01-16, 2022. </w:t>
      </w:r>
    </w:p>
    <w:p w14:paraId="69D23CF2" w14:textId="77777777" w:rsidR="00C106F5" w:rsidRPr="006C3B75" w:rsidRDefault="00C106F5" w:rsidP="00C106F5">
      <w:pPr>
        <w:spacing w:after="240" w:line="360" w:lineRule="auto"/>
        <w:jc w:val="both"/>
        <w:rPr>
          <w:sz w:val="24"/>
          <w:szCs w:val="24"/>
          <w:lang w:val="pt-BR"/>
        </w:rPr>
      </w:pPr>
      <w:r w:rsidRPr="006C3B75">
        <w:rPr>
          <w:sz w:val="24"/>
          <w:szCs w:val="24"/>
          <w:lang w:val="pt-BR"/>
        </w:rPr>
        <w:t xml:space="preserve">SIMÕES, C. M. O.; SCHENKEL, E. P. A pesquisa e a produção brasileira de medicamentos a partir de plantas medicinais: a necessidade de interação da indústria com a academia. </w:t>
      </w:r>
      <w:r w:rsidRPr="006C3B75">
        <w:rPr>
          <w:b/>
          <w:bCs/>
          <w:sz w:val="24"/>
          <w:szCs w:val="24"/>
          <w:lang w:val="pt-BR"/>
        </w:rPr>
        <w:t>Revista Brasileira de Farmacognosia</w:t>
      </w:r>
      <w:r w:rsidRPr="006C3B75">
        <w:rPr>
          <w:sz w:val="24"/>
          <w:szCs w:val="24"/>
          <w:lang w:val="pt-BR"/>
        </w:rPr>
        <w:t>, v. 12, p. 35-40, 2002.</w:t>
      </w:r>
    </w:p>
    <w:p w14:paraId="4178F2BF" w14:textId="77777777" w:rsidR="00C106F5" w:rsidRDefault="00C106F5" w:rsidP="00C106F5">
      <w:pPr>
        <w:spacing w:after="240" w:line="360" w:lineRule="auto"/>
        <w:jc w:val="both"/>
        <w:rPr>
          <w:sz w:val="24"/>
          <w:szCs w:val="24"/>
          <w:lang w:val="pt-BR"/>
        </w:rPr>
      </w:pPr>
      <w:r w:rsidRPr="006C3B75">
        <w:rPr>
          <w:sz w:val="24"/>
          <w:szCs w:val="24"/>
          <w:lang w:val="pt-BR"/>
        </w:rPr>
        <w:t>THAKUR, M</w:t>
      </w:r>
      <w:r>
        <w:rPr>
          <w:sz w:val="24"/>
          <w:szCs w:val="24"/>
          <w:lang w:val="pt-BR"/>
        </w:rPr>
        <w:t>.</w:t>
      </w:r>
      <w:r w:rsidRPr="006C3B75">
        <w:rPr>
          <w:sz w:val="24"/>
          <w:szCs w:val="24"/>
          <w:lang w:val="pt-BR"/>
        </w:rPr>
        <w:t xml:space="preserve"> et al. </w:t>
      </w:r>
      <w:r w:rsidRPr="006C3B75">
        <w:rPr>
          <w:sz w:val="24"/>
          <w:szCs w:val="24"/>
          <w:lang w:val="en-US"/>
        </w:rPr>
        <w:t xml:space="preserve">Revisiting the ethnomedicinal, ethnopharmacological, phytoconstituents and phytoremediation of the plant Solanum viarum Dunal. </w:t>
      </w:r>
      <w:r w:rsidRPr="00D97866">
        <w:rPr>
          <w:b/>
          <w:bCs/>
          <w:sz w:val="24"/>
          <w:szCs w:val="24"/>
          <w:lang w:val="pt-BR"/>
        </w:rPr>
        <w:t>Naunyn-Schmiedeberg's Archives of Pharmacology</w:t>
      </w:r>
      <w:r w:rsidRPr="00D97866">
        <w:rPr>
          <w:sz w:val="24"/>
          <w:szCs w:val="24"/>
          <w:lang w:val="pt-BR"/>
        </w:rPr>
        <w:t>, p. 1-19, 2024.</w:t>
      </w:r>
    </w:p>
    <w:p w14:paraId="58055344" w14:textId="77777777" w:rsidR="00C106F5" w:rsidRPr="00B20628" w:rsidRDefault="00C106F5" w:rsidP="00C106F5">
      <w:pPr>
        <w:spacing w:after="240" w:line="360" w:lineRule="auto"/>
        <w:jc w:val="both"/>
        <w:rPr>
          <w:sz w:val="24"/>
          <w:szCs w:val="24"/>
          <w:lang w:val="pt-BR"/>
        </w:rPr>
      </w:pPr>
      <w:r w:rsidRPr="006C3B75">
        <w:rPr>
          <w:sz w:val="24"/>
          <w:szCs w:val="24"/>
          <w:lang w:val="pt-BR"/>
        </w:rPr>
        <w:t xml:space="preserve">ZAGO, L. D. M. S.; MOURA, M. E. P. Vinte e dois anos de pesquisa sobre plantas medicinais: uma análise cienciométrica. </w:t>
      </w:r>
      <w:r w:rsidRPr="006C3B75">
        <w:rPr>
          <w:b/>
          <w:bCs/>
          <w:sz w:val="24"/>
          <w:szCs w:val="24"/>
          <w:lang w:val="pt-BR"/>
        </w:rPr>
        <w:t>Técnia</w:t>
      </w:r>
      <w:r w:rsidRPr="006C3B75">
        <w:rPr>
          <w:sz w:val="24"/>
          <w:szCs w:val="24"/>
          <w:lang w:val="pt-BR"/>
        </w:rPr>
        <w:t>, v. 1, pág. 157-173, 2018.</w:t>
      </w:r>
    </w:p>
    <w:p w14:paraId="5F583549" w14:textId="77777777" w:rsidR="00C106F5" w:rsidRDefault="00C106F5" w:rsidP="00C106F5"/>
    <w:p w14:paraId="1CDD1596" w14:textId="53323F30" w:rsidR="00C106F5" w:rsidRDefault="00C106F5" w:rsidP="00C106F5">
      <w:pPr>
        <w:keepLines/>
        <w:pBdr>
          <w:bottom w:val="none" w:sz="0" w:space="8" w:color="000000"/>
        </w:pBdr>
        <w:shd w:val="clear" w:color="auto" w:fill="FFFFFF"/>
        <w:tabs>
          <w:tab w:val="left" w:pos="2500"/>
        </w:tabs>
        <w:jc w:val="center"/>
        <w:rPr>
          <w:sz w:val="24"/>
          <w:szCs w:val="24"/>
        </w:rPr>
      </w:pPr>
    </w:p>
    <w:sectPr w:rsidR="00C106F5" w:rsidSect="005A1575">
      <w:headerReference w:type="default" r:id="rId12"/>
      <w:footerReference w:type="default" r:id="rId13"/>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650F" w14:textId="77777777" w:rsidR="00EB131C" w:rsidRDefault="00EB131C" w:rsidP="005A1575">
      <w:r>
        <w:separator/>
      </w:r>
    </w:p>
  </w:endnote>
  <w:endnote w:type="continuationSeparator" w:id="0">
    <w:p w14:paraId="0925D472" w14:textId="77777777" w:rsidR="00EB131C" w:rsidRDefault="00EB131C"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B210" w14:textId="77777777" w:rsidR="00EB131C" w:rsidRDefault="00EB131C" w:rsidP="005A1575">
      <w:r>
        <w:separator/>
      </w:r>
    </w:p>
  </w:footnote>
  <w:footnote w:type="continuationSeparator" w:id="0">
    <w:p w14:paraId="6DA0A6C7" w14:textId="77777777" w:rsidR="00EB131C" w:rsidRDefault="00EB131C"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2D874E63"/>
    <w:multiLevelType w:val="hybridMultilevel"/>
    <w:tmpl w:val="6FD251FA"/>
    <w:lvl w:ilvl="0" w:tplc="21FC387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8D217DF"/>
    <w:multiLevelType w:val="hybridMultilevel"/>
    <w:tmpl w:val="AB2406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7F5AD8"/>
    <w:multiLevelType w:val="hybridMultilevel"/>
    <w:tmpl w:val="9A7ABE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3C4EDB"/>
    <w:multiLevelType w:val="hybridMultilevel"/>
    <w:tmpl w:val="CACA5D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75D3761"/>
    <w:multiLevelType w:val="hybridMultilevel"/>
    <w:tmpl w:val="85128F94"/>
    <w:lvl w:ilvl="0" w:tplc="81981D2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9D81DF4"/>
    <w:multiLevelType w:val="hybridMultilevel"/>
    <w:tmpl w:val="674C2F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6408314">
    <w:abstractNumId w:val="0"/>
  </w:num>
  <w:num w:numId="2" w16cid:durableId="461070684">
    <w:abstractNumId w:val="3"/>
  </w:num>
  <w:num w:numId="3" w16cid:durableId="1927230771">
    <w:abstractNumId w:val="1"/>
  </w:num>
  <w:num w:numId="4" w16cid:durableId="40440864">
    <w:abstractNumId w:val="5"/>
  </w:num>
  <w:num w:numId="5" w16cid:durableId="725569803">
    <w:abstractNumId w:val="2"/>
  </w:num>
  <w:num w:numId="6" w16cid:durableId="757018739">
    <w:abstractNumId w:val="4"/>
  </w:num>
  <w:num w:numId="7" w16cid:durableId="1416240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401DD"/>
    <w:rsid w:val="00051265"/>
    <w:rsid w:val="00072549"/>
    <w:rsid w:val="00077ED8"/>
    <w:rsid w:val="000A643D"/>
    <w:rsid w:val="000C39DA"/>
    <w:rsid w:val="000C717A"/>
    <w:rsid w:val="000F5611"/>
    <w:rsid w:val="00107DA9"/>
    <w:rsid w:val="001307E3"/>
    <w:rsid w:val="00135CBE"/>
    <w:rsid w:val="0014085F"/>
    <w:rsid w:val="00152744"/>
    <w:rsid w:val="00163739"/>
    <w:rsid w:val="0017660E"/>
    <w:rsid w:val="00183A90"/>
    <w:rsid w:val="001846E6"/>
    <w:rsid w:val="00195AB0"/>
    <w:rsid w:val="001B4AA0"/>
    <w:rsid w:val="001E18ED"/>
    <w:rsid w:val="001E2838"/>
    <w:rsid w:val="001E7E50"/>
    <w:rsid w:val="00210CA1"/>
    <w:rsid w:val="002233A0"/>
    <w:rsid w:val="00224E32"/>
    <w:rsid w:val="00245602"/>
    <w:rsid w:val="002561DA"/>
    <w:rsid w:val="00257DA8"/>
    <w:rsid w:val="00267E0D"/>
    <w:rsid w:val="0027752D"/>
    <w:rsid w:val="00284005"/>
    <w:rsid w:val="00287D83"/>
    <w:rsid w:val="00291564"/>
    <w:rsid w:val="002A18FD"/>
    <w:rsid w:val="002F3023"/>
    <w:rsid w:val="002F4740"/>
    <w:rsid w:val="0031571D"/>
    <w:rsid w:val="00326447"/>
    <w:rsid w:val="003564D0"/>
    <w:rsid w:val="0036184E"/>
    <w:rsid w:val="00374C8A"/>
    <w:rsid w:val="003855B7"/>
    <w:rsid w:val="00386D64"/>
    <w:rsid w:val="003949CE"/>
    <w:rsid w:val="003B1D35"/>
    <w:rsid w:val="003B683A"/>
    <w:rsid w:val="003D0405"/>
    <w:rsid w:val="003D4E28"/>
    <w:rsid w:val="003D4F89"/>
    <w:rsid w:val="003E4E7F"/>
    <w:rsid w:val="003E6F7B"/>
    <w:rsid w:val="00427006"/>
    <w:rsid w:val="00431BAA"/>
    <w:rsid w:val="004333F8"/>
    <w:rsid w:val="00440B68"/>
    <w:rsid w:val="00475466"/>
    <w:rsid w:val="004863A0"/>
    <w:rsid w:val="0048759B"/>
    <w:rsid w:val="00494FCF"/>
    <w:rsid w:val="004A6601"/>
    <w:rsid w:val="004B3806"/>
    <w:rsid w:val="004B670F"/>
    <w:rsid w:val="004D40D2"/>
    <w:rsid w:val="004D602C"/>
    <w:rsid w:val="004E2C8A"/>
    <w:rsid w:val="004E409D"/>
    <w:rsid w:val="004E4B36"/>
    <w:rsid w:val="004F74D4"/>
    <w:rsid w:val="00510CE9"/>
    <w:rsid w:val="00512939"/>
    <w:rsid w:val="00513803"/>
    <w:rsid w:val="00525887"/>
    <w:rsid w:val="00526BA4"/>
    <w:rsid w:val="005324EF"/>
    <w:rsid w:val="005536F5"/>
    <w:rsid w:val="00585209"/>
    <w:rsid w:val="005A1575"/>
    <w:rsid w:val="005A3DDE"/>
    <w:rsid w:val="005C2F9F"/>
    <w:rsid w:val="005E3893"/>
    <w:rsid w:val="005E4016"/>
    <w:rsid w:val="005F7701"/>
    <w:rsid w:val="0060352D"/>
    <w:rsid w:val="00604FA2"/>
    <w:rsid w:val="006137FC"/>
    <w:rsid w:val="00614D65"/>
    <w:rsid w:val="006458BF"/>
    <w:rsid w:val="006567EE"/>
    <w:rsid w:val="00675CCB"/>
    <w:rsid w:val="00677614"/>
    <w:rsid w:val="00694E4B"/>
    <w:rsid w:val="006C3B75"/>
    <w:rsid w:val="006C756F"/>
    <w:rsid w:val="006D1A3C"/>
    <w:rsid w:val="006D46D5"/>
    <w:rsid w:val="006E28B1"/>
    <w:rsid w:val="006E54A0"/>
    <w:rsid w:val="007113F4"/>
    <w:rsid w:val="007145C7"/>
    <w:rsid w:val="00722E71"/>
    <w:rsid w:val="007258EE"/>
    <w:rsid w:val="007668DA"/>
    <w:rsid w:val="0079125E"/>
    <w:rsid w:val="0079580F"/>
    <w:rsid w:val="007A56EB"/>
    <w:rsid w:val="007B00E2"/>
    <w:rsid w:val="007B20B5"/>
    <w:rsid w:val="007D1108"/>
    <w:rsid w:val="007D6A78"/>
    <w:rsid w:val="00804A8D"/>
    <w:rsid w:val="00812C3B"/>
    <w:rsid w:val="00814742"/>
    <w:rsid w:val="00836259"/>
    <w:rsid w:val="008745AF"/>
    <w:rsid w:val="008833C3"/>
    <w:rsid w:val="00886925"/>
    <w:rsid w:val="008928D7"/>
    <w:rsid w:val="00896FFD"/>
    <w:rsid w:val="008A264B"/>
    <w:rsid w:val="008B7562"/>
    <w:rsid w:val="008C614A"/>
    <w:rsid w:val="0091217B"/>
    <w:rsid w:val="00914230"/>
    <w:rsid w:val="00915841"/>
    <w:rsid w:val="00920754"/>
    <w:rsid w:val="00923D2F"/>
    <w:rsid w:val="00934655"/>
    <w:rsid w:val="00961993"/>
    <w:rsid w:val="009673AC"/>
    <w:rsid w:val="009919C8"/>
    <w:rsid w:val="009B22F7"/>
    <w:rsid w:val="009D1E30"/>
    <w:rsid w:val="009D5791"/>
    <w:rsid w:val="009F629F"/>
    <w:rsid w:val="00A420DF"/>
    <w:rsid w:val="00A42F32"/>
    <w:rsid w:val="00A52233"/>
    <w:rsid w:val="00A70C59"/>
    <w:rsid w:val="00A71104"/>
    <w:rsid w:val="00A712BA"/>
    <w:rsid w:val="00A81E79"/>
    <w:rsid w:val="00AA2F51"/>
    <w:rsid w:val="00AA46B9"/>
    <w:rsid w:val="00AC531B"/>
    <w:rsid w:val="00AD03D2"/>
    <w:rsid w:val="00AD3A3E"/>
    <w:rsid w:val="00AE1ADF"/>
    <w:rsid w:val="00AF5691"/>
    <w:rsid w:val="00B11F73"/>
    <w:rsid w:val="00B13EDB"/>
    <w:rsid w:val="00B15E47"/>
    <w:rsid w:val="00B20628"/>
    <w:rsid w:val="00B24A8E"/>
    <w:rsid w:val="00B2699B"/>
    <w:rsid w:val="00B273BD"/>
    <w:rsid w:val="00B409A5"/>
    <w:rsid w:val="00B423BD"/>
    <w:rsid w:val="00B446C5"/>
    <w:rsid w:val="00B50874"/>
    <w:rsid w:val="00B750C7"/>
    <w:rsid w:val="00B75D4C"/>
    <w:rsid w:val="00B77A46"/>
    <w:rsid w:val="00B8449C"/>
    <w:rsid w:val="00BB3C4B"/>
    <w:rsid w:val="00BC457C"/>
    <w:rsid w:val="00BD261C"/>
    <w:rsid w:val="00BF0184"/>
    <w:rsid w:val="00BF6073"/>
    <w:rsid w:val="00C05946"/>
    <w:rsid w:val="00C106F5"/>
    <w:rsid w:val="00C21BB6"/>
    <w:rsid w:val="00C270D4"/>
    <w:rsid w:val="00C446B0"/>
    <w:rsid w:val="00C47C83"/>
    <w:rsid w:val="00C578F4"/>
    <w:rsid w:val="00C91B36"/>
    <w:rsid w:val="00C91D93"/>
    <w:rsid w:val="00C94C27"/>
    <w:rsid w:val="00CA2BE7"/>
    <w:rsid w:val="00CC0A26"/>
    <w:rsid w:val="00CD03DE"/>
    <w:rsid w:val="00CE05CA"/>
    <w:rsid w:val="00CE381E"/>
    <w:rsid w:val="00CF7DF6"/>
    <w:rsid w:val="00D0326D"/>
    <w:rsid w:val="00D038C4"/>
    <w:rsid w:val="00D1360D"/>
    <w:rsid w:val="00D222C4"/>
    <w:rsid w:val="00D43551"/>
    <w:rsid w:val="00D54436"/>
    <w:rsid w:val="00D75861"/>
    <w:rsid w:val="00D97866"/>
    <w:rsid w:val="00D97EF8"/>
    <w:rsid w:val="00DB5854"/>
    <w:rsid w:val="00DC530F"/>
    <w:rsid w:val="00DE5F6B"/>
    <w:rsid w:val="00DF0F5D"/>
    <w:rsid w:val="00E2329D"/>
    <w:rsid w:val="00E611A5"/>
    <w:rsid w:val="00EB131C"/>
    <w:rsid w:val="00EB6253"/>
    <w:rsid w:val="00ED7B00"/>
    <w:rsid w:val="00EF48A0"/>
    <w:rsid w:val="00F126E2"/>
    <w:rsid w:val="00F1481F"/>
    <w:rsid w:val="00F31C2B"/>
    <w:rsid w:val="00F46632"/>
    <w:rsid w:val="00F52C30"/>
    <w:rsid w:val="00F57E8A"/>
    <w:rsid w:val="00F66E49"/>
    <w:rsid w:val="00F80AF1"/>
    <w:rsid w:val="00F84FCD"/>
    <w:rsid w:val="00F948A7"/>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BC457C"/>
    <w:rPr>
      <w:color w:val="0000FF" w:themeColor="hyperlink"/>
      <w:u w:val="single"/>
    </w:rPr>
  </w:style>
  <w:style w:type="character" w:styleId="MenoPendente">
    <w:name w:val="Unresolved Mention"/>
    <w:basedOn w:val="Fontepargpadro"/>
    <w:uiPriority w:val="99"/>
    <w:semiHidden/>
    <w:unhideWhenUsed/>
    <w:rsid w:val="00BC457C"/>
    <w:rPr>
      <w:color w:val="605E5C"/>
      <w:shd w:val="clear" w:color="auto" w:fill="E1DFDD"/>
    </w:rPr>
  </w:style>
  <w:style w:type="table" w:styleId="Tabelacomgrade">
    <w:name w:val="Table Grid"/>
    <w:basedOn w:val="Tabelanormal"/>
    <w:uiPriority w:val="59"/>
    <w:rsid w:val="00513803"/>
    <w:pPr>
      <w:widowControl/>
      <w:autoSpaceDE/>
      <w:autoSpaceDN/>
    </w:pPr>
    <w:rPr>
      <w:rFonts w:ascii="Times New Roman" w:eastAsia="Times New Roman" w:hAnsi="Times New Roman"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686">
      <w:bodyDiv w:val="1"/>
      <w:marLeft w:val="0"/>
      <w:marRight w:val="0"/>
      <w:marTop w:val="0"/>
      <w:marBottom w:val="0"/>
      <w:divBdr>
        <w:top w:val="none" w:sz="0" w:space="0" w:color="auto"/>
        <w:left w:val="none" w:sz="0" w:space="0" w:color="auto"/>
        <w:bottom w:val="none" w:sz="0" w:space="0" w:color="auto"/>
        <w:right w:val="none" w:sz="0" w:space="0" w:color="auto"/>
      </w:divBdr>
    </w:div>
    <w:div w:id="50153913">
      <w:bodyDiv w:val="1"/>
      <w:marLeft w:val="0"/>
      <w:marRight w:val="0"/>
      <w:marTop w:val="0"/>
      <w:marBottom w:val="0"/>
      <w:divBdr>
        <w:top w:val="none" w:sz="0" w:space="0" w:color="auto"/>
        <w:left w:val="none" w:sz="0" w:space="0" w:color="auto"/>
        <w:bottom w:val="none" w:sz="0" w:space="0" w:color="auto"/>
        <w:right w:val="none" w:sz="0" w:space="0" w:color="auto"/>
      </w:divBdr>
    </w:div>
    <w:div w:id="100490628">
      <w:bodyDiv w:val="1"/>
      <w:marLeft w:val="0"/>
      <w:marRight w:val="0"/>
      <w:marTop w:val="0"/>
      <w:marBottom w:val="0"/>
      <w:divBdr>
        <w:top w:val="none" w:sz="0" w:space="0" w:color="auto"/>
        <w:left w:val="none" w:sz="0" w:space="0" w:color="auto"/>
        <w:bottom w:val="none" w:sz="0" w:space="0" w:color="auto"/>
        <w:right w:val="none" w:sz="0" w:space="0" w:color="auto"/>
      </w:divBdr>
    </w:div>
    <w:div w:id="327440796">
      <w:bodyDiv w:val="1"/>
      <w:marLeft w:val="0"/>
      <w:marRight w:val="0"/>
      <w:marTop w:val="0"/>
      <w:marBottom w:val="0"/>
      <w:divBdr>
        <w:top w:val="none" w:sz="0" w:space="0" w:color="auto"/>
        <w:left w:val="none" w:sz="0" w:space="0" w:color="auto"/>
        <w:bottom w:val="none" w:sz="0" w:space="0" w:color="auto"/>
        <w:right w:val="none" w:sz="0" w:space="0" w:color="auto"/>
      </w:divBdr>
    </w:div>
    <w:div w:id="350492074">
      <w:bodyDiv w:val="1"/>
      <w:marLeft w:val="0"/>
      <w:marRight w:val="0"/>
      <w:marTop w:val="0"/>
      <w:marBottom w:val="0"/>
      <w:divBdr>
        <w:top w:val="none" w:sz="0" w:space="0" w:color="auto"/>
        <w:left w:val="none" w:sz="0" w:space="0" w:color="auto"/>
        <w:bottom w:val="none" w:sz="0" w:space="0" w:color="auto"/>
        <w:right w:val="none" w:sz="0" w:space="0" w:color="auto"/>
      </w:divBdr>
    </w:div>
    <w:div w:id="356807905">
      <w:bodyDiv w:val="1"/>
      <w:marLeft w:val="0"/>
      <w:marRight w:val="0"/>
      <w:marTop w:val="0"/>
      <w:marBottom w:val="0"/>
      <w:divBdr>
        <w:top w:val="none" w:sz="0" w:space="0" w:color="auto"/>
        <w:left w:val="none" w:sz="0" w:space="0" w:color="auto"/>
        <w:bottom w:val="none" w:sz="0" w:space="0" w:color="auto"/>
        <w:right w:val="none" w:sz="0" w:space="0" w:color="auto"/>
      </w:divBdr>
    </w:div>
    <w:div w:id="381102122">
      <w:bodyDiv w:val="1"/>
      <w:marLeft w:val="0"/>
      <w:marRight w:val="0"/>
      <w:marTop w:val="0"/>
      <w:marBottom w:val="0"/>
      <w:divBdr>
        <w:top w:val="none" w:sz="0" w:space="0" w:color="auto"/>
        <w:left w:val="none" w:sz="0" w:space="0" w:color="auto"/>
        <w:bottom w:val="none" w:sz="0" w:space="0" w:color="auto"/>
        <w:right w:val="none" w:sz="0" w:space="0" w:color="auto"/>
      </w:divBdr>
    </w:div>
    <w:div w:id="407267870">
      <w:bodyDiv w:val="1"/>
      <w:marLeft w:val="0"/>
      <w:marRight w:val="0"/>
      <w:marTop w:val="0"/>
      <w:marBottom w:val="0"/>
      <w:divBdr>
        <w:top w:val="none" w:sz="0" w:space="0" w:color="auto"/>
        <w:left w:val="none" w:sz="0" w:space="0" w:color="auto"/>
        <w:bottom w:val="none" w:sz="0" w:space="0" w:color="auto"/>
        <w:right w:val="none" w:sz="0" w:space="0" w:color="auto"/>
      </w:divBdr>
    </w:div>
    <w:div w:id="468672378">
      <w:bodyDiv w:val="1"/>
      <w:marLeft w:val="0"/>
      <w:marRight w:val="0"/>
      <w:marTop w:val="0"/>
      <w:marBottom w:val="0"/>
      <w:divBdr>
        <w:top w:val="none" w:sz="0" w:space="0" w:color="auto"/>
        <w:left w:val="none" w:sz="0" w:space="0" w:color="auto"/>
        <w:bottom w:val="none" w:sz="0" w:space="0" w:color="auto"/>
        <w:right w:val="none" w:sz="0" w:space="0" w:color="auto"/>
      </w:divBdr>
    </w:div>
    <w:div w:id="546987355">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735278139">
      <w:bodyDiv w:val="1"/>
      <w:marLeft w:val="0"/>
      <w:marRight w:val="0"/>
      <w:marTop w:val="0"/>
      <w:marBottom w:val="0"/>
      <w:divBdr>
        <w:top w:val="none" w:sz="0" w:space="0" w:color="auto"/>
        <w:left w:val="none" w:sz="0" w:space="0" w:color="auto"/>
        <w:bottom w:val="none" w:sz="0" w:space="0" w:color="auto"/>
        <w:right w:val="none" w:sz="0" w:space="0" w:color="auto"/>
      </w:divBdr>
    </w:div>
    <w:div w:id="871958043">
      <w:bodyDiv w:val="1"/>
      <w:marLeft w:val="0"/>
      <w:marRight w:val="0"/>
      <w:marTop w:val="0"/>
      <w:marBottom w:val="0"/>
      <w:divBdr>
        <w:top w:val="none" w:sz="0" w:space="0" w:color="auto"/>
        <w:left w:val="none" w:sz="0" w:space="0" w:color="auto"/>
        <w:bottom w:val="none" w:sz="0" w:space="0" w:color="auto"/>
        <w:right w:val="none" w:sz="0" w:space="0" w:color="auto"/>
      </w:divBdr>
    </w:div>
    <w:div w:id="977150138">
      <w:bodyDiv w:val="1"/>
      <w:marLeft w:val="0"/>
      <w:marRight w:val="0"/>
      <w:marTop w:val="0"/>
      <w:marBottom w:val="0"/>
      <w:divBdr>
        <w:top w:val="none" w:sz="0" w:space="0" w:color="auto"/>
        <w:left w:val="none" w:sz="0" w:space="0" w:color="auto"/>
        <w:bottom w:val="none" w:sz="0" w:space="0" w:color="auto"/>
        <w:right w:val="none" w:sz="0" w:space="0" w:color="auto"/>
      </w:divBdr>
    </w:div>
    <w:div w:id="1093358184">
      <w:bodyDiv w:val="1"/>
      <w:marLeft w:val="0"/>
      <w:marRight w:val="0"/>
      <w:marTop w:val="0"/>
      <w:marBottom w:val="0"/>
      <w:divBdr>
        <w:top w:val="none" w:sz="0" w:space="0" w:color="auto"/>
        <w:left w:val="none" w:sz="0" w:space="0" w:color="auto"/>
        <w:bottom w:val="none" w:sz="0" w:space="0" w:color="auto"/>
        <w:right w:val="none" w:sz="0" w:space="0" w:color="auto"/>
      </w:divBdr>
    </w:div>
    <w:div w:id="1155419156">
      <w:bodyDiv w:val="1"/>
      <w:marLeft w:val="0"/>
      <w:marRight w:val="0"/>
      <w:marTop w:val="0"/>
      <w:marBottom w:val="0"/>
      <w:divBdr>
        <w:top w:val="none" w:sz="0" w:space="0" w:color="auto"/>
        <w:left w:val="none" w:sz="0" w:space="0" w:color="auto"/>
        <w:bottom w:val="none" w:sz="0" w:space="0" w:color="auto"/>
        <w:right w:val="none" w:sz="0" w:space="0" w:color="auto"/>
      </w:divBdr>
    </w:div>
    <w:div w:id="1214468284">
      <w:bodyDiv w:val="1"/>
      <w:marLeft w:val="0"/>
      <w:marRight w:val="0"/>
      <w:marTop w:val="0"/>
      <w:marBottom w:val="0"/>
      <w:divBdr>
        <w:top w:val="none" w:sz="0" w:space="0" w:color="auto"/>
        <w:left w:val="none" w:sz="0" w:space="0" w:color="auto"/>
        <w:bottom w:val="none" w:sz="0" w:space="0" w:color="auto"/>
        <w:right w:val="none" w:sz="0" w:space="0" w:color="auto"/>
      </w:divBdr>
    </w:div>
    <w:div w:id="1217740882">
      <w:bodyDiv w:val="1"/>
      <w:marLeft w:val="0"/>
      <w:marRight w:val="0"/>
      <w:marTop w:val="0"/>
      <w:marBottom w:val="0"/>
      <w:divBdr>
        <w:top w:val="none" w:sz="0" w:space="0" w:color="auto"/>
        <w:left w:val="none" w:sz="0" w:space="0" w:color="auto"/>
        <w:bottom w:val="none" w:sz="0" w:space="0" w:color="auto"/>
        <w:right w:val="none" w:sz="0" w:space="0" w:color="auto"/>
      </w:divBdr>
    </w:div>
    <w:div w:id="1292177425">
      <w:bodyDiv w:val="1"/>
      <w:marLeft w:val="0"/>
      <w:marRight w:val="0"/>
      <w:marTop w:val="0"/>
      <w:marBottom w:val="0"/>
      <w:divBdr>
        <w:top w:val="none" w:sz="0" w:space="0" w:color="auto"/>
        <w:left w:val="none" w:sz="0" w:space="0" w:color="auto"/>
        <w:bottom w:val="none" w:sz="0" w:space="0" w:color="auto"/>
        <w:right w:val="none" w:sz="0" w:space="0" w:color="auto"/>
      </w:divBdr>
    </w:div>
    <w:div w:id="1387220115">
      <w:bodyDiv w:val="1"/>
      <w:marLeft w:val="0"/>
      <w:marRight w:val="0"/>
      <w:marTop w:val="0"/>
      <w:marBottom w:val="0"/>
      <w:divBdr>
        <w:top w:val="none" w:sz="0" w:space="0" w:color="auto"/>
        <w:left w:val="none" w:sz="0" w:space="0" w:color="auto"/>
        <w:bottom w:val="none" w:sz="0" w:space="0" w:color="auto"/>
        <w:right w:val="none" w:sz="0" w:space="0" w:color="auto"/>
      </w:divBdr>
    </w:div>
    <w:div w:id="1502502960">
      <w:bodyDiv w:val="1"/>
      <w:marLeft w:val="0"/>
      <w:marRight w:val="0"/>
      <w:marTop w:val="0"/>
      <w:marBottom w:val="0"/>
      <w:divBdr>
        <w:top w:val="none" w:sz="0" w:space="0" w:color="auto"/>
        <w:left w:val="none" w:sz="0" w:space="0" w:color="auto"/>
        <w:bottom w:val="none" w:sz="0" w:space="0" w:color="auto"/>
        <w:right w:val="none" w:sz="0" w:space="0" w:color="auto"/>
      </w:divBdr>
    </w:div>
    <w:div w:id="1510752972">
      <w:bodyDiv w:val="1"/>
      <w:marLeft w:val="0"/>
      <w:marRight w:val="0"/>
      <w:marTop w:val="0"/>
      <w:marBottom w:val="0"/>
      <w:divBdr>
        <w:top w:val="none" w:sz="0" w:space="0" w:color="auto"/>
        <w:left w:val="none" w:sz="0" w:space="0" w:color="auto"/>
        <w:bottom w:val="none" w:sz="0" w:space="0" w:color="auto"/>
        <w:right w:val="none" w:sz="0" w:space="0" w:color="auto"/>
      </w:divBdr>
    </w:div>
    <w:div w:id="1646424032">
      <w:bodyDiv w:val="1"/>
      <w:marLeft w:val="0"/>
      <w:marRight w:val="0"/>
      <w:marTop w:val="0"/>
      <w:marBottom w:val="0"/>
      <w:divBdr>
        <w:top w:val="none" w:sz="0" w:space="0" w:color="auto"/>
        <w:left w:val="none" w:sz="0" w:space="0" w:color="auto"/>
        <w:bottom w:val="none" w:sz="0" w:space="0" w:color="auto"/>
        <w:right w:val="none" w:sz="0" w:space="0" w:color="auto"/>
      </w:divBdr>
    </w:div>
    <w:div w:id="1649242470">
      <w:bodyDiv w:val="1"/>
      <w:marLeft w:val="0"/>
      <w:marRight w:val="0"/>
      <w:marTop w:val="0"/>
      <w:marBottom w:val="0"/>
      <w:divBdr>
        <w:top w:val="none" w:sz="0" w:space="0" w:color="auto"/>
        <w:left w:val="none" w:sz="0" w:space="0" w:color="auto"/>
        <w:bottom w:val="none" w:sz="0" w:space="0" w:color="auto"/>
        <w:right w:val="none" w:sz="0" w:space="0" w:color="auto"/>
      </w:divBdr>
    </w:div>
    <w:div w:id="1790120648">
      <w:bodyDiv w:val="1"/>
      <w:marLeft w:val="0"/>
      <w:marRight w:val="0"/>
      <w:marTop w:val="0"/>
      <w:marBottom w:val="0"/>
      <w:divBdr>
        <w:top w:val="none" w:sz="0" w:space="0" w:color="auto"/>
        <w:left w:val="none" w:sz="0" w:space="0" w:color="auto"/>
        <w:bottom w:val="none" w:sz="0" w:space="0" w:color="auto"/>
        <w:right w:val="none" w:sz="0" w:space="0" w:color="auto"/>
      </w:divBdr>
    </w:div>
    <w:div w:id="1899245465">
      <w:bodyDiv w:val="1"/>
      <w:marLeft w:val="0"/>
      <w:marRight w:val="0"/>
      <w:marTop w:val="0"/>
      <w:marBottom w:val="0"/>
      <w:divBdr>
        <w:top w:val="none" w:sz="0" w:space="0" w:color="auto"/>
        <w:left w:val="none" w:sz="0" w:space="0" w:color="auto"/>
        <w:bottom w:val="none" w:sz="0" w:space="0" w:color="auto"/>
        <w:right w:val="none" w:sz="0" w:space="0" w:color="auto"/>
      </w:divBdr>
    </w:div>
    <w:div w:id="1915432703">
      <w:bodyDiv w:val="1"/>
      <w:marLeft w:val="0"/>
      <w:marRight w:val="0"/>
      <w:marTop w:val="0"/>
      <w:marBottom w:val="0"/>
      <w:divBdr>
        <w:top w:val="none" w:sz="0" w:space="0" w:color="auto"/>
        <w:left w:val="none" w:sz="0" w:space="0" w:color="auto"/>
        <w:bottom w:val="none" w:sz="0" w:space="0" w:color="auto"/>
        <w:right w:val="none" w:sz="0" w:space="0" w:color="auto"/>
      </w:divBdr>
    </w:div>
    <w:div w:id="1955556083">
      <w:bodyDiv w:val="1"/>
      <w:marLeft w:val="0"/>
      <w:marRight w:val="0"/>
      <w:marTop w:val="0"/>
      <w:marBottom w:val="0"/>
      <w:divBdr>
        <w:top w:val="none" w:sz="0" w:space="0" w:color="auto"/>
        <w:left w:val="none" w:sz="0" w:space="0" w:color="auto"/>
        <w:bottom w:val="none" w:sz="0" w:space="0" w:color="auto"/>
        <w:right w:val="none" w:sz="0" w:space="0" w:color="auto"/>
      </w:divBdr>
    </w:div>
    <w:div w:id="208792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lvan.c.pinho@aluno.uepa.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tianevansoski@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martins@uepa.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hyagomiran@hotmail.com" TargetMode="External"/><Relationship Id="rId4" Type="http://schemas.openxmlformats.org/officeDocument/2006/relationships/webSettings" Target="webSettings.xml"/><Relationship Id="rId9" Type="http://schemas.openxmlformats.org/officeDocument/2006/relationships/hyperlink" Target="mailto:laila.bdsantos@aluno.uepa.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2642</Words>
  <Characters>14273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Tatiane</cp:lastModifiedBy>
  <cp:revision>158</cp:revision>
  <dcterms:created xsi:type="dcterms:W3CDTF">2024-10-21T21:32:00Z</dcterms:created>
  <dcterms:modified xsi:type="dcterms:W3CDTF">2024-12-03T14:42:00Z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