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847F" w14:textId="0BF8B2EA" w:rsidR="003949CE" w:rsidRDefault="00600405" w:rsidP="00600405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AVALIAÇÃO DO USO DO SOLO NO PROJETO DE </w:t>
      </w:r>
      <w:r w:rsidR="004912B5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ESENVOLVIMENTO PORTO SEGURO MARABÁ/PARÁ</w:t>
      </w:r>
    </w:p>
    <w:p w14:paraId="2048A7BA" w14:textId="77777777" w:rsidR="00416F17" w:rsidRDefault="00416F17" w:rsidP="00416F17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C67687">
        <w:rPr>
          <w:sz w:val="24"/>
          <w:szCs w:val="24"/>
        </w:rPr>
        <w:t>Warla Oliveira dos Santos</w:t>
      </w:r>
      <w:r>
        <w:rPr>
          <w:sz w:val="24"/>
          <w:szCs w:val="24"/>
          <w:vertAlign w:val="superscript"/>
        </w:rPr>
        <w:t>1</w:t>
      </w:r>
      <w:r w:rsidRPr="004912B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4912B5">
        <w:rPr>
          <w:sz w:val="24"/>
          <w:szCs w:val="24"/>
        </w:rPr>
        <w:t>Thyago Gonçalves Miranda</w:t>
      </w:r>
      <w:r w:rsidRPr="004912B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r w:rsidRPr="004912B5">
        <w:rPr>
          <w:sz w:val="24"/>
          <w:szCs w:val="24"/>
          <w:u w:val="single"/>
        </w:rPr>
        <w:t>Gleidson Marques Pereira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14:paraId="369187F2" w14:textId="77777777" w:rsidR="006300F0" w:rsidRDefault="006300F0" w:rsidP="00416F17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</w:p>
    <w:p w14:paraId="3B31E0B8" w14:textId="77777777" w:rsidR="00990263" w:rsidRDefault="00990263" w:rsidP="00990263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1F4E25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Graduanda em Ciências Biológicas. Universidade do Estado do Pará. warlaoliveira2@gmail.com</w:t>
      </w:r>
    </w:p>
    <w:p w14:paraId="0386CFAF" w14:textId="77777777" w:rsidR="00990263" w:rsidRDefault="00990263" w:rsidP="00990263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Doutor em Biodiversidade e Biotecnologia. Universidade do Estado do Pará. </w:t>
      </w:r>
      <w:hyperlink r:id="rId7" w:history="1">
        <w:r w:rsidRPr="00CD4D43">
          <w:rPr>
            <w:rStyle w:val="Hyperlink"/>
            <w:sz w:val="24"/>
            <w:szCs w:val="24"/>
          </w:rPr>
          <w:t>thyagomiran@hotmail.com</w:t>
        </w:r>
      </w:hyperlink>
      <w:r>
        <w:rPr>
          <w:sz w:val="24"/>
          <w:szCs w:val="24"/>
        </w:rPr>
        <w:t>.</w:t>
      </w:r>
    </w:p>
    <w:p w14:paraId="65DA2212" w14:textId="77777777" w:rsidR="00990263" w:rsidRDefault="00990263" w:rsidP="00990263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Mestre em agronomia.</w:t>
      </w:r>
      <w:r w:rsidRPr="00D12400">
        <w:rPr>
          <w:sz w:val="24"/>
          <w:szCs w:val="24"/>
        </w:rPr>
        <w:t xml:space="preserve"> </w:t>
      </w:r>
      <w:r>
        <w:rPr>
          <w:sz w:val="24"/>
          <w:szCs w:val="24"/>
        </w:rPr>
        <w:t>Universidade do Estado do Pará.</w:t>
      </w:r>
      <w:r>
        <w:t xml:space="preserve"> </w:t>
      </w:r>
      <w:r w:rsidRPr="0099720E">
        <w:rPr>
          <w:sz w:val="24"/>
          <w:szCs w:val="24"/>
        </w:rPr>
        <w:t>gleidson.pereira@uepa.br</w:t>
      </w:r>
      <w:r>
        <w:rPr>
          <w:sz w:val="24"/>
          <w:szCs w:val="24"/>
        </w:rPr>
        <w:t>.</w:t>
      </w:r>
    </w:p>
    <w:p w14:paraId="6562E980" w14:textId="77777777" w:rsidR="003949CE" w:rsidRDefault="003949CE" w:rsidP="00373979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rPr>
          <w:sz w:val="24"/>
          <w:szCs w:val="24"/>
        </w:rPr>
      </w:pPr>
    </w:p>
    <w:p w14:paraId="1EA4B476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03078D9E" w14:textId="0446B2BE" w:rsidR="002333BE" w:rsidRPr="00A15592" w:rsidRDefault="002333BE" w:rsidP="002333BE">
      <w:pPr>
        <w:widowControl/>
        <w:autoSpaceDE/>
        <w:autoSpaceDN/>
        <w:jc w:val="both"/>
        <w:rPr>
          <w:sz w:val="24"/>
          <w:szCs w:val="24"/>
        </w:rPr>
      </w:pPr>
      <w:commentRangeStart w:id="0"/>
      <w:commentRangeStart w:id="1"/>
      <w:r w:rsidRPr="00936169">
        <w:rPr>
          <w:sz w:val="24"/>
          <w:szCs w:val="24"/>
        </w:rPr>
        <w:t xml:space="preserve">Os indicadores de qualidade do solo visam determinar as características do mesmo, porém, </w:t>
      </w:r>
      <w:r w:rsidRPr="00936169">
        <w:rPr>
          <w:rFonts w:eastAsia="Arial"/>
          <w:sz w:val="24"/>
          <w:szCs w:val="24"/>
        </w:rPr>
        <w:t>quaisquer variações</w:t>
      </w:r>
      <w:r w:rsidR="007A3B28">
        <w:rPr>
          <w:rFonts w:eastAsia="Arial"/>
          <w:sz w:val="24"/>
          <w:szCs w:val="24"/>
        </w:rPr>
        <w:t xml:space="preserve">, como compactação, cobertura de serrapillheira </w:t>
      </w:r>
      <w:r w:rsidRPr="00936169">
        <w:rPr>
          <w:rFonts w:eastAsia="Arial"/>
          <w:sz w:val="24"/>
          <w:szCs w:val="24"/>
        </w:rPr>
        <w:t>ou manejo inadequado pode afetar</w:t>
      </w:r>
      <w:r w:rsidR="00210E11">
        <w:rPr>
          <w:rFonts w:eastAsia="Arial"/>
          <w:sz w:val="24"/>
          <w:szCs w:val="24"/>
        </w:rPr>
        <w:t xml:space="preserve"> </w:t>
      </w:r>
      <w:r w:rsidRPr="00936169">
        <w:rPr>
          <w:rFonts w:eastAsia="Arial"/>
          <w:sz w:val="24"/>
          <w:szCs w:val="24"/>
        </w:rPr>
        <w:t>tanto suas propriedades físicas, quanto sua capacidade de cultivo</w:t>
      </w:r>
      <w:commentRangeEnd w:id="0"/>
      <w:r w:rsidR="00006AF3" w:rsidRPr="00936169">
        <w:rPr>
          <w:rStyle w:val="Refdecomentrio"/>
          <w:sz w:val="24"/>
          <w:szCs w:val="24"/>
        </w:rPr>
        <w:commentReference w:id="0"/>
      </w:r>
      <w:commentRangeEnd w:id="1"/>
      <w:r w:rsidR="007A3B28">
        <w:rPr>
          <w:rStyle w:val="Refdecomentrio"/>
        </w:rPr>
        <w:commentReference w:id="1"/>
      </w:r>
      <w:r w:rsidRPr="00A15592">
        <w:rPr>
          <w:rFonts w:eastAsia="Arial"/>
          <w:sz w:val="24"/>
          <w:szCs w:val="24"/>
        </w:rPr>
        <w:t>.</w:t>
      </w:r>
      <w:r w:rsidRPr="00A15592">
        <w:rPr>
          <w:sz w:val="24"/>
          <w:szCs w:val="24"/>
        </w:rPr>
        <w:t xml:space="preserve"> Diante disso, o presente trabalho tem como objetivo avaliar os aspectos da estrutura física do solo assim como sua influência no potencial de cultivo</w:t>
      </w:r>
      <w:r w:rsidR="007A3B28">
        <w:rPr>
          <w:sz w:val="24"/>
          <w:szCs w:val="24"/>
        </w:rPr>
        <w:t xml:space="preserve"> no projeto Porto Seguro no minicípio de Marabá, Pará</w:t>
      </w:r>
      <w:r w:rsidRPr="00A15592">
        <w:rPr>
          <w:sz w:val="24"/>
          <w:szCs w:val="24"/>
        </w:rPr>
        <w:t>. A metodologia utilizada foi a do método do anel volumétrico (MAV), sendo coletado amostras em três pontos distintos do lote 10, pertencente ao Projeto de Desenvolvimento Sustentável-PDS- Porto Seguro, situado no município de Marabá-PA. Para tanto, foram adotadas as variáveis de umidade e densidade obtidas no local, as quais não apresentavam variações significativas, com exceção do indicativo de compactação no solo, que se mostrou acima do normal, afetando diretamente a produção das culturas cultivadas na localidade. Portanto, faz-se necessário a adoção de práticas e métodos adequadas de manejo do solo,</w:t>
      </w:r>
      <w:r w:rsidR="007A3B28">
        <w:rPr>
          <w:sz w:val="24"/>
          <w:szCs w:val="24"/>
        </w:rPr>
        <w:t xml:space="preserve"> como o monitoramento dos indicadores de qualidade como umidade,</w:t>
      </w:r>
      <w:r w:rsidRPr="00A15592">
        <w:rPr>
          <w:sz w:val="24"/>
          <w:szCs w:val="24"/>
        </w:rPr>
        <w:t xml:space="preserve"> que visem a atenuar os impactos negativos, assim como, um desenvolvimento sustentável e econômico da propriedade.</w:t>
      </w:r>
    </w:p>
    <w:p w14:paraId="42D75990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5A93BFDA" w14:textId="7AD305DF" w:rsidR="003949CE" w:rsidRDefault="003949CE" w:rsidP="003949CE">
      <w:pPr>
        <w:shd w:val="clear" w:color="auto" w:fill="FFFFFF"/>
        <w:tabs>
          <w:tab w:val="left" w:pos="2500"/>
        </w:tabs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7D0A9F">
        <w:rPr>
          <w:sz w:val="24"/>
          <w:szCs w:val="24"/>
        </w:rPr>
        <w:t xml:space="preserve">Desenvolvimento </w:t>
      </w:r>
      <w:r w:rsidR="006A6C28">
        <w:rPr>
          <w:sz w:val="24"/>
          <w:szCs w:val="24"/>
        </w:rPr>
        <w:t>Sustentável. Estrutura do solo. Compactação.</w:t>
      </w:r>
    </w:p>
    <w:p w14:paraId="71340687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73EB5E4E" w14:textId="590CB20A" w:rsidR="003949CE" w:rsidRDefault="003949CE" w:rsidP="003949CE">
      <w:pPr>
        <w:shd w:val="clear" w:color="auto" w:fill="FFFFFF"/>
        <w:tabs>
          <w:tab w:val="left" w:pos="2500"/>
        </w:tabs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</w:t>
      </w:r>
      <w:r w:rsidR="002B0A2C">
        <w:rPr>
          <w:sz w:val="24"/>
          <w:szCs w:val="24"/>
        </w:rPr>
        <w:t>Caracterização de Ecossistemas, Biodiversidade Bioindicadores, Biorremediação, Gestão, Manejo e Conservação de Recursos Naturais.</w:t>
      </w:r>
    </w:p>
    <w:p w14:paraId="278DBA84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03392E40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>
        <w:br w:type="page"/>
      </w:r>
    </w:p>
    <w:p w14:paraId="6B35A14B" w14:textId="2ACC4523" w:rsidR="003949CE" w:rsidRDefault="003949CE" w:rsidP="008A5505">
      <w:pPr>
        <w:pBdr>
          <w:bottom w:val="none" w:sz="0" w:space="18" w:color="000000"/>
        </w:pBdr>
        <w:shd w:val="clear" w:color="auto" w:fill="FFFFFF"/>
        <w:tabs>
          <w:tab w:val="left" w:pos="2500"/>
        </w:tabs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>1. INTRODUÇÃO</w:t>
      </w:r>
    </w:p>
    <w:p w14:paraId="391CB146" w14:textId="77777777" w:rsidR="006B243A" w:rsidRDefault="003949CE" w:rsidP="006B243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B243A" w:rsidRPr="00626BE2">
        <w:rPr>
          <w:sz w:val="24"/>
          <w:szCs w:val="24"/>
        </w:rPr>
        <w:t xml:space="preserve">Os assentamentos rurais no Brasil passaram a existir oficialmente a partir da década de  1980  e  foram  criados  para  responder  às  pressões  localizadas,  como  forma  de mitigar conflitos relacionados à posse da terra (SILVA et al., 2010). </w:t>
      </w:r>
    </w:p>
    <w:p w14:paraId="1CC98C4B" w14:textId="77777777" w:rsidR="006B243A" w:rsidRPr="00626BE2" w:rsidRDefault="006B243A" w:rsidP="006B243A">
      <w:pPr>
        <w:spacing w:line="360" w:lineRule="auto"/>
        <w:ind w:firstLine="708"/>
        <w:jc w:val="both"/>
        <w:rPr>
          <w:sz w:val="24"/>
          <w:szCs w:val="24"/>
        </w:rPr>
      </w:pPr>
      <w:r w:rsidRPr="00A743E4">
        <w:rPr>
          <w:sz w:val="24"/>
          <w:szCs w:val="24"/>
        </w:rPr>
        <w:t xml:space="preserve">A  implantação  desses  assentamentos  em  um  município  garante  a  introdução  da agricultura  familiar  na  região.  Basicamente,  o  projeto  de  assentamento  é  um conjunto  de  unidades  agrícolas  independentes  entre  si,  instaladas  pelo  Incra  onde originalmente  existia  um  imóvel  rural  pertencente  a  um  único  proprietário  (BRASIL, 2014).  Para  a  geração  de  trabalho  e  renda das  famílias  rurais,  pertencentes  a  um assentamento,  são  necessários  técnicas  de  manejo  adequadas  para  uso  do  solo, para  que  as  famílias  possam  realizar  a  reprodução  econômica  e  social,  e assim fixar-se na terra.  </w:t>
      </w:r>
    </w:p>
    <w:p w14:paraId="7B17E61F" w14:textId="77777777" w:rsidR="006B243A" w:rsidRPr="00B470DF" w:rsidRDefault="006B243A" w:rsidP="006B243A">
      <w:pPr>
        <w:spacing w:line="360" w:lineRule="auto"/>
        <w:ind w:firstLine="708"/>
        <w:jc w:val="both"/>
        <w:rPr>
          <w:sz w:val="24"/>
          <w:szCs w:val="24"/>
        </w:rPr>
      </w:pPr>
      <w:r w:rsidRPr="00B470DF">
        <w:rPr>
          <w:sz w:val="24"/>
          <w:szCs w:val="24"/>
        </w:rPr>
        <w:t>O uso de recursos naturais tem sido crescente e amplamente utilizado para a realização de diferentes atividades sobre a superfície terrestre. Segun</w:t>
      </w:r>
      <w:r>
        <w:rPr>
          <w:sz w:val="24"/>
          <w:szCs w:val="24"/>
        </w:rPr>
        <w:t xml:space="preserve">do Lemos Filho et al. </w:t>
      </w:r>
      <w:r w:rsidRPr="00B470DF">
        <w:rPr>
          <w:sz w:val="24"/>
          <w:szCs w:val="24"/>
        </w:rPr>
        <w:t>(2017), entre esses recursos naturais, os solos têm apresentado alta rotatividade de usos, o que pode levá-los à degradação nas propriedades físicas e químicas, ocasionando a aceleração dos processos de degradação ambiental.</w:t>
      </w:r>
    </w:p>
    <w:p w14:paraId="736DC598" w14:textId="55424922" w:rsidR="007A3B28" w:rsidRDefault="007A3B28" w:rsidP="008A5505">
      <w:pPr>
        <w:spacing w:line="360" w:lineRule="auto"/>
        <w:ind w:firstLine="720"/>
        <w:jc w:val="both"/>
        <w:rPr>
          <w:sz w:val="24"/>
          <w:szCs w:val="24"/>
        </w:rPr>
      </w:pPr>
      <w:r w:rsidRPr="007A3B28">
        <w:rPr>
          <w:sz w:val="24"/>
          <w:szCs w:val="24"/>
        </w:rPr>
        <w:t>O recurso solo é limitado e alguns de seus componentes demandam longos períodos para serem restaurados. De acordo com Stefanosk et al. (2013), quaisquer variações ou procedimentos inadequados podem afetar tanto o processo de formação quanto as propriedades físicas do solo. Isso já é perceptível na agricultura familiar, especialmente em projetos de assentamento, onde os resultados sistemáticos indicam a necessidade de estudos sobre a qualidade do solo</w:t>
      </w:r>
      <w:r>
        <w:rPr>
          <w:sz w:val="24"/>
          <w:szCs w:val="24"/>
        </w:rPr>
        <w:t>.</w:t>
      </w:r>
    </w:p>
    <w:p w14:paraId="0ED8DCE2" w14:textId="4F39B1FB" w:rsidR="003949CE" w:rsidRDefault="006B243A" w:rsidP="008A5505">
      <w:pPr>
        <w:spacing w:line="360" w:lineRule="auto"/>
        <w:ind w:firstLine="720"/>
        <w:jc w:val="both"/>
        <w:rPr>
          <w:sz w:val="24"/>
          <w:szCs w:val="24"/>
        </w:rPr>
      </w:pPr>
      <w:r w:rsidRPr="003B13F3">
        <w:rPr>
          <w:rFonts w:eastAsia="Arial"/>
          <w:sz w:val="24"/>
          <w:szCs w:val="24"/>
        </w:rPr>
        <w:t>Sendo assim</w:t>
      </w:r>
      <w:r w:rsidR="00E50E59">
        <w:rPr>
          <w:rFonts w:eastAsia="Arial"/>
          <w:sz w:val="24"/>
          <w:szCs w:val="24"/>
        </w:rPr>
        <w:t>,</w:t>
      </w:r>
      <w:r w:rsidRPr="003B13F3">
        <w:rPr>
          <w:rFonts w:eastAsia="Arial"/>
          <w:sz w:val="24"/>
          <w:szCs w:val="24"/>
        </w:rPr>
        <w:t xml:space="preserve"> faz-se necessário analises de solo, pois de acordo com Cardoso et al (2010) permite conhecer a capacidade do solo e esclarece o estado atual em que se encontra.</w:t>
      </w:r>
      <w:r w:rsidRPr="003B13F3">
        <w:rPr>
          <w:sz w:val="24"/>
          <w:szCs w:val="24"/>
        </w:rPr>
        <w:t xml:space="preserve"> Neste contexto, o objetivo deste trabalho foi avaliar os indicadores </w:t>
      </w:r>
      <w:r>
        <w:rPr>
          <w:sz w:val="24"/>
          <w:szCs w:val="24"/>
        </w:rPr>
        <w:t>da qualidade física do solo,</w:t>
      </w:r>
      <w:r w:rsidR="00EE1B4B">
        <w:rPr>
          <w:sz w:val="24"/>
          <w:szCs w:val="24"/>
        </w:rPr>
        <w:t xml:space="preserve"> </w:t>
      </w:r>
      <w:r w:rsidR="00361E9C">
        <w:rPr>
          <w:sz w:val="24"/>
          <w:szCs w:val="24"/>
        </w:rPr>
        <w:t>b</w:t>
      </w:r>
      <w:r w:rsidR="00EE1B4B">
        <w:rPr>
          <w:sz w:val="24"/>
          <w:szCs w:val="24"/>
        </w:rPr>
        <w:t xml:space="preserve">em </w:t>
      </w:r>
      <w:r>
        <w:rPr>
          <w:sz w:val="24"/>
          <w:szCs w:val="24"/>
        </w:rPr>
        <w:t>como sua influência no manejo produtivo n</w:t>
      </w:r>
      <w:r w:rsidRPr="001E3A91">
        <w:rPr>
          <w:sz w:val="24"/>
          <w:szCs w:val="24"/>
        </w:rPr>
        <w:t>o Projeto de Desenvolvimento Sustentável Porto Seguro, Marabá, PA</w:t>
      </w:r>
      <w:r w:rsidR="003949CE">
        <w:rPr>
          <w:sz w:val="24"/>
          <w:szCs w:val="24"/>
        </w:rPr>
        <w:t>.</w:t>
      </w:r>
    </w:p>
    <w:p w14:paraId="3E887B63" w14:textId="77777777" w:rsidR="00DC5AB9" w:rsidRDefault="00DC5AB9" w:rsidP="008A5505">
      <w:pPr>
        <w:spacing w:line="360" w:lineRule="auto"/>
        <w:ind w:firstLine="720"/>
        <w:jc w:val="both"/>
        <w:rPr>
          <w:sz w:val="24"/>
          <w:szCs w:val="24"/>
        </w:rPr>
      </w:pPr>
    </w:p>
    <w:p w14:paraId="31F50D75" w14:textId="77777777" w:rsidR="00DC5AB9" w:rsidRPr="008A5505" w:rsidRDefault="00DC5AB9" w:rsidP="008A5505">
      <w:pPr>
        <w:spacing w:line="360" w:lineRule="auto"/>
        <w:ind w:firstLine="720"/>
        <w:jc w:val="both"/>
        <w:rPr>
          <w:b/>
          <w:color w:val="000000"/>
          <w:sz w:val="24"/>
          <w:szCs w:val="24"/>
        </w:rPr>
      </w:pPr>
    </w:p>
    <w:p w14:paraId="309E8D17" w14:textId="0883B529" w:rsidR="003949CE" w:rsidRDefault="003949CE" w:rsidP="003949CE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>2. MATERIAL E MÉTODOS</w:t>
      </w:r>
    </w:p>
    <w:p w14:paraId="486EF640" w14:textId="77777777" w:rsidR="00420292" w:rsidRDefault="00420292" w:rsidP="005C57EA">
      <w:pPr>
        <w:widowControl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420292">
        <w:rPr>
          <w:sz w:val="24"/>
          <w:szCs w:val="24"/>
        </w:rPr>
        <w:t>O Projeto de Desenvolvimento Sustentável (PDS) Porto Seguro está localizado no km 14, na margem esquerda da BR-155, em direção a Eldorado dos Carajás, no município de Marabá, sudeste do Pará. Para a realização deste trabalho, foi selecionado o lote número 10 do PDS-Porto Seguro durante uma visita técnica da turma de Engenharia Ambiental e Sanitária de 2019 da Universidade do Estado do Pará, Campus VIII de Marabá. O objetivo foi caracterizar morfologicamente os solos em diferentes sistemas de produção, considerando sua importância para a agricultura familiar.</w:t>
      </w:r>
    </w:p>
    <w:p w14:paraId="0A8B1C4A" w14:textId="4D1C0EC2" w:rsidR="005C57EA" w:rsidRDefault="008C7FE9" w:rsidP="005C57EA">
      <w:pPr>
        <w:widowControl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8C7FE9">
        <w:rPr>
          <w:sz w:val="24"/>
          <w:szCs w:val="24"/>
        </w:rPr>
        <w:t>A área de estudo possui, aproximadamente, as seguintes coordenadas: Latitude 05º28'15'' S e Longitude 49º02'06'' W de Greenwich. Altitude média é de 91 metros e o clima, com base na classificação de Köppen e Geiger, caracteriza-se por tropical, do tipo Aw, com temperatura média de 27 ºC e pluviosidade média anual de 1.837 mm</w:t>
      </w:r>
      <w:r w:rsidR="005C57EA" w:rsidRPr="001010C1">
        <w:rPr>
          <w:sz w:val="24"/>
          <w:szCs w:val="24"/>
          <w:shd w:val="clear" w:color="auto" w:fill="FFFFFF"/>
        </w:rPr>
        <w:t>.</w:t>
      </w:r>
      <w:r w:rsidR="005C57EA">
        <w:rPr>
          <w:sz w:val="24"/>
          <w:szCs w:val="24"/>
          <w:shd w:val="clear" w:color="auto" w:fill="FFFFFF"/>
        </w:rPr>
        <w:t xml:space="preserve"> </w:t>
      </w:r>
      <w:r w:rsidR="00DD7E36" w:rsidRPr="00DD7E36">
        <w:rPr>
          <w:sz w:val="24"/>
          <w:szCs w:val="24"/>
          <w:shd w:val="clear" w:color="auto" w:fill="FFFFFF"/>
        </w:rPr>
        <w:t>Em se tratando do solo da área experimental, segundo os critérios do Sistema Brasileiro de Classificação de Solos, trata-se de um Argissolo de textura argilosa (EMBRAPA, 2018).</w:t>
      </w:r>
    </w:p>
    <w:p w14:paraId="26F3E798" w14:textId="77777777" w:rsidR="00893A14" w:rsidRDefault="00893A14" w:rsidP="005C57EA">
      <w:pPr>
        <w:widowControl/>
        <w:adjustRightInd w:val="0"/>
        <w:spacing w:line="360" w:lineRule="auto"/>
        <w:ind w:firstLine="720"/>
        <w:jc w:val="both"/>
        <w:rPr>
          <w:sz w:val="24"/>
          <w:szCs w:val="24"/>
        </w:rPr>
      </w:pPr>
    </w:p>
    <w:p w14:paraId="36CA4C3A" w14:textId="1D96FC6C" w:rsidR="00760B5A" w:rsidRDefault="00760B5A" w:rsidP="00760B5A">
      <w:pPr>
        <w:widowControl/>
        <w:adjustRightInd w:val="0"/>
        <w:spacing w:line="360" w:lineRule="auto"/>
        <w:ind w:firstLine="720"/>
        <w:jc w:val="center"/>
        <w:rPr>
          <w:sz w:val="24"/>
          <w:szCs w:val="24"/>
        </w:rPr>
      </w:pPr>
      <w:r>
        <w:t xml:space="preserve">Figura 1 – </w:t>
      </w:r>
      <w:r>
        <w:rPr>
          <w:sz w:val="20"/>
          <w:szCs w:val="20"/>
        </w:rPr>
        <w:t>Mapa da área de estudo</w:t>
      </w:r>
    </w:p>
    <w:p w14:paraId="3C2F23F5" w14:textId="0B88BE38" w:rsidR="00893A14" w:rsidRDefault="00535305" w:rsidP="005C57EA">
      <w:pPr>
        <w:widowControl/>
        <w:adjustRightInd w:val="0"/>
        <w:spacing w:line="360" w:lineRule="auto"/>
        <w:ind w:firstLine="720"/>
        <w:jc w:val="both"/>
        <w:rPr>
          <w:sz w:val="24"/>
          <w:szCs w:val="24"/>
        </w:rPr>
      </w:pPr>
      <w:r>
        <w:rPr>
          <w:noProof/>
          <w:highlight w:val="white"/>
        </w:rPr>
        <mc:AlternateContent>
          <mc:Choice Requires="wps">
            <w:drawing>
              <wp:inline distT="114300" distB="114300" distL="114300" distR="114300" wp14:anchorId="17F626D0" wp14:editId="593BC371">
                <wp:extent cx="5241900" cy="2842200"/>
                <wp:effectExtent l="0" t="0" r="16510" b="15875"/>
                <wp:docPr id="409227634" name="Retângulo 409227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900" cy="2842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F89622" w14:textId="77777777" w:rsidR="00535305" w:rsidRDefault="00535305" w:rsidP="0053530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6E7C22" wp14:editId="679CF5A6">
                                  <wp:extent cx="5082540" cy="2674620"/>
                                  <wp:effectExtent l="0" t="0" r="3810" b="0"/>
                                  <wp:docPr id="2065228267" name="Imagem 2065228267" descr="Diagrama, Mapa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m 2" descr="Diagrama, Mapa&#10;&#10;Descrição gerada automaticamente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3817" cy="26805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F626D0" id="Retângulo 409227634" o:spid="_x0000_s1026" style="width:412.75pt;height:2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3F89622" w14:textId="77777777" w:rsidR="00535305" w:rsidRDefault="00535305" w:rsidP="00535305">
                      <w:pPr>
                        <w:jc w:val="center"/>
                        <w:textDirection w:val="btL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6E7C22" wp14:editId="679CF5A6">
                            <wp:extent cx="5082540" cy="2674620"/>
                            <wp:effectExtent l="0" t="0" r="3810" b="0"/>
                            <wp:docPr id="2065228267" name="Imagem 2065228267" descr="Diagrama, Mapa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m 2" descr="Diagrama, Mapa&#10;&#10;Descrição gerada automaticamente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3817" cy="26805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FC199A8" w14:textId="3630C1CD" w:rsidR="00893A14" w:rsidRDefault="0072350E" w:rsidP="008E4176">
      <w:pPr>
        <w:widowControl/>
        <w:adjustRightInd w:val="0"/>
        <w:spacing w:line="360" w:lineRule="auto"/>
        <w:ind w:firstLine="720"/>
        <w:jc w:val="center"/>
        <w:rPr>
          <w:sz w:val="24"/>
          <w:szCs w:val="24"/>
        </w:rPr>
      </w:pPr>
      <w:r>
        <w:rPr>
          <w:highlight w:val="white"/>
        </w:rPr>
        <w:t xml:space="preserve">Fonte: </w:t>
      </w:r>
      <w:r>
        <w:t>Autores, 2021.</w:t>
      </w:r>
    </w:p>
    <w:p w14:paraId="089232C9" w14:textId="77777777" w:rsidR="00893A14" w:rsidRDefault="00893A14" w:rsidP="005C57EA">
      <w:pPr>
        <w:widowControl/>
        <w:adjustRightInd w:val="0"/>
        <w:spacing w:line="360" w:lineRule="auto"/>
        <w:ind w:firstLine="720"/>
        <w:jc w:val="both"/>
        <w:rPr>
          <w:sz w:val="24"/>
          <w:szCs w:val="24"/>
        </w:rPr>
      </w:pPr>
    </w:p>
    <w:p w14:paraId="0E93BD28" w14:textId="77777777" w:rsidR="00893A14" w:rsidRDefault="00893A14" w:rsidP="0072350E">
      <w:pPr>
        <w:widowControl/>
        <w:adjustRightInd w:val="0"/>
        <w:spacing w:line="360" w:lineRule="auto"/>
        <w:jc w:val="both"/>
        <w:rPr>
          <w:sz w:val="24"/>
          <w:szCs w:val="24"/>
        </w:rPr>
      </w:pPr>
    </w:p>
    <w:p w14:paraId="3C1C8415" w14:textId="742A6E6D" w:rsidR="001F3B58" w:rsidRPr="001F4E25" w:rsidRDefault="004C7709" w:rsidP="006E4B19">
      <w:pPr>
        <w:spacing w:line="360" w:lineRule="auto"/>
        <w:ind w:firstLine="720"/>
        <w:jc w:val="both"/>
        <w:rPr>
          <w:sz w:val="24"/>
        </w:rPr>
      </w:pPr>
      <w:r w:rsidRPr="00AC6D3B">
        <w:rPr>
          <w:sz w:val="24"/>
        </w:rPr>
        <w:lastRenderedPageBreak/>
        <w:t>As amostras foram coletadas em um ponto central de cada parcela na e</w:t>
      </w:r>
      <w:r>
        <w:rPr>
          <w:sz w:val="24"/>
        </w:rPr>
        <w:t>ntrelinha da cultura da área escolhida</w:t>
      </w:r>
      <w:r w:rsidRPr="00AC6D3B">
        <w:rPr>
          <w:sz w:val="24"/>
        </w:rPr>
        <w:t>, com limpeza da superfície do terreno. Em cada parcela foram coletadas 9 amostras para determinação da densidade</w:t>
      </w:r>
      <w:r>
        <w:rPr>
          <w:sz w:val="24"/>
        </w:rPr>
        <w:t xml:space="preserve"> (Ds) e umidade gravimétrica (CVC)</w:t>
      </w:r>
      <w:r w:rsidRPr="00AC6D3B">
        <w:rPr>
          <w:sz w:val="24"/>
        </w:rPr>
        <w:t xml:space="preserve"> em cada profundidade.</w:t>
      </w:r>
      <w:r>
        <w:rPr>
          <w:sz w:val="24"/>
        </w:rPr>
        <w:t xml:space="preserve"> </w:t>
      </w:r>
      <w:r w:rsidR="003A7253" w:rsidRPr="00AC6D3B">
        <w:rPr>
          <w:sz w:val="24"/>
        </w:rPr>
        <w:t>A coleta para determinação da densidade do solo foi realizada em abril de 20</w:t>
      </w:r>
      <w:r w:rsidR="003A7253">
        <w:rPr>
          <w:sz w:val="24"/>
        </w:rPr>
        <w:t>21</w:t>
      </w:r>
      <w:r w:rsidR="003A7253" w:rsidRPr="00AC6D3B">
        <w:rPr>
          <w:sz w:val="24"/>
        </w:rPr>
        <w:t xml:space="preserve">, nas camadas de 0-0,05 m, 5-0,10 m e 10-0,15 m. Foram coletados torrões com aproximadamente </w:t>
      </w:r>
      <w:r w:rsidR="003A7253">
        <w:rPr>
          <w:sz w:val="24"/>
        </w:rPr>
        <w:t>74</w:t>
      </w:r>
      <w:r w:rsidR="003A7253" w:rsidRPr="00AC6D3B">
        <w:rPr>
          <w:sz w:val="24"/>
        </w:rPr>
        <w:t xml:space="preserve"> cm³ para determinação do anel volumétrico</w:t>
      </w:r>
      <w:r>
        <w:rPr>
          <w:sz w:val="24"/>
        </w:rPr>
        <w:t xml:space="preserve">, </w:t>
      </w:r>
      <w:r w:rsidRPr="004C7709">
        <w:rPr>
          <w:sz w:val="24"/>
        </w:rPr>
        <w:t>Conforme Manual de Métodos de Análise do Solo proposto pela Embrapa</w:t>
      </w:r>
      <w:r w:rsidRPr="00AC6D3B">
        <w:rPr>
          <w:sz w:val="24"/>
        </w:rPr>
        <w:t xml:space="preserve"> </w:t>
      </w:r>
      <w:r w:rsidR="003A7253" w:rsidRPr="00AC6D3B">
        <w:rPr>
          <w:sz w:val="24"/>
        </w:rPr>
        <w:t>(</w:t>
      </w:r>
      <w:r w:rsidR="003A7253">
        <w:rPr>
          <w:sz w:val="24"/>
        </w:rPr>
        <w:t>2017</w:t>
      </w:r>
      <w:r w:rsidR="003A7253" w:rsidRPr="00AC6D3B">
        <w:rPr>
          <w:sz w:val="24"/>
        </w:rPr>
        <w:t xml:space="preserve">). </w:t>
      </w:r>
      <w:r w:rsidRPr="004C7709">
        <w:rPr>
          <w:sz w:val="24"/>
        </w:rPr>
        <w:t>As amostras foram coletadas em cilindros de aço com bordas biseladas, apresentando um diâmetro de 4,6 cm, altura de 4,5 cm e volume de 74 cm³.</w:t>
      </w:r>
      <w:r>
        <w:rPr>
          <w:sz w:val="24"/>
        </w:rPr>
        <w:t xml:space="preserve"> </w:t>
      </w:r>
      <w:r w:rsidR="003A7253" w:rsidRPr="00AC6D3B">
        <w:rPr>
          <w:sz w:val="24"/>
        </w:rPr>
        <w:t>Os valores obtidos a partir dessa coleta foram utilizados para comparações. Os resultados foram submetidos à análise de variância, e a comparação entre as médias foi feita pelo teste de Tukey, a 5% de probabilidade utilizando o SISVAR (FERREIRA, 2014).</w:t>
      </w:r>
    </w:p>
    <w:p w14:paraId="4ECD85E8" w14:textId="327E46BA" w:rsidR="003949CE" w:rsidRPr="001F4E25" w:rsidRDefault="003949CE" w:rsidP="006E4B19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before="240" w:after="240"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</w:p>
    <w:p w14:paraId="0EA9AA65" w14:textId="4763CF8D" w:rsidR="003949CE" w:rsidRPr="00276658" w:rsidRDefault="00B84B1E" w:rsidP="00276658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710D6">
        <w:rPr>
          <w:sz w:val="24"/>
          <w:szCs w:val="24"/>
        </w:rPr>
        <w:t>ara os indicadores de qualidade física do solo, Ds</w:t>
      </w:r>
      <w:r w:rsidR="004710D6" w:rsidRPr="000C3E02">
        <w:rPr>
          <w:sz w:val="24"/>
          <w:szCs w:val="24"/>
        </w:rPr>
        <w:t xml:space="preserve"> </w:t>
      </w:r>
      <w:r w:rsidR="004710D6">
        <w:rPr>
          <w:sz w:val="24"/>
          <w:szCs w:val="24"/>
        </w:rPr>
        <w:t xml:space="preserve">e CVC de acordo com a análise de variância e a comparação das médias, </w:t>
      </w:r>
      <w:r w:rsidR="004710D6" w:rsidRPr="007D3163">
        <w:rPr>
          <w:sz w:val="24"/>
          <w:szCs w:val="24"/>
        </w:rPr>
        <w:t xml:space="preserve">não </w:t>
      </w:r>
      <w:r w:rsidR="0088563B" w:rsidRPr="007D3163">
        <w:rPr>
          <w:sz w:val="24"/>
          <w:szCs w:val="24"/>
        </w:rPr>
        <w:t>houve variação</w:t>
      </w:r>
      <w:r w:rsidR="004710D6" w:rsidRPr="007D3163">
        <w:rPr>
          <w:sz w:val="24"/>
          <w:szCs w:val="24"/>
        </w:rPr>
        <w:t xml:space="preserve"> significativ</w:t>
      </w:r>
      <w:r w:rsidR="0088563B" w:rsidRPr="007D3163">
        <w:rPr>
          <w:sz w:val="24"/>
          <w:szCs w:val="24"/>
        </w:rPr>
        <w:t>a</w:t>
      </w:r>
      <w:r w:rsidR="004710D6">
        <w:rPr>
          <w:sz w:val="24"/>
          <w:szCs w:val="24"/>
        </w:rPr>
        <w:t xml:space="preserve"> em relação a </w:t>
      </w:r>
      <w:r w:rsidR="004710D6" w:rsidRPr="000C3E02">
        <w:rPr>
          <w:sz w:val="24"/>
          <w:szCs w:val="24"/>
        </w:rPr>
        <w:t xml:space="preserve">profundidade </w:t>
      </w:r>
      <w:r w:rsidR="00CA5A13">
        <w:rPr>
          <w:sz w:val="24"/>
          <w:szCs w:val="24"/>
        </w:rPr>
        <w:t xml:space="preserve"> </w:t>
      </w:r>
      <w:r w:rsidR="000B7BB6">
        <w:rPr>
          <w:sz w:val="24"/>
          <w:szCs w:val="24"/>
        </w:rPr>
        <w:t>(</w:t>
      </w:r>
      <w:r w:rsidR="00CA5A13">
        <w:rPr>
          <w:sz w:val="24"/>
          <w:szCs w:val="24"/>
        </w:rPr>
        <w:t>figura 2</w:t>
      </w:r>
      <w:r w:rsidR="000B7BB6">
        <w:rPr>
          <w:sz w:val="24"/>
          <w:szCs w:val="24"/>
        </w:rPr>
        <w:t>)</w:t>
      </w:r>
      <w:r w:rsidR="00276658">
        <w:rPr>
          <w:sz w:val="24"/>
          <w:szCs w:val="24"/>
        </w:rPr>
        <w:t>.</w:t>
      </w:r>
    </w:p>
    <w:p w14:paraId="344FFCE7" w14:textId="78F6D5B4" w:rsidR="003949CE" w:rsidRDefault="00EF7F08" w:rsidP="007C5B9C">
      <w:pPr>
        <w:pBdr>
          <w:bottom w:val="none" w:sz="0" w:space="8" w:color="000000"/>
        </w:pBdr>
        <w:shd w:val="clear" w:color="auto" w:fill="FFFFFF"/>
        <w:tabs>
          <w:tab w:val="left" w:pos="699"/>
        </w:tabs>
        <w:jc w:val="center"/>
        <w:rPr>
          <w:highlight w:val="white"/>
        </w:rPr>
      </w:pPr>
      <w:r>
        <w:rPr>
          <w:highlight w:val="white"/>
        </w:rPr>
        <w:t>F</w:t>
      </w:r>
      <w:r w:rsidR="003949CE">
        <w:rPr>
          <w:highlight w:val="white"/>
        </w:rPr>
        <w:t>igura 2 –</w:t>
      </w:r>
      <w:r w:rsidR="00E74932" w:rsidRPr="00E74932">
        <w:rPr>
          <w:sz w:val="20"/>
          <w:szCs w:val="20"/>
        </w:rPr>
        <w:t xml:space="preserve"> </w:t>
      </w:r>
      <w:r w:rsidR="00E74932">
        <w:rPr>
          <w:sz w:val="20"/>
          <w:szCs w:val="20"/>
        </w:rPr>
        <w:t>Valores de Ds</w:t>
      </w:r>
      <w:r w:rsidR="00E74932" w:rsidRPr="00E203E6">
        <w:rPr>
          <w:sz w:val="20"/>
          <w:szCs w:val="20"/>
        </w:rPr>
        <w:t xml:space="preserve"> e CVC de acordo com a profundidade do solo</w:t>
      </w:r>
      <w:r w:rsidR="003949CE">
        <w:rPr>
          <w:highlight w:val="white"/>
        </w:rPr>
        <w:t>.</w:t>
      </w:r>
    </w:p>
    <w:p w14:paraId="29726C18" w14:textId="623E3404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5D11EF2C" w14:textId="3BC561AE" w:rsidR="003949CE" w:rsidRDefault="00653574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E412F99" wp14:editId="45CBBCD3">
            <wp:simplePos x="0" y="0"/>
            <wp:positionH relativeFrom="column">
              <wp:posOffset>1114425</wp:posOffset>
            </wp:positionH>
            <wp:positionV relativeFrom="paragraph">
              <wp:posOffset>108585</wp:posOffset>
            </wp:positionV>
            <wp:extent cx="4022034" cy="2383492"/>
            <wp:effectExtent l="0" t="0" r="0" b="0"/>
            <wp:wrapNone/>
            <wp:docPr id="1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949CE">
        <w:rPr>
          <w:noProof/>
          <w:highlight w:val="white"/>
        </w:rPr>
        <w:drawing>
          <wp:anchor distT="0" distB="0" distL="114300" distR="114300" simplePos="0" relativeHeight="251659264" behindDoc="0" locked="0" layoutInCell="1" allowOverlap="1" wp14:anchorId="59889157" wp14:editId="04E4163F">
            <wp:simplePos x="0" y="0"/>
            <wp:positionH relativeFrom="column">
              <wp:posOffset>1111250</wp:posOffset>
            </wp:positionH>
            <wp:positionV relativeFrom="paragraph">
              <wp:posOffset>112395</wp:posOffset>
            </wp:positionV>
            <wp:extent cx="3589655" cy="2395220"/>
            <wp:effectExtent l="0" t="0" r="0" b="0"/>
            <wp:wrapThrough wrapText="bothSides">
              <wp:wrapPolygon edited="0">
                <wp:start x="2407" y="1031"/>
                <wp:lineTo x="1605" y="3092"/>
                <wp:lineTo x="1605" y="3779"/>
                <wp:lineTo x="2407" y="4123"/>
                <wp:lineTo x="2407" y="6872"/>
                <wp:lineTo x="917" y="7731"/>
                <wp:lineTo x="459" y="8418"/>
                <wp:lineTo x="459" y="11854"/>
                <wp:lineTo x="802" y="12369"/>
                <wp:lineTo x="2407" y="12369"/>
                <wp:lineTo x="1376" y="13228"/>
                <wp:lineTo x="1376" y="13915"/>
                <wp:lineTo x="2407" y="15118"/>
                <wp:lineTo x="2407" y="17866"/>
                <wp:lineTo x="1146" y="18554"/>
                <wp:lineTo x="1490" y="19584"/>
                <wp:lineTo x="9973" y="20615"/>
                <wp:lineTo x="10087" y="21130"/>
                <wp:lineTo x="13182" y="21130"/>
                <wp:lineTo x="17882" y="20615"/>
                <wp:lineTo x="20863" y="19584"/>
                <wp:lineTo x="20748" y="1031"/>
                <wp:lineTo x="2407" y="1031"/>
              </wp:wrapPolygon>
            </wp:wrapThrough>
            <wp:docPr id="5" name="image5.png" descr="Gráfi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Gráfico&#10;&#10;Descrição gerada automaticamente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2395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472DBF" w14:textId="77777777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45FDA15D" w14:textId="40F3213D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412654C1" w14:textId="77777777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4A8FD4A2" w14:textId="26EA30F0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6125E85A" w14:textId="77777777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376500BC" w14:textId="77777777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1F863A40" w14:textId="77777777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639DB8C5" w14:textId="77777777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3747B46A" w14:textId="77777777" w:rsidR="003949CE" w:rsidRDefault="003949CE" w:rsidP="003949CE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3CDCCCE2" w14:textId="33CBC39F" w:rsidR="003949CE" w:rsidRDefault="003949CE" w:rsidP="00127FDB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center"/>
        <w:rPr>
          <w:highlight w:val="white"/>
        </w:rPr>
      </w:pPr>
      <w:r>
        <w:rPr>
          <w:highlight w:val="white"/>
        </w:rPr>
        <w:t xml:space="preserve">Fonte: </w:t>
      </w:r>
      <w:r w:rsidR="008601FC">
        <w:rPr>
          <w:highlight w:val="white"/>
        </w:rPr>
        <w:t>Autores, 2019.</w:t>
      </w:r>
    </w:p>
    <w:p w14:paraId="29299F9B" w14:textId="77777777" w:rsidR="003949CE" w:rsidRDefault="003949CE" w:rsidP="003949CE">
      <w:pPr>
        <w:widowControl/>
        <w:spacing w:after="160" w:line="259" w:lineRule="auto"/>
        <w:ind w:firstLine="708"/>
        <w:rPr>
          <w:sz w:val="24"/>
          <w:szCs w:val="24"/>
        </w:rPr>
      </w:pPr>
    </w:p>
    <w:p w14:paraId="3E7F09FB" w14:textId="6D544372" w:rsidR="00B3293C" w:rsidRPr="00ED2886" w:rsidRDefault="00B3293C" w:rsidP="00B3293C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D77D13">
        <w:rPr>
          <w:sz w:val="24"/>
          <w:szCs w:val="24"/>
        </w:rPr>
        <w:lastRenderedPageBreak/>
        <w:t xml:space="preserve">A </w:t>
      </w:r>
      <w:r w:rsidRPr="00CA64D3">
        <w:rPr>
          <w:sz w:val="24"/>
          <w:szCs w:val="24"/>
        </w:rPr>
        <w:t>umidade do solo é uma variável que, de acordo com Gonçalves et al. (2011), é fundamental no estudo de diferentes processos agronômicos</w:t>
      </w:r>
      <w:r w:rsidR="00C47D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7D13">
        <w:rPr>
          <w:sz w:val="24"/>
          <w:szCs w:val="24"/>
        </w:rPr>
        <w:t xml:space="preserve">Silva (2011) afirma que </w:t>
      </w:r>
      <w:r w:rsidR="008E5370" w:rsidRPr="008E5370">
        <w:rPr>
          <w:sz w:val="24"/>
          <w:szCs w:val="24"/>
        </w:rPr>
        <w:t xml:space="preserve">o teor dessa variável para o plantio deve apresentar um equilíbrio </w:t>
      </w:r>
      <w:r w:rsidRPr="00D77D13">
        <w:rPr>
          <w:color w:val="000000"/>
          <w:sz w:val="24"/>
          <w:szCs w:val="24"/>
        </w:rPr>
        <w:t>(não muito seco e nem muito úmido).</w:t>
      </w:r>
      <w:r>
        <w:rPr>
          <w:color w:val="000000"/>
          <w:sz w:val="24"/>
          <w:szCs w:val="24"/>
        </w:rPr>
        <w:t xml:space="preserve"> </w:t>
      </w:r>
      <w:r w:rsidRPr="001124C7">
        <w:rPr>
          <w:color w:val="000000"/>
          <w:sz w:val="24"/>
          <w:szCs w:val="24"/>
        </w:rPr>
        <w:t>Relacionado a densidade, s</w:t>
      </w:r>
      <w:r w:rsidRPr="001124C7">
        <w:rPr>
          <w:sz w:val="24"/>
          <w:szCs w:val="24"/>
        </w:rPr>
        <w:t>egundo Stefanosk et al. (2013) deve permanecer entre 1,1 a 1,6 Mg m</w:t>
      </w:r>
      <w:r w:rsidRPr="001124C7">
        <w:rPr>
          <w:sz w:val="24"/>
          <w:szCs w:val="24"/>
          <w:vertAlign w:val="superscript"/>
        </w:rPr>
        <w:t>-3</w:t>
      </w:r>
      <w:r w:rsidRPr="001124C7">
        <w:rPr>
          <w:sz w:val="24"/>
          <w:szCs w:val="24"/>
        </w:rPr>
        <w:t xml:space="preserve"> em solos minerais, 1,6 Mg m</w:t>
      </w:r>
      <w:r w:rsidRPr="001124C7">
        <w:rPr>
          <w:sz w:val="24"/>
          <w:szCs w:val="24"/>
          <w:vertAlign w:val="superscript"/>
        </w:rPr>
        <w:t>-3</w:t>
      </w:r>
      <w:r w:rsidRPr="001124C7">
        <w:rPr>
          <w:sz w:val="24"/>
          <w:szCs w:val="24"/>
        </w:rPr>
        <w:t xml:space="preserve"> em solos de textura arenosa e 1,2 Mg m</w:t>
      </w:r>
      <w:r w:rsidRPr="001124C7">
        <w:rPr>
          <w:sz w:val="24"/>
          <w:szCs w:val="24"/>
          <w:vertAlign w:val="superscript"/>
        </w:rPr>
        <w:t>-3</w:t>
      </w:r>
      <w:r w:rsidRPr="001124C7">
        <w:rPr>
          <w:sz w:val="24"/>
          <w:szCs w:val="24"/>
        </w:rPr>
        <w:t xml:space="preserve"> em solos argilosos.</w:t>
      </w:r>
      <w:r>
        <w:rPr>
          <w:sz w:val="24"/>
          <w:szCs w:val="24"/>
        </w:rPr>
        <w:t xml:space="preserve"> </w:t>
      </w:r>
    </w:p>
    <w:p w14:paraId="2AAEC192" w14:textId="73983D27" w:rsidR="00B3293C" w:rsidRPr="00731631" w:rsidRDefault="00B3293C" w:rsidP="00B3293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Pr="00CA64D3">
        <w:rPr>
          <w:sz w:val="24"/>
          <w:szCs w:val="24"/>
        </w:rPr>
        <w:t xml:space="preserve"> área de estudo</w:t>
      </w:r>
      <w:r>
        <w:rPr>
          <w:sz w:val="24"/>
          <w:szCs w:val="24"/>
        </w:rPr>
        <w:t>,</w:t>
      </w:r>
      <w:r w:rsidRPr="00CA64D3">
        <w:rPr>
          <w:sz w:val="24"/>
          <w:szCs w:val="24"/>
        </w:rPr>
        <w:t xml:space="preserve"> o proprietário cultiva diversos plantios</w:t>
      </w:r>
      <w:r w:rsidR="00277ACB">
        <w:rPr>
          <w:sz w:val="24"/>
          <w:szCs w:val="24"/>
        </w:rPr>
        <w:t>,</w:t>
      </w:r>
      <w:r w:rsidRPr="00CA64D3">
        <w:rPr>
          <w:sz w:val="24"/>
          <w:szCs w:val="24"/>
        </w:rPr>
        <w:t xml:space="preserve"> inclusive o de mandioca, </w:t>
      </w:r>
      <w:r w:rsidR="00EF7F08">
        <w:rPr>
          <w:sz w:val="24"/>
          <w:szCs w:val="24"/>
        </w:rPr>
        <w:t>a qual</w:t>
      </w:r>
      <w:r w:rsidRPr="00CA64D3">
        <w:rPr>
          <w:sz w:val="24"/>
          <w:szCs w:val="24"/>
        </w:rPr>
        <w:t xml:space="preserve"> Gomes e Leal (2003) </w:t>
      </w:r>
      <w:r w:rsidR="00EF7F08">
        <w:rPr>
          <w:sz w:val="24"/>
          <w:szCs w:val="24"/>
        </w:rPr>
        <w:t xml:space="preserve">pontuam a necessidade </w:t>
      </w:r>
      <w:r w:rsidRPr="00CA64D3">
        <w:rPr>
          <w:sz w:val="24"/>
          <w:szCs w:val="24"/>
        </w:rPr>
        <w:t>d</w:t>
      </w:r>
      <w:r w:rsidR="00EF7F08">
        <w:rPr>
          <w:sz w:val="24"/>
          <w:szCs w:val="24"/>
        </w:rPr>
        <w:t>a</w:t>
      </w:r>
      <w:r w:rsidRPr="00CA64D3">
        <w:rPr>
          <w:sz w:val="24"/>
          <w:szCs w:val="24"/>
        </w:rPr>
        <w:t xml:space="preserve"> umidade no solo</w:t>
      </w:r>
      <w:r w:rsidRPr="00CA64D3">
        <w:rPr>
          <w:color w:val="000000"/>
          <w:sz w:val="24"/>
          <w:szCs w:val="24"/>
          <w:shd w:val="clear" w:color="auto" w:fill="FFFFFF"/>
        </w:rPr>
        <w:t xml:space="preserve"> para que ocorra a brotação das manivas e do enraizamento.</w:t>
      </w:r>
      <w:r>
        <w:rPr>
          <w:color w:val="000000"/>
          <w:sz w:val="24"/>
          <w:szCs w:val="24"/>
          <w:shd w:val="clear" w:color="auto" w:fill="FFFFFF"/>
        </w:rPr>
        <w:t xml:space="preserve"> Porém, </w:t>
      </w:r>
      <w:r w:rsidR="00251BBB" w:rsidRPr="00251BBB">
        <w:rPr>
          <w:color w:val="000000"/>
          <w:sz w:val="24"/>
          <w:szCs w:val="24"/>
          <w:shd w:val="clear" w:color="auto" w:fill="FFFFFF"/>
        </w:rPr>
        <w:t>ao realizar a conversão dos valores</w:t>
      </w:r>
      <w:r w:rsidR="00251BBB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da densidade de mg/m³ para g/cm³, apresenta um valor acima dos padrões propostos pela literatura</w:t>
      </w:r>
      <w:r w:rsidR="00EF7F08">
        <w:rPr>
          <w:sz w:val="24"/>
          <w:szCs w:val="24"/>
        </w:rPr>
        <w:t>, a</w:t>
      </w:r>
      <w:r>
        <w:rPr>
          <w:sz w:val="24"/>
          <w:szCs w:val="24"/>
        </w:rPr>
        <w:t xml:space="preserve">ssim, a área de estudo trata-se de um solo compactado. </w:t>
      </w:r>
    </w:p>
    <w:p w14:paraId="0D44BA49" w14:textId="3BA86732" w:rsidR="00B3293C" w:rsidRPr="00F4477C" w:rsidRDefault="00B3293C" w:rsidP="00B3293C">
      <w:pPr>
        <w:spacing w:line="360" w:lineRule="auto"/>
        <w:ind w:firstLine="720"/>
        <w:jc w:val="both"/>
        <w:rPr>
          <w:sz w:val="24"/>
          <w:szCs w:val="24"/>
        </w:rPr>
      </w:pPr>
      <w:r w:rsidRPr="00D77D13">
        <w:rPr>
          <w:color w:val="000000"/>
          <w:sz w:val="24"/>
          <w:szCs w:val="24"/>
        </w:rPr>
        <w:t>Em relação a compactação,</w:t>
      </w:r>
      <w:r>
        <w:rPr>
          <w:color w:val="000000"/>
          <w:sz w:val="24"/>
          <w:szCs w:val="24"/>
        </w:rPr>
        <w:t xml:space="preserve"> consiste n</w:t>
      </w:r>
      <w:r w:rsidRPr="00D77D13">
        <w:rPr>
          <w:color w:val="000000"/>
          <w:sz w:val="24"/>
          <w:szCs w:val="24"/>
        </w:rPr>
        <w:t xml:space="preserve">a </w:t>
      </w:r>
      <w:r w:rsidRPr="00D77D13">
        <w:rPr>
          <w:sz w:val="24"/>
          <w:szCs w:val="24"/>
        </w:rPr>
        <w:t xml:space="preserve">agregação das </w:t>
      </w:r>
      <w:r>
        <w:rPr>
          <w:sz w:val="24"/>
          <w:szCs w:val="24"/>
        </w:rPr>
        <w:t>partículas do solo.</w:t>
      </w:r>
      <w:r w:rsidRPr="00D77D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Onde, Lopes et al (2015) configura como a tensão aplicada sobre </w:t>
      </w:r>
      <w:r w:rsidR="00EF7F08">
        <w:rPr>
          <w:sz w:val="24"/>
          <w:szCs w:val="24"/>
        </w:rPr>
        <w:t xml:space="preserve">o solo </w:t>
      </w:r>
      <w:r>
        <w:rPr>
          <w:sz w:val="24"/>
          <w:szCs w:val="24"/>
        </w:rPr>
        <w:t>e</w:t>
      </w:r>
      <w:r w:rsidRPr="00D77D13">
        <w:rPr>
          <w:sz w:val="24"/>
          <w:szCs w:val="24"/>
        </w:rPr>
        <w:t xml:space="preserve"> que influencia em diversos fatores</w:t>
      </w:r>
      <w:r>
        <w:rPr>
          <w:sz w:val="24"/>
          <w:szCs w:val="24"/>
        </w:rPr>
        <w:t xml:space="preserve">, </w:t>
      </w:r>
      <w:r w:rsidRPr="00887BC7">
        <w:rPr>
          <w:sz w:val="24"/>
          <w:szCs w:val="24"/>
        </w:rPr>
        <w:t xml:space="preserve">tais como </w:t>
      </w:r>
      <w:r w:rsidRPr="00887BC7">
        <w:rPr>
          <w:sz w:val="24"/>
        </w:rPr>
        <w:t>o aumento da densidade, redução no volume de macroporos e na infiltração</w:t>
      </w:r>
      <w:r>
        <w:rPr>
          <w:sz w:val="24"/>
          <w:szCs w:val="24"/>
        </w:rPr>
        <w:t xml:space="preserve">. Diante disto, </w:t>
      </w:r>
      <w:r>
        <w:rPr>
          <w:sz w:val="24"/>
        </w:rPr>
        <w:t xml:space="preserve">limita </w:t>
      </w:r>
      <w:r w:rsidRPr="000E465E">
        <w:rPr>
          <w:sz w:val="24"/>
        </w:rPr>
        <w:t xml:space="preserve">o </w:t>
      </w:r>
      <w:r>
        <w:rPr>
          <w:sz w:val="24"/>
        </w:rPr>
        <w:t>desenvolvimento das plantas,</w:t>
      </w:r>
      <w:r w:rsidRPr="000E465E">
        <w:rPr>
          <w:sz w:val="24"/>
        </w:rPr>
        <w:t xml:space="preserve"> </w:t>
      </w:r>
      <w:r>
        <w:rPr>
          <w:sz w:val="24"/>
        </w:rPr>
        <w:t xml:space="preserve">pois </w:t>
      </w:r>
      <w:r>
        <w:rPr>
          <w:sz w:val="24"/>
          <w:szCs w:val="24"/>
        </w:rPr>
        <w:t xml:space="preserve">dificulta o processo de enraizamento e penetração de água. De fato, </w:t>
      </w:r>
      <w:r w:rsidRPr="00CA64D3">
        <w:rPr>
          <w:sz w:val="24"/>
          <w:szCs w:val="24"/>
        </w:rPr>
        <w:t xml:space="preserve">ocorre a </w:t>
      </w:r>
      <w:r>
        <w:rPr>
          <w:sz w:val="24"/>
          <w:szCs w:val="24"/>
        </w:rPr>
        <w:t>restrição ao movimento da</w:t>
      </w:r>
      <w:r w:rsidRPr="00CA64D3">
        <w:rPr>
          <w:sz w:val="24"/>
          <w:szCs w:val="24"/>
        </w:rPr>
        <w:t xml:space="preserve"> água, sendo</w:t>
      </w:r>
      <w:r>
        <w:rPr>
          <w:sz w:val="24"/>
          <w:szCs w:val="24"/>
        </w:rPr>
        <w:t xml:space="preserve"> provavelmente</w:t>
      </w:r>
      <w:r w:rsidRPr="00CA64D3">
        <w:rPr>
          <w:sz w:val="24"/>
          <w:szCs w:val="24"/>
        </w:rPr>
        <w:t xml:space="preserve"> </w:t>
      </w:r>
      <w:r>
        <w:rPr>
          <w:sz w:val="24"/>
          <w:szCs w:val="24"/>
        </w:rPr>
        <w:t>o fator</w:t>
      </w:r>
      <w:r w:rsidRPr="00CA64D3">
        <w:rPr>
          <w:sz w:val="24"/>
          <w:szCs w:val="24"/>
        </w:rPr>
        <w:t xml:space="preserve"> mais </w:t>
      </w:r>
      <w:r>
        <w:rPr>
          <w:sz w:val="24"/>
          <w:szCs w:val="24"/>
        </w:rPr>
        <w:t xml:space="preserve">negativo relacionado </w:t>
      </w:r>
      <w:r w:rsidRPr="00CA64D3">
        <w:rPr>
          <w:sz w:val="24"/>
          <w:szCs w:val="24"/>
        </w:rPr>
        <w:t>a compactação</w:t>
      </w:r>
      <w:r>
        <w:rPr>
          <w:sz w:val="24"/>
        </w:rPr>
        <w:t xml:space="preserve">. </w:t>
      </w:r>
    </w:p>
    <w:p w14:paraId="20AB377F" w14:textId="5C4B938A" w:rsidR="00B3293C" w:rsidRDefault="00B3293C" w:rsidP="00B3293C">
      <w:pPr>
        <w:spacing w:line="360" w:lineRule="auto"/>
        <w:ind w:firstLine="720"/>
        <w:jc w:val="both"/>
        <w:rPr>
          <w:sz w:val="24"/>
          <w:szCs w:val="24"/>
        </w:rPr>
      </w:pPr>
      <w:r w:rsidRPr="003A330A">
        <w:rPr>
          <w:sz w:val="24"/>
          <w:szCs w:val="24"/>
        </w:rPr>
        <w:t>O culti</w:t>
      </w:r>
      <w:r>
        <w:rPr>
          <w:sz w:val="24"/>
          <w:szCs w:val="24"/>
        </w:rPr>
        <w:t>vo é o principal meio de renda n</w:t>
      </w:r>
      <w:r w:rsidRPr="003A330A">
        <w:rPr>
          <w:sz w:val="24"/>
          <w:szCs w:val="24"/>
        </w:rPr>
        <w:t>a propriedade</w:t>
      </w:r>
      <w:r w:rsidR="00725300">
        <w:rPr>
          <w:sz w:val="24"/>
          <w:szCs w:val="24"/>
        </w:rPr>
        <w:t xml:space="preserve"> </w:t>
      </w:r>
      <w:r w:rsidR="00B570AB">
        <w:rPr>
          <w:sz w:val="24"/>
          <w:szCs w:val="24"/>
        </w:rPr>
        <w:t>estudada</w:t>
      </w:r>
      <w:r w:rsidRPr="003A330A">
        <w:rPr>
          <w:sz w:val="24"/>
          <w:szCs w:val="24"/>
        </w:rPr>
        <w:t xml:space="preserve">. Assim, a problemática caracterizada anteriormente pode gerar uma perda da produtividade econômica, além, de menor </w:t>
      </w:r>
      <w:r>
        <w:rPr>
          <w:sz w:val="24"/>
          <w:szCs w:val="24"/>
        </w:rPr>
        <w:t>qualidade da produção da cultura</w:t>
      </w:r>
      <w:r w:rsidRPr="003A330A">
        <w:rPr>
          <w:sz w:val="24"/>
          <w:szCs w:val="24"/>
        </w:rPr>
        <w:t xml:space="preserve">. Contudo, os métodos mais utilizados no preparo do solo para </w:t>
      </w:r>
    </w:p>
    <w:p w14:paraId="637CC6B8" w14:textId="77777777" w:rsidR="00B3293C" w:rsidRDefault="00B3293C" w:rsidP="00B3293C">
      <w:pPr>
        <w:spacing w:line="360" w:lineRule="auto"/>
        <w:jc w:val="both"/>
        <w:rPr>
          <w:sz w:val="24"/>
          <w:szCs w:val="24"/>
        </w:rPr>
      </w:pPr>
      <w:r w:rsidRPr="003A330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plantação do cultivo ressaltado, é aração e </w:t>
      </w:r>
      <w:r w:rsidRPr="003A330A">
        <w:rPr>
          <w:sz w:val="24"/>
          <w:szCs w:val="24"/>
        </w:rPr>
        <w:t xml:space="preserve">gradagens, o que </w:t>
      </w:r>
      <w:r>
        <w:rPr>
          <w:sz w:val="24"/>
          <w:szCs w:val="24"/>
        </w:rPr>
        <w:t xml:space="preserve">causa consequente a compactação. </w:t>
      </w:r>
    </w:p>
    <w:p w14:paraId="62F69938" w14:textId="50BBD3A8" w:rsidR="00B570AB" w:rsidRPr="001F4E25" w:rsidRDefault="00B3293C" w:rsidP="006E4B1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Logo, med</w:t>
      </w:r>
      <w:r w:rsidRPr="003A330A">
        <w:rPr>
          <w:sz w:val="24"/>
          <w:szCs w:val="24"/>
        </w:rPr>
        <w:t>idas como</w:t>
      </w:r>
      <w:r w:rsidRPr="003A330A">
        <w:rPr>
          <w:color w:val="000000"/>
          <w:sz w:val="24"/>
          <w:szCs w:val="24"/>
          <w:shd w:val="clear" w:color="auto" w:fill="FFFFFF"/>
        </w:rPr>
        <w:t xml:space="preserve"> evitar muita movimentação da camada superficial, adotar </w:t>
      </w:r>
      <w:r>
        <w:rPr>
          <w:sz w:val="24"/>
          <w:szCs w:val="24"/>
        </w:rPr>
        <w:t>práticas conservacionistas,</w:t>
      </w:r>
      <w:r w:rsidRPr="003A330A">
        <w:rPr>
          <w:sz w:val="24"/>
          <w:szCs w:val="24"/>
        </w:rPr>
        <w:t xml:space="preserve"> rotação de cultura</w:t>
      </w:r>
      <w:r>
        <w:rPr>
          <w:sz w:val="24"/>
          <w:szCs w:val="24"/>
        </w:rPr>
        <w:t>s</w:t>
      </w:r>
      <w:r w:rsidRPr="003A330A">
        <w:rPr>
          <w:sz w:val="24"/>
          <w:szCs w:val="24"/>
        </w:rPr>
        <w:t>, diminuir as lavragens, e uso de plantas recuperadoras de solo, são práticas a serem adotadas</w:t>
      </w:r>
      <w:r>
        <w:rPr>
          <w:sz w:val="24"/>
          <w:szCs w:val="24"/>
        </w:rPr>
        <w:t xml:space="preserve"> para melhorar a qualidade do solo para plantio</w:t>
      </w:r>
      <w:r w:rsidRPr="003A330A">
        <w:rPr>
          <w:sz w:val="24"/>
          <w:szCs w:val="24"/>
        </w:rPr>
        <w:t xml:space="preserve"> (OTSUBO et al, 2008; WADT, 2003; MODESTO JÚNIOR et al, 2010).</w:t>
      </w:r>
    </w:p>
    <w:p w14:paraId="6EF26A43" w14:textId="14978B72" w:rsidR="003949CE" w:rsidRDefault="003949CE" w:rsidP="006E4B19">
      <w:pPr>
        <w:widowControl/>
        <w:tabs>
          <w:tab w:val="left" w:pos="1290"/>
        </w:tabs>
        <w:spacing w:before="240" w:after="160" w:line="259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>4. CONCLUSÃO</w:t>
      </w:r>
    </w:p>
    <w:p w14:paraId="437F40C2" w14:textId="50B3AACC" w:rsidR="00EF7F08" w:rsidRPr="00EF7F08" w:rsidRDefault="003949C8" w:rsidP="00EF7F08">
      <w:pPr>
        <w:spacing w:line="360" w:lineRule="auto"/>
        <w:ind w:firstLine="720"/>
        <w:jc w:val="both"/>
        <w:rPr>
          <w:rFonts w:eastAsia="Arial"/>
          <w:sz w:val="24"/>
          <w:szCs w:val="24"/>
        </w:rPr>
      </w:pPr>
      <w:r w:rsidRPr="00B27D1B">
        <w:rPr>
          <w:rFonts w:eastAsia="Arial"/>
          <w:sz w:val="24"/>
          <w:szCs w:val="24"/>
        </w:rPr>
        <w:t>Para uma gestão segura dos recursos naturais, a análise quantitativa e a interpretação dos atributos físicos das principais alterações geradas na qualidade do solo são fundamentais</w:t>
      </w:r>
      <w:r>
        <w:rPr>
          <w:rFonts w:eastAsia="Arial"/>
          <w:sz w:val="24"/>
          <w:szCs w:val="24"/>
        </w:rPr>
        <w:t xml:space="preserve"> para uma tomada de decisão junto ao produtor rural para evitar perdas produtivas no sistema de produção</w:t>
      </w:r>
      <w:r w:rsidRPr="00B27D1B">
        <w:rPr>
          <w:rFonts w:eastAsia="Arial"/>
          <w:sz w:val="24"/>
          <w:szCs w:val="24"/>
        </w:rPr>
        <w:t>.</w:t>
      </w:r>
    </w:p>
    <w:p w14:paraId="10C2D3D4" w14:textId="36EFE1CF" w:rsidR="009C2AFB" w:rsidRPr="006E4B19" w:rsidRDefault="00EF7F08" w:rsidP="006E4B19">
      <w:pPr>
        <w:spacing w:line="360" w:lineRule="auto"/>
        <w:ind w:firstLine="720"/>
        <w:jc w:val="both"/>
        <w:rPr>
          <w:sz w:val="24"/>
          <w:szCs w:val="24"/>
        </w:rPr>
      </w:pPr>
      <w:r w:rsidRPr="00EF7F08">
        <w:rPr>
          <w:sz w:val="24"/>
          <w:szCs w:val="24"/>
        </w:rPr>
        <w:lastRenderedPageBreak/>
        <w:t xml:space="preserve">O estudo demonstrou que a compactação do solo impacta o desenvolvimento das plantas na área de estudo, resultando em potenciais implicações econômicas devido à possível diminuição da produção agrícola. Para mitigar esses impactos, é essencial planejar e adotar métodos e práticas de manejo do solo adequadas, visando um desenvolvimento sustentável e ambientalmente correto. Esses fatores são fundamentais no </w:t>
      </w:r>
      <w:r w:rsidR="002B1F86">
        <w:rPr>
          <w:sz w:val="24"/>
          <w:szCs w:val="24"/>
        </w:rPr>
        <w:t xml:space="preserve">PDS- </w:t>
      </w:r>
      <w:r w:rsidRPr="00EF7F08">
        <w:rPr>
          <w:sz w:val="24"/>
          <w:szCs w:val="24"/>
        </w:rPr>
        <w:t>Porto Seguro, que prioriza a sustentabilidade agrícola na região estudada.</w:t>
      </w:r>
    </w:p>
    <w:p w14:paraId="5D816746" w14:textId="7B4E2719" w:rsidR="003949CE" w:rsidRDefault="003949CE" w:rsidP="006E4B19">
      <w:pPr>
        <w:widowControl/>
        <w:tabs>
          <w:tab w:val="left" w:pos="1290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2046EEC8" w14:textId="77777777" w:rsidR="00485591" w:rsidRDefault="00485591" w:rsidP="00485591">
      <w:pPr>
        <w:jc w:val="both"/>
        <w:rPr>
          <w:sz w:val="24"/>
          <w:szCs w:val="24"/>
        </w:rPr>
      </w:pPr>
      <w:bookmarkStart w:id="2" w:name="_gjdgxs" w:colFirst="0" w:colLast="0"/>
      <w:bookmarkEnd w:id="2"/>
      <w:r w:rsidRPr="00C82CCD">
        <w:rPr>
          <w:sz w:val="24"/>
          <w:szCs w:val="24"/>
        </w:rPr>
        <w:t>BRASIL.  Instituto  Nacional  da  Reforma  Agrária. Assentamentos.  Disponível  em: http://www.incra.gov.br/assentamento. Acesso em: 08 set. 20</w:t>
      </w:r>
      <w:r>
        <w:rPr>
          <w:sz w:val="24"/>
          <w:szCs w:val="24"/>
        </w:rPr>
        <w:t>21</w:t>
      </w:r>
      <w:r w:rsidRPr="00C82CCD">
        <w:rPr>
          <w:sz w:val="24"/>
          <w:szCs w:val="24"/>
        </w:rPr>
        <w:t>.</w:t>
      </w:r>
    </w:p>
    <w:p w14:paraId="5C432A86" w14:textId="77777777" w:rsidR="00485591" w:rsidRDefault="00485591" w:rsidP="00485591">
      <w:pPr>
        <w:jc w:val="both"/>
        <w:rPr>
          <w:sz w:val="24"/>
          <w:szCs w:val="24"/>
        </w:rPr>
      </w:pPr>
    </w:p>
    <w:p w14:paraId="17C3358B" w14:textId="77777777" w:rsidR="00485591" w:rsidRDefault="00485591" w:rsidP="00485591">
      <w:pPr>
        <w:jc w:val="both"/>
        <w:rPr>
          <w:sz w:val="24"/>
          <w:szCs w:val="24"/>
        </w:rPr>
      </w:pPr>
      <w:r w:rsidRPr="00F4477C">
        <w:rPr>
          <w:sz w:val="24"/>
          <w:szCs w:val="24"/>
        </w:rPr>
        <w:t xml:space="preserve">CARDOSO, E. L., FERNANDES, A. H. B. M.; FERNANDES, F. A. Análise de solos: finalidade e procedimentos de amostragem. Corumbá: </w:t>
      </w:r>
      <w:r w:rsidRPr="00F4477C">
        <w:rPr>
          <w:b/>
          <w:sz w:val="24"/>
          <w:szCs w:val="24"/>
        </w:rPr>
        <w:t>Embrapa Pantanal</w:t>
      </w:r>
      <w:r w:rsidRPr="00F4477C">
        <w:rPr>
          <w:sz w:val="24"/>
          <w:szCs w:val="24"/>
        </w:rPr>
        <w:t>, 2009. 5 p. Disponível em: https://www.embrapa.br/pantanal/busca-de-publicacoes/-/publicacao/807342/analise-de-solos-finalidade-e-procedimentos-de-amostragem. Acesso em: 18 maio, 20</w:t>
      </w:r>
      <w:r>
        <w:rPr>
          <w:sz w:val="24"/>
          <w:szCs w:val="24"/>
        </w:rPr>
        <w:t>21</w:t>
      </w:r>
      <w:r w:rsidRPr="00F4477C">
        <w:rPr>
          <w:sz w:val="24"/>
          <w:szCs w:val="24"/>
        </w:rPr>
        <w:t>;</w:t>
      </w:r>
    </w:p>
    <w:p w14:paraId="36E9C753" w14:textId="77777777" w:rsidR="00485591" w:rsidRPr="00F4477C" w:rsidRDefault="00485591" w:rsidP="00485591">
      <w:pPr>
        <w:jc w:val="both"/>
        <w:rPr>
          <w:sz w:val="24"/>
          <w:szCs w:val="24"/>
        </w:rPr>
      </w:pPr>
    </w:p>
    <w:p w14:paraId="41908CF9" w14:textId="77777777" w:rsidR="00485591" w:rsidRPr="0053685D" w:rsidRDefault="00485591" w:rsidP="00485591">
      <w:pPr>
        <w:jc w:val="both"/>
        <w:rPr>
          <w:color w:val="0D0D0D" w:themeColor="text1" w:themeTint="F2"/>
          <w:sz w:val="24"/>
          <w:szCs w:val="24"/>
        </w:rPr>
      </w:pPr>
      <w:r w:rsidRPr="0053685D">
        <w:rPr>
          <w:color w:val="0D0D0D" w:themeColor="text1" w:themeTint="F2"/>
          <w:sz w:val="24"/>
          <w:szCs w:val="24"/>
          <w:shd w:val="clear" w:color="auto" w:fill="FFFFFF"/>
        </w:rPr>
        <w:t xml:space="preserve">EMPRESA BRASILEIRA DE PESQUISA AGROPECUÁRIA - </w:t>
      </w:r>
      <w:r w:rsidRPr="0053685D">
        <w:rPr>
          <w:b/>
          <w:color w:val="0D0D0D" w:themeColor="text1" w:themeTint="F2"/>
          <w:sz w:val="24"/>
          <w:szCs w:val="24"/>
          <w:shd w:val="clear" w:color="auto" w:fill="FFFFFF"/>
        </w:rPr>
        <w:t>EMBRAPA</w:t>
      </w:r>
      <w:r w:rsidRPr="0053685D">
        <w:rPr>
          <w:color w:val="0D0D0D" w:themeColor="text1" w:themeTint="F2"/>
          <w:sz w:val="24"/>
          <w:szCs w:val="24"/>
        </w:rPr>
        <w:t xml:space="preserve"> Sistema Brasileiro de Classificação de Solos / Humberto Gonçalves dos Santos … [et al.]. – 5. </w:t>
      </w:r>
      <w:r w:rsidRPr="0053685D">
        <w:rPr>
          <w:b/>
          <w:bCs/>
          <w:color w:val="0D0D0D" w:themeColor="text1" w:themeTint="F2"/>
          <w:sz w:val="24"/>
          <w:szCs w:val="24"/>
        </w:rPr>
        <w:t>ed., rev. e ampl</w:t>
      </w:r>
      <w:r w:rsidRPr="0053685D">
        <w:rPr>
          <w:color w:val="0D0D0D" w:themeColor="text1" w:themeTint="F2"/>
          <w:sz w:val="24"/>
          <w:szCs w:val="24"/>
        </w:rPr>
        <w:t>. − Brasília, DF: Embrapa, 356. P. 2018. ISBN 978-85-7035-800-4</w:t>
      </w:r>
    </w:p>
    <w:p w14:paraId="617D13C8" w14:textId="77777777" w:rsidR="00485591" w:rsidRPr="0053685D" w:rsidRDefault="00485591" w:rsidP="00485591">
      <w:pPr>
        <w:jc w:val="both"/>
        <w:rPr>
          <w:color w:val="FF0000"/>
          <w:sz w:val="24"/>
          <w:szCs w:val="24"/>
          <w:shd w:val="clear" w:color="auto" w:fill="FFFFFF"/>
        </w:rPr>
      </w:pPr>
    </w:p>
    <w:p w14:paraId="166CCC01" w14:textId="77777777" w:rsidR="00485591" w:rsidRPr="00F4477C" w:rsidRDefault="00485591" w:rsidP="00485591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66DB0EDD" w14:textId="77777777" w:rsidR="00485591" w:rsidRPr="00192E7C" w:rsidRDefault="00485591" w:rsidP="00485591">
      <w:pPr>
        <w:jc w:val="both"/>
        <w:rPr>
          <w:color w:val="0D0D0D" w:themeColor="text1" w:themeTint="F2"/>
          <w:sz w:val="24"/>
          <w:szCs w:val="24"/>
          <w:shd w:val="clear" w:color="auto" w:fill="FFFFFF"/>
          <w:lang w:val="en-US"/>
        </w:rPr>
      </w:pPr>
      <w:r w:rsidRPr="0053685D">
        <w:rPr>
          <w:color w:val="0D0D0D" w:themeColor="text1" w:themeTint="F2"/>
          <w:sz w:val="24"/>
          <w:szCs w:val="24"/>
          <w:shd w:val="clear" w:color="auto" w:fill="FFFFFF"/>
        </w:rPr>
        <w:t xml:space="preserve">EMPRESA BRASILEIRA DE PESQUISA AGROPECUÁRIA — EMBRAPA. Manual de métodos de análise de solo / Paulo César Teixeira ... [et al.], editores técnicos. – 3. </w:t>
      </w:r>
      <w:r w:rsidRPr="0053685D">
        <w:rPr>
          <w:b/>
          <w:bCs/>
          <w:color w:val="0D0D0D" w:themeColor="text1" w:themeTint="F2"/>
          <w:sz w:val="24"/>
          <w:szCs w:val="24"/>
          <w:shd w:val="clear" w:color="auto" w:fill="FFFFFF"/>
        </w:rPr>
        <w:t>ed. rev. e ampl.</w:t>
      </w:r>
      <w:r w:rsidRPr="0053685D">
        <w:rPr>
          <w:color w:val="0D0D0D" w:themeColor="text1" w:themeTint="F2"/>
          <w:sz w:val="24"/>
          <w:szCs w:val="24"/>
          <w:shd w:val="clear" w:color="auto" w:fill="FFFFFF"/>
        </w:rPr>
        <w:t xml:space="preserve"> – Brasília, DF : Embrapa, </w:t>
      </w:r>
      <w:r>
        <w:rPr>
          <w:color w:val="0D0D0D" w:themeColor="text1" w:themeTint="F2"/>
          <w:sz w:val="24"/>
          <w:szCs w:val="24"/>
          <w:shd w:val="clear" w:color="auto" w:fill="FFFFFF"/>
        </w:rPr>
        <w:t xml:space="preserve">574 p., </w:t>
      </w:r>
      <w:r w:rsidRPr="0053685D">
        <w:rPr>
          <w:color w:val="0D0D0D" w:themeColor="text1" w:themeTint="F2"/>
          <w:sz w:val="24"/>
          <w:szCs w:val="24"/>
          <w:shd w:val="clear" w:color="auto" w:fill="FFFFFF"/>
        </w:rPr>
        <w:t xml:space="preserve">2017.  </w:t>
      </w:r>
      <w:r w:rsidRPr="00192E7C">
        <w:rPr>
          <w:color w:val="0D0D0D" w:themeColor="text1" w:themeTint="F2"/>
          <w:sz w:val="24"/>
          <w:szCs w:val="24"/>
          <w:shd w:val="clear" w:color="auto" w:fill="FFFFFF"/>
          <w:lang w:val="en-US"/>
        </w:rPr>
        <w:t>ISBN 978-85-7035-771-7</w:t>
      </w:r>
    </w:p>
    <w:p w14:paraId="7CD61F94" w14:textId="77777777" w:rsidR="00485591" w:rsidRPr="00192E7C" w:rsidRDefault="00485591" w:rsidP="00485591">
      <w:pPr>
        <w:jc w:val="both"/>
        <w:rPr>
          <w:sz w:val="24"/>
          <w:szCs w:val="24"/>
          <w:shd w:val="clear" w:color="auto" w:fill="FFFFFF"/>
          <w:lang w:val="en-US"/>
        </w:rPr>
      </w:pPr>
    </w:p>
    <w:p w14:paraId="3D86752A" w14:textId="77777777" w:rsidR="00485591" w:rsidRDefault="00485591" w:rsidP="00485591">
      <w:pPr>
        <w:jc w:val="both"/>
        <w:rPr>
          <w:sz w:val="24"/>
          <w:szCs w:val="24"/>
        </w:rPr>
      </w:pPr>
      <w:r w:rsidRPr="00192E7C">
        <w:rPr>
          <w:sz w:val="24"/>
          <w:szCs w:val="24"/>
          <w:lang w:val="en-US"/>
        </w:rPr>
        <w:t xml:space="preserve">FERREIRA, D.F. Sisvar: a Guide for its Bootstrap procedures in multiple comparisons. </w:t>
      </w:r>
      <w:r w:rsidRPr="00DF19D3">
        <w:rPr>
          <w:b/>
          <w:sz w:val="24"/>
          <w:szCs w:val="24"/>
        </w:rPr>
        <w:t>Ciênc. agrotec</w:t>
      </w:r>
      <w:r w:rsidRPr="00F4477C">
        <w:rPr>
          <w:sz w:val="24"/>
          <w:szCs w:val="24"/>
        </w:rPr>
        <w:t>. [online], v.38, n.2, p. 109-112, 2014.</w:t>
      </w:r>
    </w:p>
    <w:p w14:paraId="6A49A499" w14:textId="77777777" w:rsidR="00485591" w:rsidRPr="00F4477C" w:rsidRDefault="00485591" w:rsidP="00485591">
      <w:pPr>
        <w:jc w:val="both"/>
        <w:rPr>
          <w:sz w:val="24"/>
          <w:szCs w:val="24"/>
        </w:rPr>
      </w:pPr>
    </w:p>
    <w:p w14:paraId="263C6158" w14:textId="77777777" w:rsidR="00485591" w:rsidRDefault="00485591" w:rsidP="00485591">
      <w:pPr>
        <w:jc w:val="both"/>
        <w:rPr>
          <w:bCs/>
          <w:sz w:val="24"/>
          <w:szCs w:val="24"/>
        </w:rPr>
      </w:pPr>
      <w:r w:rsidRPr="00F4477C">
        <w:rPr>
          <w:bCs/>
          <w:sz w:val="24"/>
          <w:szCs w:val="24"/>
        </w:rPr>
        <w:t xml:space="preserve">GOMES, J. C; LEAL, E. C. Cultivo de Mandiosa Para a Região dos Tabuleiros Costeiros. </w:t>
      </w:r>
      <w:r w:rsidRPr="00F4477C">
        <w:rPr>
          <w:b/>
          <w:bCs/>
          <w:sz w:val="24"/>
          <w:szCs w:val="24"/>
        </w:rPr>
        <w:t>EMBRAPA</w:t>
      </w:r>
      <w:r w:rsidRPr="00F4477C">
        <w:rPr>
          <w:bCs/>
          <w:sz w:val="24"/>
          <w:szCs w:val="24"/>
        </w:rPr>
        <w:t xml:space="preserve">. 2003. Disponível em: </w:t>
      </w:r>
      <w:r w:rsidRPr="00F4477C">
        <w:rPr>
          <w:sz w:val="24"/>
          <w:szCs w:val="24"/>
        </w:rPr>
        <w:t>https://sistemasdeproducao.cnptia.embrapa.br/FontesHTML/Mandioca/mandioca_tabcosteiros/plantio.htm</w:t>
      </w:r>
      <w:r w:rsidRPr="00F4477C">
        <w:rPr>
          <w:bCs/>
          <w:sz w:val="24"/>
          <w:szCs w:val="24"/>
        </w:rPr>
        <w:t>. Acesso em: 16 fev, 20</w:t>
      </w:r>
      <w:r>
        <w:rPr>
          <w:bCs/>
          <w:sz w:val="24"/>
          <w:szCs w:val="24"/>
        </w:rPr>
        <w:t>21</w:t>
      </w:r>
      <w:r w:rsidRPr="00F4477C">
        <w:rPr>
          <w:bCs/>
          <w:sz w:val="24"/>
          <w:szCs w:val="24"/>
        </w:rPr>
        <w:t>;</w:t>
      </w:r>
    </w:p>
    <w:p w14:paraId="756F25B0" w14:textId="77777777" w:rsidR="00485591" w:rsidRPr="00F4477C" w:rsidRDefault="00485591" w:rsidP="00485591">
      <w:pPr>
        <w:jc w:val="both"/>
        <w:rPr>
          <w:bCs/>
          <w:sz w:val="24"/>
          <w:szCs w:val="24"/>
        </w:rPr>
      </w:pPr>
    </w:p>
    <w:p w14:paraId="4405BE08" w14:textId="77777777" w:rsidR="00485591" w:rsidRDefault="00485591" w:rsidP="00485591">
      <w:pPr>
        <w:jc w:val="both"/>
        <w:rPr>
          <w:sz w:val="24"/>
          <w:szCs w:val="24"/>
          <w:shd w:val="clear" w:color="auto" w:fill="FFFFFF"/>
        </w:rPr>
      </w:pPr>
      <w:r w:rsidRPr="00F4477C">
        <w:rPr>
          <w:sz w:val="24"/>
          <w:szCs w:val="24"/>
        </w:rPr>
        <w:t xml:space="preserve">GONÇALVES, A.C.A; Trintinalha, M.A; Tormena, C.A; Folegatti, M.V. Influência Da Densidade Do Solo Na Estimativa Da Umidade Em Um Nitossolo Vermelho Distroférrico, Por Meio Da Técnica De Tdr. </w:t>
      </w:r>
      <w:r w:rsidRPr="00F4477C">
        <w:rPr>
          <w:b/>
          <w:sz w:val="24"/>
          <w:szCs w:val="24"/>
        </w:rPr>
        <w:t>Revis</w:t>
      </w:r>
      <w:r w:rsidRPr="00F4477C">
        <w:rPr>
          <w:b/>
          <w:bCs/>
          <w:sz w:val="24"/>
          <w:szCs w:val="24"/>
        </w:rPr>
        <w:t>ta Brasileira de Ciência do Sol</w:t>
      </w:r>
      <w:r w:rsidRPr="00F4477C">
        <w:rPr>
          <w:bCs/>
          <w:sz w:val="24"/>
          <w:szCs w:val="24"/>
        </w:rPr>
        <w:t xml:space="preserve">. </w:t>
      </w:r>
      <w:r>
        <w:rPr>
          <w:sz w:val="24"/>
          <w:szCs w:val="24"/>
          <w:shd w:val="clear" w:color="auto" w:fill="FFFFFF"/>
        </w:rPr>
        <w:t>vol.35, n.5, 2011.</w:t>
      </w:r>
    </w:p>
    <w:p w14:paraId="2B5824BB" w14:textId="77777777" w:rsidR="00485591" w:rsidRPr="00F4477C" w:rsidRDefault="00485591" w:rsidP="00485591">
      <w:pPr>
        <w:jc w:val="both"/>
        <w:rPr>
          <w:bCs/>
          <w:sz w:val="24"/>
          <w:szCs w:val="24"/>
        </w:rPr>
      </w:pPr>
    </w:p>
    <w:p w14:paraId="6F85DC05" w14:textId="77777777" w:rsidR="00485591" w:rsidRPr="00192E7C" w:rsidRDefault="00485591" w:rsidP="00485591">
      <w:pPr>
        <w:jc w:val="both"/>
        <w:rPr>
          <w:sz w:val="24"/>
          <w:szCs w:val="24"/>
          <w:lang w:val="pt-BR"/>
        </w:rPr>
      </w:pPr>
      <w:r w:rsidRPr="00F4477C">
        <w:rPr>
          <w:sz w:val="24"/>
          <w:szCs w:val="24"/>
        </w:rPr>
        <w:t>LEMOS FILHO, L</w:t>
      </w:r>
      <w:r>
        <w:rPr>
          <w:sz w:val="24"/>
          <w:szCs w:val="24"/>
        </w:rPr>
        <w:t>. C. A.</w:t>
      </w:r>
      <w:r w:rsidRPr="00F4477C">
        <w:rPr>
          <w:sz w:val="24"/>
          <w:szCs w:val="24"/>
        </w:rPr>
        <w:t>; FERREIRA, L</w:t>
      </w:r>
      <w:r>
        <w:rPr>
          <w:sz w:val="24"/>
          <w:szCs w:val="24"/>
        </w:rPr>
        <w:t>. L. N.</w:t>
      </w:r>
      <w:r w:rsidRPr="00F4477C">
        <w:rPr>
          <w:sz w:val="24"/>
          <w:szCs w:val="24"/>
        </w:rPr>
        <w:t>; LYRA, D</w:t>
      </w:r>
      <w:r>
        <w:rPr>
          <w:sz w:val="24"/>
          <w:szCs w:val="24"/>
        </w:rPr>
        <w:t>. L.</w:t>
      </w:r>
      <w:r w:rsidRPr="00F4477C">
        <w:rPr>
          <w:sz w:val="24"/>
          <w:szCs w:val="24"/>
        </w:rPr>
        <w:t xml:space="preserve"> Variabilidade espacial de atributos do solo indicadores de degradação ambiental em microbacia hidrográfica. </w:t>
      </w:r>
      <w:r w:rsidRPr="00192E7C">
        <w:rPr>
          <w:b/>
          <w:sz w:val="24"/>
          <w:szCs w:val="24"/>
          <w:lang w:val="pt-BR"/>
        </w:rPr>
        <w:t>Revista Agro@mbiente On-lin</w:t>
      </w:r>
      <w:r w:rsidRPr="00192E7C">
        <w:rPr>
          <w:sz w:val="24"/>
          <w:szCs w:val="24"/>
          <w:lang w:val="pt-BR"/>
        </w:rPr>
        <w:t>e, v. 11, n. 1, p. 11-20. 2017.</w:t>
      </w:r>
    </w:p>
    <w:p w14:paraId="7D568D98" w14:textId="77777777" w:rsidR="00485591" w:rsidRDefault="00485591" w:rsidP="00485591">
      <w:pPr>
        <w:jc w:val="both"/>
        <w:rPr>
          <w:sz w:val="24"/>
          <w:szCs w:val="24"/>
        </w:rPr>
      </w:pPr>
    </w:p>
    <w:p w14:paraId="7C830211" w14:textId="77777777" w:rsidR="00485591" w:rsidRDefault="00485591" w:rsidP="00485591">
      <w:pPr>
        <w:widowControl/>
        <w:shd w:val="clear" w:color="auto" w:fill="FFFFFF"/>
        <w:autoSpaceDE/>
        <w:autoSpaceDN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LOPES, E. S.; OLIVEIRA, D.; RODRIGUES, C. K.; DRINKO, E. H.</w:t>
      </w:r>
      <w:r w:rsidRPr="00F4477C">
        <w:rPr>
          <w:sz w:val="24"/>
          <w:szCs w:val="24"/>
        </w:rPr>
        <w:t xml:space="preserve">. Compactação de um Solo Submetido ao Tráfego do Harvester e do Forwarder na Colheita de Madeira. </w:t>
      </w:r>
      <w:r w:rsidRPr="00F4477C">
        <w:rPr>
          <w:b/>
          <w:sz w:val="24"/>
          <w:szCs w:val="24"/>
        </w:rPr>
        <w:t>Floresta e Ambiente.</w:t>
      </w:r>
      <w:r w:rsidRPr="00F4477C">
        <w:rPr>
          <w:sz w:val="24"/>
          <w:szCs w:val="24"/>
        </w:rPr>
        <w:t xml:space="preserve"> v. 22, n. 2, 223-230. 2015. </w:t>
      </w:r>
    </w:p>
    <w:p w14:paraId="48F33E23" w14:textId="77777777" w:rsidR="00485591" w:rsidRPr="00F4477C" w:rsidRDefault="00485591" w:rsidP="00485591">
      <w:pPr>
        <w:widowControl/>
        <w:shd w:val="clear" w:color="auto" w:fill="FFFFFF"/>
        <w:autoSpaceDE/>
        <w:autoSpaceDN/>
        <w:jc w:val="both"/>
        <w:outlineLvl w:val="3"/>
        <w:rPr>
          <w:sz w:val="24"/>
          <w:szCs w:val="24"/>
        </w:rPr>
      </w:pPr>
    </w:p>
    <w:p w14:paraId="36A39736" w14:textId="77777777" w:rsidR="00485591" w:rsidRDefault="00485591" w:rsidP="00485591">
      <w:pPr>
        <w:jc w:val="both"/>
        <w:rPr>
          <w:sz w:val="24"/>
          <w:szCs w:val="24"/>
        </w:rPr>
      </w:pPr>
      <w:r>
        <w:rPr>
          <w:sz w:val="24"/>
          <w:szCs w:val="24"/>
        </w:rPr>
        <w:t>MODESTO JÚNIOR, M. S.; ALVES, R. N. B.</w:t>
      </w:r>
      <w:r w:rsidRPr="00F4477C">
        <w:rPr>
          <w:sz w:val="24"/>
          <w:szCs w:val="24"/>
        </w:rPr>
        <w:t>; S</w:t>
      </w:r>
      <w:r>
        <w:rPr>
          <w:sz w:val="24"/>
          <w:szCs w:val="24"/>
        </w:rPr>
        <w:t>ILVA, E. S. A,</w:t>
      </w:r>
      <w:r w:rsidRPr="00F4477C">
        <w:rPr>
          <w:sz w:val="24"/>
          <w:szCs w:val="24"/>
        </w:rPr>
        <w:t xml:space="preserve">. Produtividade de mandioca cultivada por agricultores familiares em áreas de mata de Paragominas, Pará. </w:t>
      </w:r>
      <w:r w:rsidRPr="00F4477C">
        <w:rPr>
          <w:b/>
          <w:sz w:val="24"/>
          <w:szCs w:val="24"/>
        </w:rPr>
        <w:t xml:space="preserve">Revista Amazônia: Ciência &amp; Desenvolvimento. </w:t>
      </w:r>
      <w:r w:rsidRPr="00F4477C">
        <w:rPr>
          <w:sz w:val="24"/>
          <w:szCs w:val="24"/>
        </w:rPr>
        <w:t>Belém, v. 6, n. 11. 2010;</w:t>
      </w:r>
    </w:p>
    <w:p w14:paraId="3CECCBEF" w14:textId="77777777" w:rsidR="00485591" w:rsidRDefault="00485591" w:rsidP="00485591">
      <w:pPr>
        <w:jc w:val="both"/>
        <w:rPr>
          <w:sz w:val="24"/>
          <w:szCs w:val="24"/>
        </w:rPr>
      </w:pPr>
    </w:p>
    <w:p w14:paraId="63585714" w14:textId="77777777" w:rsidR="00485591" w:rsidRDefault="00485591" w:rsidP="00485591">
      <w:pPr>
        <w:jc w:val="both"/>
        <w:rPr>
          <w:sz w:val="24"/>
          <w:szCs w:val="24"/>
        </w:rPr>
      </w:pPr>
      <w:r>
        <w:rPr>
          <w:sz w:val="24"/>
          <w:szCs w:val="24"/>
        </w:rPr>
        <w:t>OTSUBO, A. A.; MERCANTE, F. M.; SILVA, Rogério R. F.; BORGES, C. D.</w:t>
      </w:r>
      <w:r w:rsidRPr="00F4477C">
        <w:rPr>
          <w:sz w:val="24"/>
          <w:szCs w:val="24"/>
        </w:rPr>
        <w:t xml:space="preserve">. Sistemas de preparo do solo, plantas de cobertura e produtividade da cultura da mandioca. </w:t>
      </w:r>
      <w:r w:rsidRPr="00F4477C">
        <w:rPr>
          <w:b/>
          <w:bCs/>
          <w:color w:val="000000"/>
          <w:sz w:val="24"/>
          <w:szCs w:val="24"/>
        </w:rPr>
        <w:t xml:space="preserve">Pesquisa Agropecuária Brasileira. </w:t>
      </w:r>
      <w:r w:rsidRPr="00F4477C">
        <w:rPr>
          <w:sz w:val="24"/>
          <w:szCs w:val="24"/>
        </w:rPr>
        <w:t>Brasília, v.43, n.3, p.327-332. 2008;</w:t>
      </w:r>
    </w:p>
    <w:p w14:paraId="4F119080" w14:textId="77777777" w:rsidR="00485591" w:rsidRPr="00F4477C" w:rsidRDefault="00485591" w:rsidP="00485591">
      <w:pPr>
        <w:jc w:val="both"/>
        <w:rPr>
          <w:sz w:val="24"/>
          <w:szCs w:val="24"/>
        </w:rPr>
      </w:pPr>
    </w:p>
    <w:p w14:paraId="6FE17077" w14:textId="77777777" w:rsidR="00485591" w:rsidRDefault="00485591" w:rsidP="00485591">
      <w:pPr>
        <w:jc w:val="both"/>
        <w:rPr>
          <w:sz w:val="24"/>
          <w:szCs w:val="24"/>
        </w:rPr>
      </w:pPr>
      <w:r w:rsidRPr="00F4477C">
        <w:rPr>
          <w:sz w:val="24"/>
          <w:szCs w:val="24"/>
        </w:rPr>
        <w:t xml:space="preserve">SILVA, J.G. Preparo do Solo. </w:t>
      </w:r>
      <w:r w:rsidRPr="00F4477C">
        <w:rPr>
          <w:b/>
          <w:sz w:val="24"/>
          <w:szCs w:val="24"/>
        </w:rPr>
        <w:t>EMBRAPA.</w:t>
      </w:r>
      <w:r w:rsidRPr="00F4477C">
        <w:rPr>
          <w:sz w:val="24"/>
          <w:szCs w:val="24"/>
        </w:rPr>
        <w:t xml:space="preserve"> 2011. Disponível em: https://www.agencia.cnptia.embrapa.br/Repositorio/CONTAG01_83_1311200215104.html. Acesso em: 16 fev, 20</w:t>
      </w:r>
      <w:r>
        <w:rPr>
          <w:sz w:val="24"/>
          <w:szCs w:val="24"/>
        </w:rPr>
        <w:t>20</w:t>
      </w:r>
      <w:r w:rsidRPr="00F4477C">
        <w:rPr>
          <w:sz w:val="24"/>
          <w:szCs w:val="24"/>
        </w:rPr>
        <w:t>;</w:t>
      </w:r>
    </w:p>
    <w:p w14:paraId="36A469A3" w14:textId="77777777" w:rsidR="00485591" w:rsidRDefault="00485591" w:rsidP="00485591">
      <w:pPr>
        <w:jc w:val="both"/>
        <w:rPr>
          <w:sz w:val="24"/>
          <w:szCs w:val="24"/>
        </w:rPr>
      </w:pPr>
    </w:p>
    <w:p w14:paraId="5C7554F9" w14:textId="77777777" w:rsidR="00485591" w:rsidRDefault="00485591" w:rsidP="00485591">
      <w:pPr>
        <w:jc w:val="both"/>
        <w:rPr>
          <w:sz w:val="24"/>
          <w:szCs w:val="24"/>
        </w:rPr>
      </w:pPr>
      <w:r w:rsidRPr="003B6255">
        <w:rPr>
          <w:sz w:val="24"/>
          <w:szCs w:val="24"/>
        </w:rPr>
        <w:t>SILVA. E. B.; NOGUEIRA. R. E.; UBERTI. A. A. A. Avaliação da aptidão agrícola das terras  como  subsídio  ao  assentamento  de  famílias  rurais,  utilizando  sistemas  de informações geográficas. Revista Brasileira de Ciência do Solo, Viçosa-MG, v. 34, n. 6, p.1977-1990, 2010.</w:t>
      </w:r>
    </w:p>
    <w:p w14:paraId="1C49CE98" w14:textId="77777777" w:rsidR="00485591" w:rsidRDefault="00485591" w:rsidP="00485591">
      <w:pPr>
        <w:jc w:val="both"/>
        <w:rPr>
          <w:sz w:val="24"/>
          <w:szCs w:val="24"/>
        </w:rPr>
      </w:pPr>
    </w:p>
    <w:p w14:paraId="5687538A" w14:textId="77777777" w:rsidR="00485591" w:rsidRDefault="00485591" w:rsidP="00485591">
      <w:pPr>
        <w:jc w:val="both"/>
        <w:rPr>
          <w:rStyle w:val="issn"/>
          <w:sz w:val="24"/>
          <w:szCs w:val="24"/>
          <w:shd w:val="clear" w:color="auto" w:fill="FFFFFF"/>
        </w:rPr>
      </w:pPr>
      <w:r w:rsidRPr="00F4477C">
        <w:rPr>
          <w:sz w:val="24"/>
          <w:szCs w:val="24"/>
        </w:rPr>
        <w:t xml:space="preserve">STEFANOSKI, D.C; SANTOS, G.G; MARCHÃO, R.L; PETTER, F.A; PACHECO, L.P. Uso e manejo do solo e seus impactos sobre a qualidade física. Campina Grande: </w:t>
      </w:r>
      <w:r w:rsidRPr="00F4477C">
        <w:rPr>
          <w:b/>
          <w:sz w:val="24"/>
          <w:szCs w:val="24"/>
        </w:rPr>
        <w:t>Revista Brasileira de Engenharia Agrícola e Ambiental</w:t>
      </w:r>
      <w:r w:rsidRPr="00F4477C">
        <w:rPr>
          <w:sz w:val="24"/>
          <w:szCs w:val="24"/>
        </w:rPr>
        <w:t xml:space="preserve">. v.17, n.12, 2013. </w:t>
      </w:r>
      <w:r w:rsidRPr="00F4477C">
        <w:rPr>
          <w:rStyle w:val="issn"/>
          <w:sz w:val="24"/>
          <w:szCs w:val="24"/>
          <w:shd w:val="clear" w:color="auto" w:fill="FFFFFF"/>
        </w:rPr>
        <w:t> ISSN 1807-1929;</w:t>
      </w:r>
    </w:p>
    <w:p w14:paraId="209CC96C" w14:textId="77777777" w:rsidR="00485591" w:rsidRPr="00F4477C" w:rsidRDefault="00485591" w:rsidP="00485591">
      <w:pPr>
        <w:jc w:val="both"/>
        <w:rPr>
          <w:rStyle w:val="issn"/>
          <w:sz w:val="24"/>
          <w:szCs w:val="24"/>
          <w:shd w:val="clear" w:color="auto" w:fill="FFFFFF"/>
        </w:rPr>
      </w:pPr>
    </w:p>
    <w:p w14:paraId="39E80A7A" w14:textId="77777777" w:rsidR="00485591" w:rsidRDefault="00485591" w:rsidP="004855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WADT, P. G. S</w:t>
      </w:r>
      <w:r w:rsidRPr="00F4477C">
        <w:rPr>
          <w:color w:val="000000"/>
          <w:sz w:val="24"/>
          <w:szCs w:val="24"/>
        </w:rPr>
        <w:t xml:space="preserve">. Práticas de conservação do solo e recuperação de áreas degradas. Rio Branco: </w:t>
      </w:r>
      <w:r w:rsidRPr="00F4477C">
        <w:rPr>
          <w:b/>
          <w:color w:val="000000"/>
          <w:sz w:val="24"/>
          <w:szCs w:val="24"/>
        </w:rPr>
        <w:t xml:space="preserve">Embrapa Acre. </w:t>
      </w:r>
      <w:r w:rsidRPr="00F4477C">
        <w:rPr>
          <w:color w:val="000000"/>
          <w:sz w:val="24"/>
          <w:szCs w:val="24"/>
        </w:rPr>
        <w:t>2003. ISSN 0104-9046</w:t>
      </w:r>
    </w:p>
    <w:p w14:paraId="15E6C6C9" w14:textId="77777777" w:rsidR="00485591" w:rsidRPr="003B36DF" w:rsidRDefault="00485591" w:rsidP="00485591">
      <w:pPr>
        <w:widowControl/>
        <w:autoSpaceDE/>
        <w:autoSpaceDN/>
        <w:jc w:val="both"/>
        <w:rPr>
          <w:b/>
          <w:color w:val="000000"/>
          <w:sz w:val="24"/>
          <w:szCs w:val="24"/>
        </w:rPr>
      </w:pPr>
    </w:p>
    <w:p w14:paraId="74D32050" w14:textId="28F745B6" w:rsidR="00DB5854" w:rsidRPr="003949CE" w:rsidRDefault="00DB5854" w:rsidP="003949CE"/>
    <w:sectPr w:rsidR="00DB5854" w:rsidRPr="003949CE" w:rsidSect="005A1575">
      <w:headerReference w:type="default" r:id="rId15"/>
      <w:footerReference w:type="default" r:id="rId16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30B1CA11" w14:textId="50594251" w:rsidR="00006AF3" w:rsidRDefault="00006AF3" w:rsidP="00006AF3">
      <w:pPr>
        <w:pStyle w:val="Textodecomentrio"/>
      </w:pPr>
      <w:r>
        <w:rPr>
          <w:rStyle w:val="Refdecomentrio"/>
        </w:rPr>
        <w:annotationRef/>
      </w:r>
      <w:r>
        <w:t xml:space="preserve">Inserir fonte. </w:t>
      </w:r>
    </w:p>
  </w:comment>
  <w:comment w:id="1" w:author="Autor" w:initials="A">
    <w:p w14:paraId="44295970" w14:textId="77777777" w:rsidR="00A35C2D" w:rsidRDefault="007A3B28" w:rsidP="00A35C2D">
      <w:pPr>
        <w:pStyle w:val="Textodecomentrio"/>
      </w:pPr>
      <w:r>
        <w:rPr>
          <w:rStyle w:val="Refdecomentrio"/>
        </w:rPr>
        <w:annotationRef/>
      </w:r>
      <w:r w:rsidR="00A35C2D">
        <w:t>A redação científica não aceita citações no resumo do trabalho.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B1CA11" w15:done="0"/>
  <w15:commentEx w15:paraId="44295970" w15:paraIdParent="30B1CA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B1CA11" w16cid:durableId="6360D775"/>
  <w16cid:commentId w16cid:paraId="44295970" w16cid:durableId="7B7C09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2A5BB" w14:textId="77777777" w:rsidR="006F1196" w:rsidRDefault="006F1196" w:rsidP="005A1575">
      <w:r>
        <w:separator/>
      </w:r>
    </w:p>
  </w:endnote>
  <w:endnote w:type="continuationSeparator" w:id="0">
    <w:p w14:paraId="4C37CF3E" w14:textId="77777777" w:rsidR="006F1196" w:rsidRDefault="006F1196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E4EA" w14:textId="32DC6FA7" w:rsidR="005A1575" w:rsidRDefault="006458BF">
    <w:pPr>
      <w:pStyle w:val="Rodap"/>
    </w:pPr>
    <w:r>
      <w:rPr>
        <w:noProof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F7F24" w14:textId="77777777" w:rsidR="006F1196" w:rsidRDefault="006F1196" w:rsidP="005A1575">
      <w:r>
        <w:separator/>
      </w:r>
    </w:p>
  </w:footnote>
  <w:footnote w:type="continuationSeparator" w:id="0">
    <w:p w14:paraId="434E1665" w14:textId="77777777" w:rsidR="006F1196" w:rsidRDefault="006F1196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145640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4"/>
    <w:rsid w:val="00002102"/>
    <w:rsid w:val="00006AF3"/>
    <w:rsid w:val="00023BE7"/>
    <w:rsid w:val="00024617"/>
    <w:rsid w:val="00025535"/>
    <w:rsid w:val="00034568"/>
    <w:rsid w:val="00034919"/>
    <w:rsid w:val="00035CFF"/>
    <w:rsid w:val="00051265"/>
    <w:rsid w:val="00062A57"/>
    <w:rsid w:val="000836C7"/>
    <w:rsid w:val="000840C0"/>
    <w:rsid w:val="000A1055"/>
    <w:rsid w:val="000B7BB6"/>
    <w:rsid w:val="000C69C1"/>
    <w:rsid w:val="000D1D89"/>
    <w:rsid w:val="001112F3"/>
    <w:rsid w:val="00124B1B"/>
    <w:rsid w:val="00127FDB"/>
    <w:rsid w:val="001377DD"/>
    <w:rsid w:val="001426D6"/>
    <w:rsid w:val="0016515D"/>
    <w:rsid w:val="001846E6"/>
    <w:rsid w:val="001853C5"/>
    <w:rsid w:val="00192E7C"/>
    <w:rsid w:val="001C499B"/>
    <w:rsid w:val="001E5C5B"/>
    <w:rsid w:val="001F3B58"/>
    <w:rsid w:val="001F4E25"/>
    <w:rsid w:val="001F4F53"/>
    <w:rsid w:val="0020653C"/>
    <w:rsid w:val="00210E11"/>
    <w:rsid w:val="002333BE"/>
    <w:rsid w:val="00251BBB"/>
    <w:rsid w:val="00251D97"/>
    <w:rsid w:val="002627D7"/>
    <w:rsid w:val="00264C73"/>
    <w:rsid w:val="00266433"/>
    <w:rsid w:val="00273005"/>
    <w:rsid w:val="002759A1"/>
    <w:rsid w:val="00276658"/>
    <w:rsid w:val="00277ACB"/>
    <w:rsid w:val="002B0A2C"/>
    <w:rsid w:val="002B1F86"/>
    <w:rsid w:val="002B477C"/>
    <w:rsid w:val="002C72C1"/>
    <w:rsid w:val="002C7B6B"/>
    <w:rsid w:val="002E5102"/>
    <w:rsid w:val="002F4626"/>
    <w:rsid w:val="00314C0B"/>
    <w:rsid w:val="0031571D"/>
    <w:rsid w:val="00344344"/>
    <w:rsid w:val="00361E9C"/>
    <w:rsid w:val="003663B2"/>
    <w:rsid w:val="00373979"/>
    <w:rsid w:val="003877D2"/>
    <w:rsid w:val="003949C8"/>
    <w:rsid w:val="003949CE"/>
    <w:rsid w:val="003A7253"/>
    <w:rsid w:val="003C45BC"/>
    <w:rsid w:val="003D3B1D"/>
    <w:rsid w:val="003F1CFF"/>
    <w:rsid w:val="003F2646"/>
    <w:rsid w:val="00416CCC"/>
    <w:rsid w:val="00416F17"/>
    <w:rsid w:val="00420292"/>
    <w:rsid w:val="00421CC0"/>
    <w:rsid w:val="00423EA8"/>
    <w:rsid w:val="004242E2"/>
    <w:rsid w:val="00440B68"/>
    <w:rsid w:val="004710D6"/>
    <w:rsid w:val="00485591"/>
    <w:rsid w:val="00487EBB"/>
    <w:rsid w:val="004912B5"/>
    <w:rsid w:val="00496F2E"/>
    <w:rsid w:val="004B3806"/>
    <w:rsid w:val="004C7709"/>
    <w:rsid w:val="004D41F9"/>
    <w:rsid w:val="004E2965"/>
    <w:rsid w:val="004E409D"/>
    <w:rsid w:val="00531D22"/>
    <w:rsid w:val="00533BB2"/>
    <w:rsid w:val="00534E6E"/>
    <w:rsid w:val="00535305"/>
    <w:rsid w:val="00547098"/>
    <w:rsid w:val="00585209"/>
    <w:rsid w:val="0058773B"/>
    <w:rsid w:val="005A1575"/>
    <w:rsid w:val="005A1AF5"/>
    <w:rsid w:val="005B3406"/>
    <w:rsid w:val="005C57EA"/>
    <w:rsid w:val="00600405"/>
    <w:rsid w:val="00602F76"/>
    <w:rsid w:val="006300F0"/>
    <w:rsid w:val="006310E8"/>
    <w:rsid w:val="006458BF"/>
    <w:rsid w:val="00653574"/>
    <w:rsid w:val="006571BF"/>
    <w:rsid w:val="00680C20"/>
    <w:rsid w:val="006845A9"/>
    <w:rsid w:val="00691FE8"/>
    <w:rsid w:val="00694E4B"/>
    <w:rsid w:val="006A1F05"/>
    <w:rsid w:val="006A325D"/>
    <w:rsid w:val="006A3D9D"/>
    <w:rsid w:val="006A6C28"/>
    <w:rsid w:val="006B243A"/>
    <w:rsid w:val="006D6B43"/>
    <w:rsid w:val="006E3449"/>
    <w:rsid w:val="006E4B19"/>
    <w:rsid w:val="006F1196"/>
    <w:rsid w:val="006F3229"/>
    <w:rsid w:val="00705210"/>
    <w:rsid w:val="007113F4"/>
    <w:rsid w:val="00715CEE"/>
    <w:rsid w:val="0072350E"/>
    <w:rsid w:val="00725300"/>
    <w:rsid w:val="00760B5A"/>
    <w:rsid w:val="0077722E"/>
    <w:rsid w:val="007A3B28"/>
    <w:rsid w:val="007B00E2"/>
    <w:rsid w:val="007B0F7B"/>
    <w:rsid w:val="007B20B5"/>
    <w:rsid w:val="007C5B9C"/>
    <w:rsid w:val="007D0A9F"/>
    <w:rsid w:val="007D3163"/>
    <w:rsid w:val="00832269"/>
    <w:rsid w:val="00836259"/>
    <w:rsid w:val="0084437F"/>
    <w:rsid w:val="00844BEE"/>
    <w:rsid w:val="008601FC"/>
    <w:rsid w:val="00863114"/>
    <w:rsid w:val="00873E38"/>
    <w:rsid w:val="008819AF"/>
    <w:rsid w:val="0088563B"/>
    <w:rsid w:val="00885923"/>
    <w:rsid w:val="00893A14"/>
    <w:rsid w:val="008A5505"/>
    <w:rsid w:val="008B3ACE"/>
    <w:rsid w:val="008B7562"/>
    <w:rsid w:val="008C7FE9"/>
    <w:rsid w:val="008E4176"/>
    <w:rsid w:val="008E5370"/>
    <w:rsid w:val="00920754"/>
    <w:rsid w:val="009215F8"/>
    <w:rsid w:val="009223EF"/>
    <w:rsid w:val="00922FF8"/>
    <w:rsid w:val="00936169"/>
    <w:rsid w:val="00941CB9"/>
    <w:rsid w:val="00963EE1"/>
    <w:rsid w:val="0096458E"/>
    <w:rsid w:val="00974CDC"/>
    <w:rsid w:val="00976EF6"/>
    <w:rsid w:val="00987F30"/>
    <w:rsid w:val="00990263"/>
    <w:rsid w:val="0099720E"/>
    <w:rsid w:val="009C2AFB"/>
    <w:rsid w:val="00A15E5A"/>
    <w:rsid w:val="00A23100"/>
    <w:rsid w:val="00A35C2D"/>
    <w:rsid w:val="00A52233"/>
    <w:rsid w:val="00A640F2"/>
    <w:rsid w:val="00AC091E"/>
    <w:rsid w:val="00AD0691"/>
    <w:rsid w:val="00AD219C"/>
    <w:rsid w:val="00AE1F84"/>
    <w:rsid w:val="00AE6BBC"/>
    <w:rsid w:val="00B13EDB"/>
    <w:rsid w:val="00B203D5"/>
    <w:rsid w:val="00B2699B"/>
    <w:rsid w:val="00B3293C"/>
    <w:rsid w:val="00B34B8F"/>
    <w:rsid w:val="00B50874"/>
    <w:rsid w:val="00B570AB"/>
    <w:rsid w:val="00B70AC1"/>
    <w:rsid w:val="00B75D4C"/>
    <w:rsid w:val="00B84B1E"/>
    <w:rsid w:val="00B906E4"/>
    <w:rsid w:val="00B95369"/>
    <w:rsid w:val="00BB60A6"/>
    <w:rsid w:val="00BC2E3B"/>
    <w:rsid w:val="00BC3485"/>
    <w:rsid w:val="00BD261C"/>
    <w:rsid w:val="00C007C4"/>
    <w:rsid w:val="00C25B38"/>
    <w:rsid w:val="00C40E80"/>
    <w:rsid w:val="00C47D59"/>
    <w:rsid w:val="00C53DE9"/>
    <w:rsid w:val="00C64E09"/>
    <w:rsid w:val="00C67687"/>
    <w:rsid w:val="00CA2876"/>
    <w:rsid w:val="00CA419E"/>
    <w:rsid w:val="00CA5A13"/>
    <w:rsid w:val="00CB6382"/>
    <w:rsid w:val="00CC5A19"/>
    <w:rsid w:val="00CD63A0"/>
    <w:rsid w:val="00CE3B64"/>
    <w:rsid w:val="00D12400"/>
    <w:rsid w:val="00D441E8"/>
    <w:rsid w:val="00D573A6"/>
    <w:rsid w:val="00D6226A"/>
    <w:rsid w:val="00D62DD6"/>
    <w:rsid w:val="00D86B87"/>
    <w:rsid w:val="00D9347F"/>
    <w:rsid w:val="00DA0151"/>
    <w:rsid w:val="00DA0760"/>
    <w:rsid w:val="00DA78F6"/>
    <w:rsid w:val="00DB5854"/>
    <w:rsid w:val="00DC0BD3"/>
    <w:rsid w:val="00DC5AB9"/>
    <w:rsid w:val="00DD75E7"/>
    <w:rsid w:val="00DD7C9B"/>
    <w:rsid w:val="00DD7E36"/>
    <w:rsid w:val="00E50E59"/>
    <w:rsid w:val="00E57428"/>
    <w:rsid w:val="00E74932"/>
    <w:rsid w:val="00E81C53"/>
    <w:rsid w:val="00E84309"/>
    <w:rsid w:val="00E95B3F"/>
    <w:rsid w:val="00EA4E12"/>
    <w:rsid w:val="00EB6253"/>
    <w:rsid w:val="00EC1F2C"/>
    <w:rsid w:val="00ED28C9"/>
    <w:rsid w:val="00EE1B4B"/>
    <w:rsid w:val="00EF0802"/>
    <w:rsid w:val="00EF7F08"/>
    <w:rsid w:val="00F16894"/>
    <w:rsid w:val="00F46632"/>
    <w:rsid w:val="00F91A48"/>
    <w:rsid w:val="00F948A7"/>
    <w:rsid w:val="00FA6E12"/>
    <w:rsid w:val="00FA7149"/>
    <w:rsid w:val="00FB6C28"/>
    <w:rsid w:val="00FE6F1C"/>
    <w:rsid w:val="00FF4A67"/>
    <w:rsid w:val="00FF60F1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BC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32269"/>
    <w:rPr>
      <w:color w:val="0000FF" w:themeColor="hyperlink"/>
      <w:u w:val="single"/>
    </w:rPr>
  </w:style>
  <w:style w:type="character" w:customStyle="1" w:styleId="issn">
    <w:name w:val="issn"/>
    <w:basedOn w:val="Fontepargpadro"/>
    <w:rsid w:val="00485591"/>
  </w:style>
  <w:style w:type="character" w:styleId="MenoPendente">
    <w:name w:val="Unresolved Mention"/>
    <w:basedOn w:val="Fontepargpadro"/>
    <w:uiPriority w:val="99"/>
    <w:semiHidden/>
    <w:unhideWhenUsed/>
    <w:rsid w:val="001F4E2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F4E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4E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4E2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4E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4E25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yagomiran@hotmail.com" TargetMode="External"/><Relationship Id="rId12" Type="http://schemas.openxmlformats.org/officeDocument/2006/relationships/image" Target="media/image10.t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t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46876182548429"/>
          <c:y val="9.9180621271086775E-2"/>
          <c:w val="0.76684343645867337"/>
          <c:h val="0.618862714463828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Dados!$D$19</c:f>
              <c:strCache>
                <c:ptCount val="1"/>
                <c:pt idx="0">
                  <c:v>Densidade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F1-4094-8272-931D09392A98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F1-4094-8272-931D09392A98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BF1-4094-8272-931D09392A98}"/>
              </c:ext>
            </c:extLst>
          </c:dPt>
          <c:errBars>
            <c:errBarType val="both"/>
            <c:errValType val="cust"/>
            <c:noEndCap val="0"/>
            <c:plus>
              <c:numRef>
                <c:f>Dados!$E$20:$E$26</c:f>
                <c:numCache>
                  <c:formatCode>General</c:formatCode>
                  <c:ptCount val="7"/>
                  <c:pt idx="0">
                    <c:v>7.5897939999999997E-2</c:v>
                  </c:pt>
                  <c:pt idx="1">
                    <c:v>0.259520584</c:v>
                  </c:pt>
                  <c:pt idx="2">
                    <c:v>0.36716320600000002</c:v>
                  </c:pt>
                  <c:pt idx="4">
                    <c:v>4.4632116999999999E-2</c:v>
                  </c:pt>
                  <c:pt idx="5">
                    <c:v>6.0665288979999997E-3</c:v>
                  </c:pt>
                  <c:pt idx="6">
                    <c:v>0.34602363600000002</c:v>
                  </c:pt>
                </c:numCache>
              </c:numRef>
            </c:plus>
            <c:minus>
              <c:numRef>
                <c:f>Dados!$E$20:$E$26</c:f>
                <c:numCache>
                  <c:formatCode>General</c:formatCode>
                  <c:ptCount val="7"/>
                  <c:pt idx="0">
                    <c:v>7.5897939999999997E-2</c:v>
                  </c:pt>
                  <c:pt idx="1">
                    <c:v>0.259520584</c:v>
                  </c:pt>
                  <c:pt idx="2">
                    <c:v>0.36716320600000002</c:v>
                  </c:pt>
                  <c:pt idx="4">
                    <c:v>4.4632116999999999E-2</c:v>
                  </c:pt>
                  <c:pt idx="5">
                    <c:v>6.0665288979999997E-3</c:v>
                  </c:pt>
                  <c:pt idx="6">
                    <c:v>0.34602363600000002</c:v>
                  </c:pt>
                </c:numCache>
              </c:numRef>
            </c:minus>
            <c:spPr>
              <a:noFill/>
              <a:ln w="12700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Ref>
              <c:f>Dados!$C$20:$C$26</c:f>
              <c:strCache>
                <c:ptCount val="7"/>
                <c:pt idx="0">
                  <c:v>5cm</c:v>
                </c:pt>
                <c:pt idx="1">
                  <c:v>10cm</c:v>
                </c:pt>
                <c:pt idx="2">
                  <c:v>15cm</c:v>
                </c:pt>
                <c:pt idx="4">
                  <c:v>5cm</c:v>
                </c:pt>
                <c:pt idx="5">
                  <c:v>10cm</c:v>
                </c:pt>
                <c:pt idx="6">
                  <c:v>15cm</c:v>
                </c:pt>
              </c:strCache>
            </c:strRef>
          </c:cat>
          <c:val>
            <c:numRef>
              <c:f>Dados!$D$20:$D$26</c:f>
              <c:numCache>
                <c:formatCode>General</c:formatCode>
                <c:ptCount val="7"/>
                <c:pt idx="0">
                  <c:v>1.1955374000000001</c:v>
                </c:pt>
                <c:pt idx="1">
                  <c:v>1.1363405</c:v>
                </c:pt>
                <c:pt idx="2">
                  <c:v>1.2564390000000001</c:v>
                </c:pt>
                <c:pt idx="3">
                  <c:v>0</c:v>
                </c:pt>
                <c:pt idx="4">
                  <c:v>0.30968050000000003</c:v>
                </c:pt>
                <c:pt idx="5">
                  <c:v>0.28782472599999998</c:v>
                </c:pt>
                <c:pt idx="6">
                  <c:v>0.398721351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BF1-4094-8272-931D09392A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50"/>
        <c:axId val="384341192"/>
        <c:axId val="384343544"/>
      </c:barChart>
      <c:catAx>
        <c:axId val="384341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2700000" spcFirstLastPara="1" vertOverflow="ellipsis" wrap="square" anchor="t" anchorCtr="0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84343544"/>
        <c:crosses val="autoZero"/>
        <c:auto val="1"/>
        <c:lblAlgn val="ctr"/>
        <c:lblOffset val="100"/>
        <c:noMultiLvlLbl val="0"/>
      </c:catAx>
      <c:valAx>
        <c:axId val="384343544"/>
        <c:scaling>
          <c:orientation val="minMax"/>
          <c:max val="1.750000000000000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Quantidade</a:t>
                </a:r>
                <a:r>
                  <a:rPr lang="pt-BR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em  </a:t>
                </a:r>
                <a:r>
                  <a:rPr lang="pt-BR" sz="1000" b="1" i="0" u="none" strike="noStrike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g.cm </a:t>
                </a:r>
                <a:r>
                  <a:rPr lang="pt-BR" sz="1000" b="1" i="0" u="none" strike="noStrike" baseline="3000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- 3</a:t>
                </a:r>
                <a:endParaRPr lang="pt-BR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4674167349157169E-3"/>
              <c:y val="0.1258065843809593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384341192"/>
        <c:crosses val="autoZero"/>
        <c:crossBetween val="between"/>
        <c:majorUnit val="0.25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0.19605</cdr:x>
      <cdr:y>0.89257</cdr:y>
    </cdr:from>
    <cdr:to>
      <cdr:x>0.41186</cdr:x>
      <cdr:y>0.98623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788504" y="2146942"/>
          <a:ext cx="868017" cy="225287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 b="1">
              <a:latin typeface="Times New Roman" panose="02020603050405020304" pitchFamily="18" charset="0"/>
              <a:cs typeface="Times New Roman" panose="02020603050405020304" pitchFamily="18" charset="0"/>
            </a:rPr>
            <a:t>Densidade</a:t>
          </a:r>
          <a:endParaRPr lang="pt-BR" sz="11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0.69223</cdr:x>
      <cdr:y>0.90633</cdr:y>
    </cdr:from>
    <cdr:to>
      <cdr:x>0.88498</cdr:x>
      <cdr:y>1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2784175" y="2160231"/>
          <a:ext cx="775247" cy="223261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 b="1">
              <a:latin typeface="Times New Roman" panose="02020603050405020304" pitchFamily="18" charset="0"/>
              <a:cs typeface="Times New Roman" panose="02020603050405020304" pitchFamily="18" charset="0"/>
            </a:rPr>
            <a:t>CVC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1986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2024-12-02T14:32:00Z</dcterms:created>
  <dcterms:modified xsi:type="dcterms:W3CDTF">2024-12-02T14:51:00Z</dcterms:modified>
</cp:coreProperties>
</file>