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43B9E">
      <w:pPr>
        <w:pBdr>
          <w:bottom w:val="none" w:color="000000" w:sz="0" w:space="8"/>
        </w:pBdr>
        <w:shd w:val="clear" w:color="auto" w:fill="FFFFFF"/>
        <w:tabs>
          <w:tab w:val="left" w:pos="2500"/>
        </w:tabs>
        <w:jc w:val="center"/>
        <w:rPr>
          <w:b/>
          <w:color w:val="000000"/>
          <w:sz w:val="24"/>
          <w:szCs w:val="24"/>
        </w:rPr>
      </w:pPr>
      <w:r>
        <w:rPr>
          <w:color w:val="000000"/>
          <w:sz w:val="24"/>
          <w:szCs w:val="24"/>
        </w:rPr>
        <w:t xml:space="preserve"> </w:t>
      </w:r>
      <w:r>
        <w:rPr>
          <w:b/>
          <w:color w:val="000000"/>
          <w:sz w:val="24"/>
          <w:szCs w:val="24"/>
        </w:rPr>
        <w:t>EFEITO DE TRATAMENTOS SILVICULTURAIS SOBRE O CRESCIMENTO DE ESPÉCIES ARBÓREAS EM UMA FLORESTA DENSA NA AMAZÔNIA ORIENTAL</w:t>
      </w:r>
    </w:p>
    <w:p w14:paraId="02AC25E4">
      <w:pPr>
        <w:pBdr>
          <w:bottom w:val="none" w:color="000000" w:sz="0" w:space="8"/>
        </w:pBdr>
        <w:shd w:val="clear" w:color="auto" w:fill="FFFFFF"/>
        <w:tabs>
          <w:tab w:val="left" w:pos="2500"/>
        </w:tabs>
        <w:jc w:val="center"/>
        <w:rPr>
          <w:b/>
          <w:color w:val="000000"/>
          <w:sz w:val="24"/>
          <w:szCs w:val="24"/>
        </w:rPr>
      </w:pPr>
      <w:r>
        <w:rPr>
          <w:b/>
          <w:color w:val="000000"/>
          <w:sz w:val="24"/>
          <w:szCs w:val="24"/>
        </w:rPr>
        <w:t xml:space="preserve"> </w:t>
      </w:r>
    </w:p>
    <w:p w14:paraId="73C03EF8">
      <w:pPr>
        <w:pBdr>
          <w:bottom w:val="none" w:color="000000" w:sz="0" w:space="8"/>
        </w:pBdr>
        <w:shd w:val="clear" w:color="auto" w:fill="FFFFFF"/>
        <w:tabs>
          <w:tab w:val="left" w:pos="2500"/>
        </w:tabs>
        <w:jc w:val="center"/>
        <w:rPr>
          <w:b/>
          <w:color w:val="FF0000"/>
          <w:sz w:val="24"/>
          <w:szCs w:val="24"/>
        </w:rPr>
      </w:pPr>
      <w:r>
        <w:rPr>
          <w:color w:val="000000"/>
          <w:sz w:val="24"/>
          <w:szCs w:val="24"/>
        </w:rPr>
        <w:t xml:space="preserve"> </w:t>
      </w:r>
      <w:r>
        <w:rPr>
          <w:color w:val="000000"/>
          <w:sz w:val="24"/>
          <w:szCs w:val="24"/>
          <w:lang w:val="pt-BR"/>
        </w:rPr>
        <w:t>D</w:t>
      </w:r>
      <w:r>
        <w:rPr>
          <w:bCs/>
          <w:color w:val="000000"/>
          <w:sz w:val="24"/>
          <w:szCs w:val="24"/>
        </w:rPr>
        <w:t>iancarlos sérgio pereira de oliveira</w:t>
      </w:r>
      <w:r>
        <w:rPr>
          <w:bCs/>
          <w:color w:val="000000"/>
          <w:sz w:val="24"/>
          <w:szCs w:val="24"/>
          <w:vertAlign w:val="superscript"/>
          <w:lang w:val="pt-BR"/>
        </w:rPr>
        <w:t>1</w:t>
      </w:r>
      <w:r>
        <w:rPr>
          <w:bCs/>
          <w:color w:val="000000"/>
          <w:sz w:val="24"/>
          <w:szCs w:val="24"/>
          <w:lang w:val="pt-BR"/>
        </w:rPr>
        <w:t>; Tainara Galdino da Silva</w:t>
      </w:r>
      <w:r>
        <w:rPr>
          <w:bCs/>
          <w:color w:val="000000"/>
          <w:sz w:val="24"/>
          <w:szCs w:val="24"/>
          <w:vertAlign w:val="superscript"/>
          <w:lang w:val="pt-BR"/>
        </w:rPr>
        <w:t>2</w:t>
      </w:r>
      <w:r>
        <w:rPr>
          <w:bCs/>
          <w:color w:val="000000"/>
          <w:sz w:val="24"/>
          <w:szCs w:val="24"/>
          <w:lang w:val="pt-BR"/>
        </w:rPr>
        <w:t>; Rafael Lima Alencar Monteiro</w:t>
      </w:r>
      <w:r>
        <w:rPr>
          <w:bCs/>
          <w:color w:val="000000"/>
          <w:sz w:val="24"/>
          <w:szCs w:val="24"/>
          <w:vertAlign w:val="superscript"/>
          <w:lang w:val="pt-BR"/>
        </w:rPr>
        <w:t>3</w:t>
      </w:r>
      <w:r>
        <w:rPr>
          <w:bCs/>
          <w:color w:val="000000"/>
          <w:sz w:val="24"/>
          <w:szCs w:val="24"/>
          <w:lang w:val="pt-BR"/>
        </w:rPr>
        <w:t>; João Olegário pereira de Carvalho</w:t>
      </w:r>
      <w:r>
        <w:rPr>
          <w:bCs/>
          <w:color w:val="000000"/>
          <w:sz w:val="24"/>
          <w:szCs w:val="24"/>
          <w:vertAlign w:val="superscript"/>
          <w:lang w:val="pt-BR"/>
        </w:rPr>
        <w:t>4</w:t>
      </w:r>
      <w:r>
        <w:rPr>
          <w:bCs/>
          <w:color w:val="000000"/>
          <w:sz w:val="24"/>
          <w:szCs w:val="24"/>
          <w:lang w:val="pt-BR"/>
        </w:rPr>
        <w:t>;</w:t>
      </w:r>
      <w:r>
        <w:rPr>
          <w:bCs/>
          <w:color w:val="000000"/>
          <w:sz w:val="24"/>
          <w:szCs w:val="24"/>
          <w:vertAlign w:val="superscript"/>
          <w:lang w:val="pt-BR"/>
        </w:rPr>
        <w:t xml:space="preserve"> </w:t>
      </w:r>
      <w:r>
        <w:rPr>
          <w:bCs/>
          <w:color w:val="000000"/>
          <w:sz w:val="24"/>
          <w:szCs w:val="24"/>
          <w:u w:val="single"/>
          <w:lang w:val="pt-BR"/>
        </w:rPr>
        <w:t>Luiz Fernandes Silva Dionisio</w:t>
      </w:r>
      <w:r>
        <w:rPr>
          <w:bCs/>
          <w:color w:val="000000"/>
          <w:sz w:val="24"/>
          <w:szCs w:val="24"/>
          <w:vertAlign w:val="superscript"/>
          <w:lang w:val="pt-BR"/>
        </w:rPr>
        <w:t>5</w:t>
      </w:r>
    </w:p>
    <w:p w14:paraId="313CA283">
      <w:pPr>
        <w:keepLines/>
        <w:shd w:val="clear" w:color="auto" w:fill="FFFFFF"/>
        <w:tabs>
          <w:tab w:val="left" w:pos="2500"/>
        </w:tabs>
        <w:jc w:val="center"/>
        <w:rPr>
          <w:sz w:val="24"/>
          <w:szCs w:val="24"/>
        </w:rPr>
      </w:pPr>
      <w:r>
        <w:rPr>
          <w:sz w:val="24"/>
          <w:szCs w:val="24"/>
          <w:vertAlign w:val="superscript"/>
        </w:rPr>
        <w:t>1</w:t>
      </w:r>
      <w:r>
        <w:rPr>
          <w:sz w:val="24"/>
          <w:szCs w:val="24"/>
        </w:rPr>
        <w:t xml:space="preserve">Mestre </w:t>
      </w:r>
      <w:r>
        <w:rPr>
          <w:sz w:val="24"/>
          <w:szCs w:val="24"/>
          <w:lang w:val="pt-BR"/>
        </w:rPr>
        <w:t>em Ciências Florestais</w:t>
      </w:r>
      <w:r>
        <w:rPr>
          <w:sz w:val="24"/>
          <w:szCs w:val="24"/>
        </w:rPr>
        <w:t xml:space="preserve">. Universidade Federal Rural da Amazônia. </w:t>
      </w:r>
    </w:p>
    <w:p w14:paraId="7E333D26">
      <w:pPr>
        <w:keepLines/>
        <w:shd w:val="clear" w:color="auto" w:fill="FFFFFF"/>
        <w:tabs>
          <w:tab w:val="left" w:pos="2500"/>
        </w:tabs>
        <w:jc w:val="center"/>
        <w:rPr>
          <w:rFonts w:hint="default"/>
          <w:sz w:val="24"/>
          <w:szCs w:val="24"/>
          <w:lang w:val="pt-BR"/>
        </w:rPr>
      </w:pPr>
      <w:r>
        <w:rPr>
          <w:sz w:val="24"/>
          <w:szCs w:val="24"/>
          <w:lang w:val="pt-BR"/>
        </w:rPr>
        <w:t>e</w:t>
      </w:r>
      <w:r>
        <w:rPr>
          <w:sz w:val="24"/>
          <w:szCs w:val="24"/>
        </w:rPr>
        <w:t>-mai</w:t>
      </w:r>
      <w:r>
        <w:rPr>
          <w:sz w:val="24"/>
          <w:szCs w:val="24"/>
          <w:lang w:val="pt-BR"/>
        </w:rPr>
        <w:t xml:space="preserve">l: </w:t>
      </w:r>
      <w:r>
        <w:rPr>
          <w:rFonts w:hint="default"/>
          <w:sz w:val="24"/>
          <w:szCs w:val="24"/>
          <w:lang w:val="pt-BR"/>
        </w:rPr>
        <w:t>diancarlosoliveira@hotmail.com</w:t>
      </w:r>
    </w:p>
    <w:p w14:paraId="0EBDD88A">
      <w:pPr>
        <w:keepLines/>
        <w:shd w:val="clear" w:color="auto" w:fill="FFFFFF"/>
        <w:tabs>
          <w:tab w:val="left" w:pos="2500"/>
        </w:tabs>
        <w:jc w:val="center"/>
        <w:rPr>
          <w:sz w:val="24"/>
          <w:szCs w:val="24"/>
        </w:rPr>
      </w:pPr>
      <w:r>
        <w:rPr>
          <w:sz w:val="24"/>
          <w:szCs w:val="24"/>
          <w:vertAlign w:val="superscript"/>
        </w:rPr>
        <w:t>2</w:t>
      </w:r>
      <w:r>
        <w:rPr>
          <w:sz w:val="24"/>
          <w:szCs w:val="24"/>
          <w:lang w:val="pt-BR"/>
        </w:rPr>
        <w:t>Graduando em Engenharia Florestal</w:t>
      </w:r>
      <w:r>
        <w:rPr>
          <w:sz w:val="24"/>
          <w:szCs w:val="24"/>
        </w:rPr>
        <w:t xml:space="preserve">. </w:t>
      </w:r>
      <w:r>
        <w:rPr>
          <w:sz w:val="24"/>
          <w:szCs w:val="24"/>
          <w:lang w:val="pt-BR"/>
        </w:rPr>
        <w:t>Universidade do Estado do Pará</w:t>
      </w:r>
      <w:r>
        <w:rPr>
          <w:sz w:val="24"/>
          <w:szCs w:val="24"/>
        </w:rPr>
        <w:t xml:space="preserve">. </w:t>
      </w:r>
    </w:p>
    <w:p w14:paraId="2428D1D1">
      <w:pPr>
        <w:keepLines/>
        <w:shd w:val="clear" w:color="auto" w:fill="FFFFFF"/>
        <w:tabs>
          <w:tab w:val="left" w:pos="2500"/>
        </w:tabs>
        <w:jc w:val="center"/>
        <w:rPr>
          <w:sz w:val="24"/>
          <w:szCs w:val="24"/>
          <w:lang w:val="pt-BR"/>
        </w:rPr>
      </w:pPr>
      <w:r>
        <w:rPr>
          <w:sz w:val="24"/>
          <w:szCs w:val="24"/>
          <w:lang w:val="pt-BR"/>
        </w:rPr>
        <w:t>e</w:t>
      </w:r>
      <w:r>
        <w:rPr>
          <w:sz w:val="24"/>
          <w:szCs w:val="24"/>
        </w:rPr>
        <w:t>-mail</w:t>
      </w:r>
      <w:r>
        <w:rPr>
          <w:sz w:val="24"/>
          <w:szCs w:val="24"/>
          <w:lang w:val="pt-BR"/>
        </w:rPr>
        <w:t>:tainara.g.silva@aluno.uepa.br</w:t>
      </w:r>
    </w:p>
    <w:p w14:paraId="4D0614CB">
      <w:pPr>
        <w:keepLines/>
        <w:pBdr>
          <w:bottom w:val="none" w:color="000000" w:sz="0" w:space="8"/>
        </w:pBdr>
        <w:shd w:val="clear" w:color="auto" w:fill="FFFFFF"/>
        <w:tabs>
          <w:tab w:val="left" w:pos="2500"/>
        </w:tabs>
        <w:jc w:val="center"/>
        <w:rPr>
          <w:sz w:val="24"/>
          <w:szCs w:val="24"/>
          <w:lang w:val="pt-BR"/>
        </w:rPr>
      </w:pPr>
      <w:r>
        <w:rPr>
          <w:sz w:val="24"/>
          <w:szCs w:val="24"/>
          <w:vertAlign w:val="superscript"/>
          <w:lang w:val="pt-BR"/>
        </w:rPr>
        <w:t>3</w:t>
      </w:r>
      <w:r>
        <w:rPr>
          <w:sz w:val="24"/>
          <w:szCs w:val="24"/>
          <w:lang w:val="pt-BR"/>
        </w:rPr>
        <w:t>Graduando em Engenharia Florestal. Universidade do Estado do Pará</w:t>
      </w:r>
    </w:p>
    <w:p w14:paraId="7D588FBA">
      <w:pPr>
        <w:keepLines/>
        <w:pBdr>
          <w:bottom w:val="none" w:color="000000" w:sz="0" w:space="8"/>
        </w:pBdr>
        <w:shd w:val="clear" w:color="auto" w:fill="FFFFFF"/>
        <w:tabs>
          <w:tab w:val="left" w:pos="2500"/>
        </w:tabs>
        <w:jc w:val="center"/>
        <w:rPr>
          <w:sz w:val="24"/>
          <w:szCs w:val="24"/>
          <w:lang w:val="pt-BR"/>
        </w:rPr>
      </w:pPr>
      <w:r>
        <w:rPr>
          <w:sz w:val="24"/>
          <w:szCs w:val="24"/>
          <w:lang w:val="pt-BR"/>
        </w:rPr>
        <w:t>e-mail:rafaellimaalencarmonteiro14@gmail.com</w:t>
      </w:r>
    </w:p>
    <w:p w14:paraId="498EC68F">
      <w:pPr>
        <w:keepLines/>
        <w:pBdr>
          <w:bottom w:val="none" w:color="000000" w:sz="0" w:space="8"/>
        </w:pBdr>
        <w:shd w:val="clear" w:color="auto" w:fill="FFFFFF"/>
        <w:tabs>
          <w:tab w:val="left" w:pos="2500"/>
        </w:tabs>
        <w:jc w:val="center"/>
        <w:rPr>
          <w:sz w:val="24"/>
          <w:szCs w:val="24"/>
          <w:lang w:val="pt-BR"/>
        </w:rPr>
      </w:pPr>
      <w:r>
        <w:rPr>
          <w:sz w:val="24"/>
          <w:szCs w:val="24"/>
          <w:vertAlign w:val="superscript"/>
          <w:lang w:val="pt-BR"/>
        </w:rPr>
        <w:t>4</w:t>
      </w:r>
      <w:r>
        <w:rPr>
          <w:sz w:val="24"/>
          <w:szCs w:val="24"/>
          <w:lang w:val="pt-BR"/>
        </w:rPr>
        <w:t xml:space="preserve">Doutor em Silvicultura Tropical. </w:t>
      </w:r>
      <w:r>
        <w:rPr>
          <w:sz w:val="24"/>
          <w:szCs w:val="24"/>
        </w:rPr>
        <w:t>Universidade Federal Rural da Amazônia</w:t>
      </w:r>
      <w:r>
        <w:rPr>
          <w:sz w:val="24"/>
          <w:szCs w:val="24"/>
          <w:lang w:val="pt-BR"/>
        </w:rPr>
        <w:t xml:space="preserve">. </w:t>
      </w:r>
    </w:p>
    <w:p w14:paraId="05643CAF">
      <w:pPr>
        <w:keepLines/>
        <w:pBdr>
          <w:bottom w:val="none" w:color="000000" w:sz="0" w:space="8"/>
        </w:pBdr>
        <w:shd w:val="clear" w:color="auto" w:fill="FFFFFF"/>
        <w:tabs>
          <w:tab w:val="left" w:pos="2500"/>
        </w:tabs>
        <w:jc w:val="center"/>
        <w:rPr>
          <w:sz w:val="24"/>
          <w:szCs w:val="24"/>
          <w:lang w:val="pt-BR"/>
        </w:rPr>
      </w:pPr>
      <w:r>
        <w:rPr>
          <w:sz w:val="24"/>
          <w:szCs w:val="24"/>
          <w:lang w:val="pt-BR"/>
        </w:rPr>
        <w:t>E-mail: olegario.carvalho@ufra.edu.br</w:t>
      </w:r>
    </w:p>
    <w:p w14:paraId="7178CC27">
      <w:pPr>
        <w:keepLines/>
        <w:pBdr>
          <w:bottom w:val="none" w:color="000000" w:sz="0" w:space="8"/>
        </w:pBdr>
        <w:shd w:val="clear" w:color="auto" w:fill="FFFFFF"/>
        <w:tabs>
          <w:tab w:val="left" w:pos="2500"/>
        </w:tabs>
        <w:jc w:val="center"/>
        <w:rPr>
          <w:sz w:val="24"/>
          <w:szCs w:val="24"/>
          <w:lang w:val="pt-BR"/>
        </w:rPr>
      </w:pPr>
      <w:r>
        <w:rPr>
          <w:sz w:val="24"/>
          <w:szCs w:val="24"/>
          <w:vertAlign w:val="superscript"/>
          <w:lang w:val="pt-BR"/>
        </w:rPr>
        <w:t>5</w:t>
      </w:r>
      <w:r>
        <w:rPr>
          <w:sz w:val="24"/>
          <w:szCs w:val="24"/>
          <w:lang w:val="pt-BR"/>
        </w:rPr>
        <w:t xml:space="preserve">Doutor em Ciências Florestais. Universidade do Estado do Pará. </w:t>
      </w:r>
    </w:p>
    <w:p w14:paraId="3812EB47">
      <w:pPr>
        <w:keepLines/>
        <w:pBdr>
          <w:bottom w:val="none" w:color="000000" w:sz="0" w:space="8"/>
        </w:pBdr>
        <w:shd w:val="clear" w:color="auto" w:fill="FFFFFF"/>
        <w:tabs>
          <w:tab w:val="left" w:pos="2500"/>
        </w:tabs>
        <w:jc w:val="center"/>
        <w:rPr>
          <w:b/>
          <w:sz w:val="24"/>
          <w:szCs w:val="24"/>
          <w:u w:val="single"/>
        </w:rPr>
      </w:pPr>
      <w:r>
        <w:rPr>
          <w:sz w:val="24"/>
          <w:szCs w:val="24"/>
          <w:lang w:val="pt-BR"/>
        </w:rPr>
        <w:t>e-mail: luiz.fs.dionisio@uepa.br</w:t>
      </w:r>
      <w:bookmarkStart w:id="0" w:name="_GoBack"/>
      <w:bookmarkEnd w:id="0"/>
    </w:p>
    <w:p w14:paraId="3F9A5BC5">
      <w:pPr>
        <w:pBdr>
          <w:bottom w:val="none" w:color="000000" w:sz="0" w:space="8"/>
        </w:pBdr>
        <w:shd w:val="clear" w:color="auto" w:fill="FFFFFF"/>
        <w:tabs>
          <w:tab w:val="left" w:pos="2500"/>
        </w:tabs>
        <w:rPr>
          <w:b/>
          <w:sz w:val="24"/>
          <w:szCs w:val="24"/>
          <w:u w:val="single"/>
        </w:rPr>
      </w:pPr>
    </w:p>
    <w:p w14:paraId="33B3F28C">
      <w:pPr>
        <w:pBdr>
          <w:bottom w:val="none" w:color="000000" w:sz="0" w:space="8"/>
        </w:pBdr>
        <w:shd w:val="clear" w:color="auto" w:fill="FFFFFF"/>
        <w:tabs>
          <w:tab w:val="left" w:pos="2500"/>
        </w:tabs>
        <w:jc w:val="center"/>
        <w:rPr>
          <w:b/>
          <w:sz w:val="24"/>
          <w:szCs w:val="24"/>
          <w:u w:val="single"/>
        </w:rPr>
      </w:pPr>
      <w:r>
        <w:rPr>
          <w:b/>
          <w:sz w:val="24"/>
          <w:szCs w:val="24"/>
          <w:u w:val="single"/>
        </w:rPr>
        <w:t>RESUMO</w:t>
      </w:r>
    </w:p>
    <w:p w14:paraId="196CBBB4">
      <w:pPr>
        <w:jc w:val="both"/>
        <w:rPr>
          <w:color w:val="000000"/>
          <w:sz w:val="24"/>
          <w:szCs w:val="24"/>
        </w:rPr>
      </w:pPr>
      <w:commentRangeStart w:id="0"/>
      <w:commentRangeStart w:id="1"/>
      <w:r>
        <w:rPr>
          <w:color w:val="000000"/>
          <w:sz w:val="24"/>
          <w:szCs w:val="24"/>
        </w:rPr>
        <w:t xml:space="preserve">O </w:t>
      </w:r>
      <w:commentRangeEnd w:id="0"/>
      <w:r>
        <w:rPr>
          <w:rStyle w:val="4"/>
        </w:rPr>
        <w:commentReference w:id="0"/>
      </w:r>
      <w:commentRangeEnd w:id="1"/>
      <w:r>
        <w:commentReference w:id="1"/>
      </w:r>
      <w:r>
        <w:rPr>
          <w:color w:val="000000"/>
          <w:sz w:val="24"/>
          <w:szCs w:val="24"/>
        </w:rPr>
        <w:t xml:space="preserve">presente estudo avaliou-se o crescimento de 56 espécies de importância ecológica nas florestas densas da Amazônia. O estudo foi realizado na Unidade de Manejo Florestal Fazenda Rio Capim, pertencente ao Grupo Keilla Florestal (CIKEL), localizada no município de Paragominas, Amazônia brasileira. A área experimental é constituída de 700 ha, distribuídos em 14 Unidades de Trabalho. Da área total foram explorados 600 hectares em 2004 e 100 hectares foram deixados intactos. Na área explorada foram aplicados tratamentos silviculturais em 2005, ano seguinte à exploração, consistindo em corte de cipós e refinamento por meio do anelamento de árvores. </w:t>
      </w:r>
      <w:r>
        <w:rPr>
          <w:color w:val="000000"/>
          <w:sz w:val="24"/>
          <w:szCs w:val="24"/>
          <w:lang w:val="pt-BR"/>
        </w:rPr>
        <w:t>O</w:t>
      </w:r>
      <w:r>
        <w:rPr>
          <w:color w:val="000000"/>
          <w:sz w:val="24"/>
          <w:szCs w:val="24"/>
        </w:rPr>
        <w:t>s dados foram analisados utilizando análise de medidas repetidas no tempo (ANOVA) não paramétrica por meio do teste de Kruskall-Wallis (p &lt; 0,05) e após significância, as medidas foram comparadas pelo teste de Dunn (p &lt; 0,05). Houve efeito significativo (p = 0,001), tanto do período como dos tratamentos silviculturais no grupo das 56 espécies. Considerando o grupo de 56 espécies, todos os tratamentos apresentaram maior IPA, aos dois anos após a aplicação de tratamentos silviculturais. O T1 apresentou maior média de IPA, um ano (0,48 cm ano</w:t>
      </w:r>
      <w:r>
        <w:rPr>
          <w:color w:val="000000"/>
          <w:sz w:val="24"/>
          <w:szCs w:val="24"/>
          <w:vertAlign w:val="superscript"/>
        </w:rPr>
        <w:t>-1</w:t>
      </w:r>
      <w:r>
        <w:rPr>
          <w:color w:val="000000"/>
          <w:sz w:val="24"/>
          <w:szCs w:val="24"/>
        </w:rPr>
        <w:t>), dois anos (0,62 cm ano</w:t>
      </w:r>
      <w:r>
        <w:rPr>
          <w:color w:val="000000"/>
          <w:sz w:val="24"/>
          <w:szCs w:val="24"/>
          <w:vertAlign w:val="superscript"/>
        </w:rPr>
        <w:t>-1</w:t>
      </w:r>
      <w:r>
        <w:rPr>
          <w:color w:val="000000"/>
          <w:sz w:val="24"/>
          <w:szCs w:val="24"/>
        </w:rPr>
        <w:t>) e quatro anos (0,52 cm ano</w:t>
      </w:r>
      <w:r>
        <w:rPr>
          <w:color w:val="000000"/>
          <w:sz w:val="24"/>
          <w:szCs w:val="24"/>
          <w:vertAlign w:val="superscript"/>
        </w:rPr>
        <w:t>-1</w:t>
      </w:r>
      <w:r>
        <w:rPr>
          <w:color w:val="000000"/>
          <w:sz w:val="24"/>
          <w:szCs w:val="24"/>
        </w:rPr>
        <w:t>) após a aplicação dos tratamentos silviculturais, diferindo significativamente dos tratamentos T3 e T4 (p = 0,001). O corte de cipós e o desbaste de liberação de copas aumentam o incrementam diamétrico das árvores. A maior captação de radiação solar pelas árvores é fator primordial para aumentar os seus incrementos diamétricos. Conclui-se que o corte de cipós e o desbaste de liberação de copas das árvores para melhor captação de radiação solar são ferramentas importantes para aumentar o incremento diamétrico das árvores para colheitas futuras e, assim, reduzir ciclos de corte.</w:t>
      </w:r>
    </w:p>
    <w:p w14:paraId="7B69AFDE">
      <w:pPr>
        <w:jc w:val="both"/>
        <w:rPr>
          <w:color w:val="000000"/>
          <w:sz w:val="24"/>
          <w:szCs w:val="24"/>
        </w:rPr>
      </w:pPr>
    </w:p>
    <w:p w14:paraId="208CE2CB">
      <w:pPr>
        <w:shd w:val="clear" w:color="auto" w:fill="FFFFFF"/>
        <w:tabs>
          <w:tab w:val="left" w:pos="2500"/>
        </w:tabs>
        <w:jc w:val="both"/>
        <w:rPr>
          <w:sz w:val="24"/>
          <w:szCs w:val="24"/>
        </w:rPr>
      </w:pPr>
      <w:r>
        <w:rPr>
          <w:b/>
          <w:bCs/>
          <w:color w:val="000000"/>
          <w:sz w:val="24"/>
          <w:szCs w:val="24"/>
        </w:rPr>
        <w:t>Palavras-chave</w:t>
      </w:r>
      <w:r>
        <w:rPr>
          <w:color w:val="000000"/>
          <w:sz w:val="24"/>
          <w:szCs w:val="24"/>
        </w:rPr>
        <w:t xml:space="preserve">: incremento diamétrico; corte de cipós; anelagem de árvores. </w:t>
      </w:r>
    </w:p>
    <w:p w14:paraId="57E5450F">
      <w:pPr>
        <w:rPr>
          <w:b/>
          <w:sz w:val="24"/>
          <w:szCs w:val="24"/>
        </w:rPr>
      </w:pPr>
    </w:p>
    <w:p w14:paraId="11973CF3">
      <w:pPr>
        <w:pStyle w:val="5"/>
        <w:spacing w:before="1" w:line="360" w:lineRule="auto"/>
        <w:ind w:right="844"/>
        <w:rPr>
          <w:lang w:val="pt-BR"/>
        </w:rPr>
      </w:pPr>
      <w:r>
        <w:rPr>
          <w:b/>
        </w:rPr>
        <w:t>Área de Interesse do Simpósio</w:t>
      </w:r>
      <w:r>
        <w:t>:</w:t>
      </w:r>
      <w:r>
        <w:rPr>
          <w:lang w:val="pt-BR"/>
        </w:rPr>
        <w:t>Recursos florestais e Engenharia Florestal</w:t>
      </w:r>
    </w:p>
    <w:p w14:paraId="7209EA5A">
      <w:pPr>
        <w:pStyle w:val="5"/>
        <w:spacing w:before="2"/>
        <w:rPr>
          <w:sz w:val="27"/>
        </w:rPr>
      </w:pPr>
    </w:p>
    <w:p w14:paraId="017061C1">
      <w:pPr>
        <w:numPr>
          <w:ilvl w:val="0"/>
          <w:numId w:val="1"/>
        </w:numPr>
        <w:pBdr>
          <w:bottom w:val="none" w:color="000000" w:sz="0" w:space="18"/>
        </w:pBdr>
        <w:shd w:val="clear" w:color="auto" w:fill="FFFFFF"/>
        <w:tabs>
          <w:tab w:val="left" w:pos="2500"/>
        </w:tabs>
        <w:jc w:val="both"/>
        <w:rPr>
          <w:b/>
          <w:sz w:val="24"/>
          <w:szCs w:val="24"/>
        </w:rPr>
      </w:pPr>
      <w:r>
        <w:rPr>
          <w:b/>
          <w:sz w:val="24"/>
          <w:szCs w:val="24"/>
        </w:rPr>
        <w:t xml:space="preserve">INTRODUÇÃO </w:t>
      </w:r>
    </w:p>
    <w:p w14:paraId="4F62E1AF">
      <w:pPr>
        <w:pBdr>
          <w:bottom w:val="none" w:color="000000" w:sz="0" w:space="18"/>
        </w:pBdr>
        <w:shd w:val="clear" w:color="auto" w:fill="FFFFFF"/>
        <w:tabs>
          <w:tab w:val="left" w:pos="2500"/>
        </w:tabs>
        <w:jc w:val="both"/>
        <w:rPr>
          <w:b/>
          <w:sz w:val="24"/>
          <w:szCs w:val="24"/>
        </w:rPr>
      </w:pPr>
    </w:p>
    <w:p w14:paraId="1F78D5BD">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color w:val="000000"/>
          <w:sz w:val="24"/>
          <w:szCs w:val="24"/>
        </w:rPr>
      </w:pPr>
      <w:r>
        <w:rPr>
          <w:color w:val="000000"/>
          <w:sz w:val="24"/>
          <w:szCs w:val="24"/>
        </w:rPr>
        <w:t xml:space="preserve">A colheita da madeira em grande parte da Amazônia brasileira continua sendo feita sem critérios de sustentabilidade. Quando o planejamento da exploração é feito diversificando as espécies em cada colheita com base no estoque disponível na área manejada e nas características ecológicas, silviculturais e de produção de cada espécie, pode-se alcançar a produção sustentável de madeira e a conservação do ecossistema (CASTRO et al., 2021). </w:t>
      </w:r>
    </w:p>
    <w:p w14:paraId="79AC6675">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color w:val="000000"/>
          <w:sz w:val="24"/>
          <w:szCs w:val="24"/>
        </w:rPr>
      </w:pPr>
      <w:r>
        <w:rPr>
          <w:color w:val="000000"/>
          <w:sz w:val="24"/>
          <w:szCs w:val="24"/>
        </w:rPr>
        <w:t xml:space="preserve">Nesse sentido, para que o planejamento e a execução das atividades na floresta tenham sucesso, é necessário aumentar o conhecimento sobre a dinâmica da população de cada espécie em relação ao número de indivíduos e sua distribuição na área, ao crescimento, recrutamento e mortalidade de árvores (DE AVILA et al., 2017; DIONISIO et al., 2022), distribuição diamétrica de indivíduos (FERREIRA et al., 2020) e regeneração natural (BEZERRA et al., 2021; HAYWARD et al., 2021), antes e após a exploração florestal. </w:t>
      </w:r>
    </w:p>
    <w:p w14:paraId="65E39C8C">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color w:val="000000"/>
          <w:sz w:val="24"/>
          <w:szCs w:val="24"/>
        </w:rPr>
      </w:pPr>
      <w:r>
        <w:rPr>
          <w:color w:val="000000"/>
          <w:sz w:val="24"/>
          <w:szCs w:val="24"/>
        </w:rPr>
        <w:t xml:space="preserve">Os principais tratamentos silviculturais que vêm sendo experimentados em florestas naturais na Amazônia são: corte de cipós; desbaste de liberação de copas para permitir maior entrada de luz na floresta; condução da regeneração natural; e plantio de espécies de valor comercial em clareiras (CASTRO et al., 2021). Esses tratamentos silviculturais são aplicados para favorecer toda a área manejada, para aumentar e melhorar a sua produção de madeira. Para que haja planejamento e aplicação adequada de tratamentos silviculturais, é necessário conhecer o comportamento de cada espécie na floresta. Com esse objetivo algumas espécies já vêm sendo estudadas, porém há ainda muitas a serem avaliadas, principalmente aquelas cuja madeira tem valor comercial. </w:t>
      </w:r>
    </w:p>
    <w:p w14:paraId="67F9A569">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sz w:val="24"/>
          <w:szCs w:val="24"/>
        </w:rPr>
      </w:pPr>
      <w:r>
        <w:rPr>
          <w:sz w:val="24"/>
          <w:szCs w:val="24"/>
        </w:rPr>
        <w:t xml:space="preserve"> </w:t>
      </w:r>
      <w:r>
        <w:rPr>
          <w:color w:val="000000"/>
          <w:sz w:val="24"/>
          <w:szCs w:val="24"/>
        </w:rPr>
        <w:t xml:space="preserve">Com o intuito de ampliar o conhecimento quanto ao efeito de tratamentos silviculturais sobre espécies arbóreas, visando obter informações que possam contribuir para melhorar o manejo florestal na Amazônia, no presente estudo avaliou-se o crescimento de 56 espécies de importância ecológica nas florestas densas da Amazônia. </w:t>
      </w:r>
    </w:p>
    <w:p w14:paraId="6F4BA554">
      <w:pPr>
        <w:pBdr>
          <w:bottom w:val="none" w:color="000000" w:sz="0" w:space="18"/>
        </w:pBdr>
        <w:shd w:val="clear" w:color="auto" w:fill="FFFFFF"/>
        <w:tabs>
          <w:tab w:val="left" w:pos="2500"/>
        </w:tabs>
        <w:spacing w:line="310" w:lineRule="auto"/>
        <w:jc w:val="both"/>
        <w:rPr>
          <w:b/>
          <w:sz w:val="24"/>
          <w:szCs w:val="24"/>
        </w:rPr>
      </w:pPr>
    </w:p>
    <w:p w14:paraId="44126ED8">
      <w:pPr>
        <w:pBdr>
          <w:bottom w:val="none" w:color="000000" w:sz="0" w:space="18"/>
        </w:pBdr>
        <w:shd w:val="clear" w:color="auto" w:fill="FFFFFF"/>
        <w:tabs>
          <w:tab w:val="left" w:pos="2500"/>
        </w:tabs>
        <w:spacing w:line="310" w:lineRule="auto"/>
        <w:jc w:val="both"/>
        <w:rPr>
          <w:b/>
          <w:sz w:val="24"/>
          <w:szCs w:val="24"/>
        </w:rPr>
      </w:pPr>
      <w:r>
        <w:rPr>
          <w:b/>
          <w:sz w:val="24"/>
          <w:szCs w:val="24"/>
          <w:lang w:val="pt-BR"/>
        </w:rPr>
        <w:t>2.</w:t>
      </w:r>
      <w:r>
        <w:rPr>
          <w:b/>
          <w:sz w:val="24"/>
          <w:szCs w:val="24"/>
        </w:rPr>
        <w:t xml:space="preserve">MATERIAL E MÉTODOS </w:t>
      </w:r>
    </w:p>
    <w:p w14:paraId="12331A88">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color w:val="000000"/>
          <w:sz w:val="24"/>
          <w:szCs w:val="24"/>
        </w:rPr>
      </w:pPr>
      <w:r>
        <w:rPr>
          <w:color w:val="000000"/>
          <w:sz w:val="24"/>
          <w:szCs w:val="24"/>
        </w:rPr>
        <w:t xml:space="preserve">O estudo foi realizado na UMF (Unidade de Manejo Florestal) Fazenda Rio Capim, pertencente ao Grupo Keilla Florestal, localizada no município de Paragominas – PA (2° 25’-4° 09’ S e 46° 25’-48° 54’ W), Amazônia brasileira . A área experimental é de 700 ha, distribuídos em 14 UT (Unidade de Trabalho) na UMF. Da área total foram explorados 600 ha em 2004 e 100 ha foram deixados intactos. Na área explorada foram aplicados tratamentos silviculturais em 2005, ano seguinte à exploração, consistindo em corte de cipós, refinamento por meio de anelamento de árvores, e plantios em clareiras, além da condução de mudas selecionadas de regeneração natural (CARVALHO </w:t>
      </w:r>
      <w:r>
        <w:rPr>
          <w:iCs/>
          <w:color w:val="000000"/>
          <w:sz w:val="24"/>
          <w:szCs w:val="24"/>
        </w:rPr>
        <w:t>et al.,</w:t>
      </w:r>
      <w:r>
        <w:rPr>
          <w:color w:val="000000"/>
          <w:sz w:val="24"/>
          <w:szCs w:val="24"/>
        </w:rPr>
        <w:t xml:space="preserve"> 2013). </w:t>
      </w:r>
    </w:p>
    <w:p w14:paraId="15C221BB">
      <w:pPr>
        <w:pBdr>
          <w:bottom w:val="none" w:color="000000" w:sz="0" w:space="18"/>
        </w:pBdr>
        <w:shd w:val="clear" w:color="auto" w:fill="FFFFFF"/>
        <w:tabs>
          <w:tab w:val="left" w:pos="2500"/>
        </w:tabs>
        <w:spacing w:line="360" w:lineRule="auto"/>
        <w:ind w:firstLine="300" w:firstLineChars="125"/>
        <w:jc w:val="both"/>
        <w:rPr>
          <w:color w:val="000000"/>
          <w:sz w:val="24"/>
          <w:szCs w:val="24"/>
        </w:rPr>
      </w:pPr>
    </w:p>
    <w:p w14:paraId="5394C89E">
      <w:pPr>
        <w:pBdr>
          <w:bottom w:val="none" w:color="000000" w:sz="0" w:space="18"/>
        </w:pBdr>
        <w:shd w:val="clear" w:color="auto" w:fill="FFFFFF"/>
        <w:tabs>
          <w:tab w:val="left" w:pos="2500"/>
        </w:tabs>
        <w:spacing w:line="360" w:lineRule="auto"/>
        <w:ind w:firstLine="300" w:firstLineChars="125"/>
        <w:jc w:val="both"/>
        <w:rPr>
          <w:color w:val="000000"/>
          <w:sz w:val="24"/>
          <w:szCs w:val="24"/>
        </w:rPr>
      </w:pPr>
    </w:p>
    <w:p w14:paraId="0DE12C65">
      <w:pPr>
        <w:pBdr>
          <w:bottom w:val="none" w:color="000000" w:sz="0" w:space="18"/>
        </w:pBdr>
        <w:shd w:val="clear" w:color="auto" w:fill="FFFFFF"/>
        <w:tabs>
          <w:tab w:val="left" w:pos="2500"/>
        </w:tabs>
        <w:spacing w:line="360" w:lineRule="auto"/>
        <w:ind w:firstLine="300" w:firstLineChars="125"/>
        <w:jc w:val="both"/>
        <w:rPr>
          <w:color w:val="000000"/>
          <w:sz w:val="24"/>
          <w:szCs w:val="24"/>
        </w:rPr>
      </w:pPr>
    </w:p>
    <w:p w14:paraId="1270CDC0">
      <w:pPr>
        <w:pBdr>
          <w:bottom w:val="none" w:color="000000" w:sz="0" w:space="18"/>
        </w:pBdr>
        <w:shd w:val="clear" w:color="auto" w:fill="FFFFFF"/>
        <w:tabs>
          <w:tab w:val="left" w:pos="2500"/>
        </w:tabs>
        <w:spacing w:line="360" w:lineRule="auto"/>
        <w:ind w:firstLine="300" w:firstLineChars="125"/>
        <w:jc w:val="both"/>
        <w:rPr>
          <w:color w:val="000000"/>
          <w:sz w:val="24"/>
          <w:szCs w:val="24"/>
        </w:rPr>
      </w:pPr>
    </w:p>
    <w:p w14:paraId="0C91F4ED">
      <w:pPr>
        <w:pBdr>
          <w:bottom w:val="none" w:color="000000" w:sz="0" w:space="18"/>
        </w:pBdr>
        <w:shd w:val="clear" w:color="auto" w:fill="FFFFFF"/>
        <w:tabs>
          <w:tab w:val="left" w:pos="2500"/>
        </w:tabs>
        <w:spacing w:line="360" w:lineRule="auto"/>
        <w:ind w:firstLine="275" w:firstLineChars="125"/>
        <w:jc w:val="both"/>
        <w:rPr>
          <w:color w:val="000000"/>
          <w:szCs w:val="24"/>
        </w:rPr>
      </w:pPr>
    </w:p>
    <w:p w14:paraId="4D8D8083">
      <w:pPr>
        <w:pBdr>
          <w:bottom w:val="none" w:color="000000" w:sz="0" w:space="18"/>
        </w:pBdr>
        <w:shd w:val="clear" w:color="auto" w:fill="FFFFFF"/>
        <w:tabs>
          <w:tab w:val="left" w:pos="2500"/>
        </w:tabs>
        <w:ind w:firstLine="275" w:firstLineChars="125"/>
        <w:jc w:val="center"/>
      </w:pPr>
      <w:r>
        <w:rPr>
          <w:color w:val="000000"/>
          <w:szCs w:val="24"/>
        </w:rPr>
        <w:t xml:space="preserve">Figura </w:t>
      </w:r>
      <w:r>
        <w:rPr>
          <w:color w:val="000000"/>
          <w:szCs w:val="24"/>
          <w:lang w:val="pt-BR"/>
        </w:rPr>
        <w:t>1</w:t>
      </w:r>
      <w:r>
        <w:rPr>
          <w:color w:val="000000"/>
          <w:szCs w:val="24"/>
        </w:rPr>
        <w:t>- Mapa da Fazenda Rio Capim no município de Paragominas, PA, mostrando a subdivisão da AMF em Unidade de Produção Anual - UPA e Unidade de Trabalho</w:t>
      </w:r>
      <w:r>
        <w:rPr>
          <w:color w:val="000000"/>
          <w:szCs w:val="24"/>
          <w:lang w:val="pt-BR"/>
        </w:rPr>
        <w:t xml:space="preserve"> UT.</w:t>
      </w:r>
      <w:r>
        <w:rPr>
          <w:lang w:val="pt-BR" w:eastAsia="pt-BR"/>
        </w:rPr>
        <w:drawing>
          <wp:inline distT="0" distB="0" distL="114300" distR="114300">
            <wp:extent cx="4743450" cy="324612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8"/>
                    <a:stretch>
                      <a:fillRect/>
                    </a:stretch>
                  </pic:blipFill>
                  <pic:spPr>
                    <a:xfrm>
                      <a:off x="0" y="0"/>
                      <a:ext cx="4756146" cy="3254538"/>
                    </a:xfrm>
                    <a:prstGeom prst="rect">
                      <a:avLst/>
                    </a:prstGeom>
                    <a:noFill/>
                    <a:ln>
                      <a:noFill/>
                    </a:ln>
                  </pic:spPr>
                </pic:pic>
              </a:graphicData>
            </a:graphic>
          </wp:inline>
        </w:drawing>
      </w:r>
    </w:p>
    <w:p w14:paraId="488808C4">
      <w:pPr>
        <w:pBdr>
          <w:bottom w:val="none" w:color="000000" w:sz="0" w:space="18"/>
        </w:pBdr>
        <w:shd w:val="clear" w:color="auto" w:fill="FFFFFF"/>
        <w:tabs>
          <w:tab w:val="left" w:pos="2500"/>
        </w:tabs>
        <w:ind w:firstLine="275" w:firstLineChars="125"/>
        <w:jc w:val="both"/>
        <w:rPr>
          <w:color w:val="000000"/>
          <w:szCs w:val="24"/>
          <w:lang w:val="pt-BR"/>
        </w:rPr>
      </w:pPr>
      <w:r>
        <w:rPr>
          <w:lang w:val="pt-BR"/>
        </w:rPr>
        <w:t xml:space="preserve"> </w:t>
      </w:r>
      <w:r>
        <w:rPr>
          <w:color w:val="000000"/>
          <w:szCs w:val="24"/>
        </w:rPr>
        <w:t>Fonte</w:t>
      </w:r>
      <w:r>
        <w:rPr>
          <w:color w:val="000000"/>
          <w:szCs w:val="24"/>
          <w:lang w:val="pt-BR"/>
        </w:rPr>
        <w:t>:Autores, 2024</w:t>
      </w:r>
    </w:p>
    <w:p w14:paraId="6C008526">
      <w:pPr>
        <w:pBdr>
          <w:bottom w:val="none" w:color="000000" w:sz="0" w:space="18"/>
        </w:pBdr>
        <w:shd w:val="clear" w:color="auto" w:fill="FFFFFF"/>
        <w:tabs>
          <w:tab w:val="left" w:pos="2500"/>
        </w:tabs>
        <w:ind w:firstLine="275" w:firstLineChars="125"/>
        <w:jc w:val="both"/>
        <w:rPr>
          <w:color w:val="000000"/>
          <w:szCs w:val="24"/>
          <w:lang w:val="pt-BR"/>
        </w:rPr>
      </w:pPr>
    </w:p>
    <w:p w14:paraId="26244AE3">
      <w:pPr>
        <w:keepNext w:val="0"/>
        <w:keepLines w:val="0"/>
        <w:pageBreakBefore w:val="0"/>
        <w:widowControl w:val="0"/>
        <w:pBdr>
          <w:bottom w:val="none" w:color="000000" w:sz="0" w:space="18"/>
        </w:pBdr>
        <w:shd w:val="clear" w:color="auto" w:fill="FFFFFF"/>
        <w:tabs>
          <w:tab w:val="left" w:pos="2500"/>
        </w:tabs>
        <w:kinsoku/>
        <w:wordWrap/>
        <w:overflowPunct/>
        <w:topLinePunct w:val="0"/>
        <w:autoSpaceDE w:val="0"/>
        <w:autoSpaceDN w:val="0"/>
        <w:bidi w:val="0"/>
        <w:adjustRightInd/>
        <w:snapToGrid/>
        <w:spacing w:line="360" w:lineRule="auto"/>
        <w:ind w:firstLine="300" w:firstLineChars="125"/>
        <w:jc w:val="both"/>
        <w:textAlignment w:val="auto"/>
        <w:rPr>
          <w:color w:val="000000"/>
          <w:sz w:val="24"/>
          <w:szCs w:val="24"/>
          <w:lang w:val="pt-BR"/>
        </w:rPr>
      </w:pPr>
      <w:r>
        <w:rPr>
          <w:color w:val="000000"/>
          <w:sz w:val="24"/>
          <w:szCs w:val="24"/>
        </w:rPr>
        <w:t>A área do experimento é de 700 ha, distribuídos em 6 UT (Unidade de Trabalho) na UPA 07 (Unidade Produção Anual) e 8 UT na UPA 08</w:t>
      </w:r>
      <w:r>
        <w:rPr>
          <w:color w:val="000000"/>
          <w:sz w:val="24"/>
          <w:szCs w:val="24"/>
          <w:lang w:val="pt-BR"/>
        </w:rPr>
        <w:t>,</w:t>
      </w:r>
      <w:r>
        <w:rPr>
          <w:color w:val="000000"/>
          <w:sz w:val="24"/>
          <w:szCs w:val="24"/>
        </w:rPr>
        <w:t>. Foram avaliadas 28 parcelas de 20,25 ha (450m x 450m), distribuídas aleatoriamente na área, sendo 12 no Tratamento 1 (T1), oito no Tratamento 2 (T2), quatro no Tratamento 3 (T3) e quatro no Tratamento 4 (T4) (Tabela 1). Foram realizadas quatro medições (2005, 2006, 2007, 2009), monitoradas 5593 árvores sadias (árvores sem ocos, sem danos, sem podridão no fuste) com fustes de boa qualidade (fustes retos, com mais de 4 m, sem ocos, sem danos, sem podridão), pertencentes a 56 espécies</w:t>
      </w:r>
      <w:r>
        <w:rPr>
          <w:color w:val="000000"/>
          <w:sz w:val="24"/>
          <w:szCs w:val="24"/>
          <w:lang w:val="pt-BR"/>
        </w:rPr>
        <w:t>.</w:t>
      </w:r>
    </w:p>
    <w:p w14:paraId="0154999F">
      <w:pPr>
        <w:pBdr>
          <w:bottom w:val="none" w:color="000000" w:sz="0" w:space="18"/>
        </w:pBdr>
        <w:shd w:val="clear" w:color="auto" w:fill="FFFFFF"/>
        <w:tabs>
          <w:tab w:val="left" w:pos="2500"/>
        </w:tabs>
        <w:ind w:firstLine="275" w:firstLineChars="125"/>
        <w:jc w:val="center"/>
        <w:rPr>
          <w:color w:val="000000"/>
          <w:sz w:val="24"/>
          <w:szCs w:val="24"/>
          <w:lang w:val="pt-BR"/>
        </w:rPr>
      </w:pPr>
      <w:r>
        <w:rPr>
          <w:color w:val="000000"/>
        </w:rPr>
        <w:t>Tabela 1. Descrição dos Tratamentos (T) que compõem o experimento, com o número de Repetições (NR) de 20,25 ha cada, e amostra total (AT)</w:t>
      </w:r>
    </w:p>
    <w:tbl>
      <w:tblPr>
        <w:tblStyle w:val="1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654"/>
      </w:tblGrid>
      <w:tr w14:paraId="3377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3" w:type="dxa"/>
          </w:tcPr>
          <w:p w14:paraId="577A16E3">
            <w:pPr>
              <w:tabs>
                <w:tab w:val="left" w:pos="2500"/>
              </w:tabs>
              <w:rPr>
                <w:lang w:val="pt-BR"/>
              </w:rPr>
            </w:pPr>
            <w:r>
              <w:rPr>
                <w:lang w:val="pt-BR"/>
              </w:rPr>
              <w:t>Tratamento</w:t>
            </w:r>
          </w:p>
        </w:tc>
        <w:tc>
          <w:tcPr>
            <w:tcW w:w="7654" w:type="dxa"/>
          </w:tcPr>
          <w:p w14:paraId="05745513">
            <w:pPr>
              <w:tabs>
                <w:tab w:val="left" w:pos="2500"/>
              </w:tabs>
              <w:jc w:val="center"/>
              <w:rPr>
                <w:lang w:val="pt-BR"/>
              </w:rPr>
            </w:pPr>
            <w:r>
              <w:rPr>
                <w:lang w:val="pt-BR"/>
              </w:rPr>
              <w:t>Descrição dos tratamentos</w:t>
            </w:r>
          </w:p>
        </w:tc>
      </w:tr>
      <w:tr w14:paraId="63E1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5247F3C9">
            <w:pPr>
              <w:tabs>
                <w:tab w:val="left" w:pos="2500"/>
              </w:tabs>
              <w:jc w:val="center"/>
              <w:rPr>
                <w:lang w:val="pt-BR"/>
              </w:rPr>
            </w:pPr>
            <w:r>
              <w:rPr>
                <w:lang w:val="pt-BR"/>
              </w:rPr>
              <w:t>T1</w:t>
            </w:r>
          </w:p>
        </w:tc>
        <w:tc>
          <w:tcPr>
            <w:tcW w:w="7654" w:type="dxa"/>
          </w:tcPr>
          <w:p w14:paraId="3CB154E4">
            <w:pPr>
              <w:tabs>
                <w:tab w:val="left" w:pos="2500"/>
              </w:tabs>
              <w:jc w:val="both"/>
              <w:rPr>
                <w:lang w:val="pt-BR"/>
              </w:rPr>
            </w:pPr>
            <w:r>
              <w:t>Exploração de impacto reduzido, desbaste de liberação de copas por anelagem (Figura 3A) e corte de cipós (Figura 3B) nas árvores potenciais para futura colheita (APC), que são árvores com fuste sadio e boa forma de espécies cuja madeira era comercializada em 2005 no mercado nacional (Figura 3C).</w:t>
            </w:r>
          </w:p>
        </w:tc>
      </w:tr>
      <w:tr w14:paraId="120B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02DD1AE">
            <w:pPr>
              <w:tabs>
                <w:tab w:val="left" w:pos="2500"/>
              </w:tabs>
              <w:jc w:val="center"/>
              <w:rPr>
                <w:lang w:val="pt-BR"/>
              </w:rPr>
            </w:pPr>
            <w:r>
              <w:rPr>
                <w:lang w:val="pt-BR"/>
              </w:rPr>
              <w:t>T2</w:t>
            </w:r>
          </w:p>
          <w:p w14:paraId="7BAB81EE">
            <w:pPr>
              <w:tabs>
                <w:tab w:val="left" w:pos="2500"/>
              </w:tabs>
              <w:jc w:val="center"/>
              <w:rPr>
                <w:lang w:val="pt-BR"/>
              </w:rPr>
            </w:pPr>
          </w:p>
        </w:tc>
        <w:tc>
          <w:tcPr>
            <w:tcW w:w="7654" w:type="dxa"/>
          </w:tcPr>
          <w:p w14:paraId="3D17223B">
            <w:pPr>
              <w:tabs>
                <w:tab w:val="left" w:pos="2500"/>
              </w:tabs>
              <w:jc w:val="both"/>
              <w:rPr>
                <w:lang w:val="pt-BR"/>
              </w:rPr>
            </w:pPr>
            <w:r>
              <w:t>Exploração de impacto reduzido e corte de cipós (Figura 2B) das árvores potenciais para futura colheita (APC), que neste tratamento eram árvores de qualquer espécie, independentemente de sua madeira ser comercializada ou não, ou seja, o critério era de elas apresentarem boa forma e fustes sadios.</w:t>
            </w:r>
          </w:p>
        </w:tc>
      </w:tr>
      <w:tr w14:paraId="2460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46CDDF7">
            <w:pPr>
              <w:tabs>
                <w:tab w:val="left" w:pos="2500"/>
              </w:tabs>
              <w:jc w:val="center"/>
              <w:rPr>
                <w:lang w:val="pt-BR"/>
              </w:rPr>
            </w:pPr>
            <w:r>
              <w:rPr>
                <w:lang w:val="pt-BR"/>
              </w:rPr>
              <w:t>T3</w:t>
            </w:r>
          </w:p>
          <w:p w14:paraId="4E4C8892">
            <w:pPr>
              <w:tabs>
                <w:tab w:val="left" w:pos="2500"/>
              </w:tabs>
              <w:jc w:val="center"/>
              <w:rPr>
                <w:lang w:val="pt-BR"/>
              </w:rPr>
            </w:pPr>
          </w:p>
        </w:tc>
        <w:tc>
          <w:tcPr>
            <w:tcW w:w="7654" w:type="dxa"/>
          </w:tcPr>
          <w:p w14:paraId="20D556B4">
            <w:pPr>
              <w:tabs>
                <w:tab w:val="left" w:pos="2500"/>
              </w:tabs>
              <w:jc w:val="both"/>
              <w:rPr>
                <w:lang w:val="pt-BR"/>
              </w:rPr>
            </w:pPr>
            <w:r>
              <w:t>Exploração de impacto reduzido. Neste tratamento houve apenas a colheita das árvores de espécies comerciais, de acordo com o Plano de Manejo da empresa.</w:t>
            </w:r>
          </w:p>
        </w:tc>
      </w:tr>
      <w:tr w14:paraId="0BD2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7ADAD86F">
            <w:pPr>
              <w:tabs>
                <w:tab w:val="left" w:pos="2500"/>
              </w:tabs>
              <w:jc w:val="center"/>
              <w:rPr>
                <w:lang w:val="pt-BR"/>
              </w:rPr>
            </w:pPr>
            <w:r>
              <w:rPr>
                <w:lang w:val="pt-BR"/>
              </w:rPr>
              <w:t>T4</w:t>
            </w:r>
          </w:p>
          <w:p w14:paraId="52F45279">
            <w:pPr>
              <w:tabs>
                <w:tab w:val="left" w:pos="2500"/>
              </w:tabs>
              <w:jc w:val="center"/>
              <w:rPr>
                <w:lang w:val="pt-BR"/>
              </w:rPr>
            </w:pPr>
          </w:p>
        </w:tc>
        <w:tc>
          <w:tcPr>
            <w:tcW w:w="7654" w:type="dxa"/>
          </w:tcPr>
          <w:p w14:paraId="7EC46F8A">
            <w:r>
              <w:t>Floresta não manejada.</w:t>
            </w:r>
          </w:p>
          <w:p w14:paraId="1F046D73">
            <w:pPr>
              <w:tabs>
                <w:tab w:val="left" w:pos="2500"/>
              </w:tabs>
              <w:jc w:val="both"/>
              <w:rPr>
                <w:lang w:val="pt-BR"/>
              </w:rPr>
            </w:pPr>
          </w:p>
        </w:tc>
      </w:tr>
    </w:tbl>
    <w:p w14:paraId="4343E630">
      <w:pPr>
        <w:pBdr>
          <w:bottom w:val="none" w:color="000000" w:sz="0" w:space="18"/>
        </w:pBdr>
        <w:shd w:val="clear" w:color="auto" w:fill="FFFFFF"/>
        <w:tabs>
          <w:tab w:val="left" w:pos="2500"/>
        </w:tabs>
        <w:ind w:firstLine="275" w:firstLineChars="125"/>
        <w:jc w:val="center"/>
        <w:rPr>
          <w:color w:val="000000"/>
        </w:rPr>
      </w:pPr>
    </w:p>
    <w:p w14:paraId="47197315">
      <w:pPr>
        <w:pBdr>
          <w:bottom w:val="none" w:color="000000" w:sz="0" w:space="18"/>
        </w:pBdr>
        <w:shd w:val="clear" w:color="auto" w:fill="FFFFFF"/>
        <w:tabs>
          <w:tab w:val="left" w:pos="2500"/>
        </w:tabs>
        <w:jc w:val="both"/>
        <w:rPr>
          <w:rFonts w:eastAsia="Tahoma"/>
          <w:lang w:val="pt-BR"/>
        </w:rPr>
      </w:pPr>
      <w:r>
        <w:rPr>
          <w:lang w:val="pt-BR"/>
        </w:rPr>
        <w:t xml:space="preserve">Fonte: </w:t>
      </w:r>
      <w:r>
        <w:rPr>
          <w:rFonts w:eastAsia="Tahoma"/>
        </w:rPr>
        <w:t xml:space="preserve">Autores, </w:t>
      </w:r>
      <w:r>
        <w:rPr>
          <w:rFonts w:eastAsia="Tahoma"/>
          <w:lang w:val="pt-BR"/>
        </w:rPr>
        <w:t>2024</w:t>
      </w:r>
    </w:p>
    <w:p w14:paraId="6451F5A6">
      <w:pPr>
        <w:pBdr>
          <w:bottom w:val="none" w:color="000000" w:sz="0" w:space="18"/>
        </w:pBdr>
        <w:shd w:val="clear" w:color="auto" w:fill="FFFFFF"/>
        <w:tabs>
          <w:tab w:val="left" w:pos="2500"/>
        </w:tabs>
        <w:jc w:val="both"/>
        <w:rPr>
          <w:lang w:val="pt-BR"/>
        </w:rPr>
      </w:pPr>
    </w:p>
    <w:p w14:paraId="3660D2E8">
      <w:pPr>
        <w:pBdr>
          <w:bottom w:val="none" w:color="000000" w:sz="0" w:space="18"/>
        </w:pBdr>
        <w:shd w:val="clear" w:color="auto" w:fill="FFFFFF"/>
        <w:tabs>
          <w:tab w:val="left" w:pos="2500"/>
        </w:tabs>
        <w:spacing w:line="360" w:lineRule="auto"/>
        <w:ind w:firstLine="300" w:firstLineChars="125"/>
        <w:jc w:val="both"/>
        <w:rPr>
          <w:color w:val="000000"/>
          <w:sz w:val="24"/>
          <w:szCs w:val="24"/>
        </w:rPr>
      </w:pPr>
      <w:r>
        <w:rPr>
          <w:color w:val="000000"/>
          <w:sz w:val="24"/>
          <w:szCs w:val="24"/>
        </w:rPr>
        <w:t>Os dados foram coletados em quatro ocasiões (2005, 2006, 2007 e 2009). Os critérios utilizados para selecionar as árvores beneficiadas nos tratamentos silviculturais foram: diâmetro mínimo de 35 cm, árvores sadias e com boa forma. Esse diâmetro (35 cm) foi definido tomando como base o crescimento médio das florestas tropicais naturais (0,50 cm ano</w:t>
      </w:r>
      <w:r>
        <w:rPr>
          <w:color w:val="000000"/>
          <w:sz w:val="24"/>
          <w:szCs w:val="24"/>
          <w:vertAlign w:val="superscript"/>
        </w:rPr>
        <w:t>-1</w:t>
      </w:r>
      <w:r>
        <w:rPr>
          <w:color w:val="000000"/>
          <w:sz w:val="24"/>
          <w:szCs w:val="24"/>
        </w:rPr>
        <w:t xml:space="preserve">). A legislação vigente (BRASIL, 2006)  ou seja, essas árvores beneficiadas no presente estudo provavelmente estarão aptas ao próximo corte, após o ciclo de 25 a 35 anos. </w:t>
      </w:r>
    </w:p>
    <w:p w14:paraId="6787A2F1">
      <w:pPr>
        <w:pBdr>
          <w:bottom w:val="none" w:color="000000" w:sz="0" w:space="18"/>
        </w:pBdr>
        <w:shd w:val="clear" w:color="auto" w:fill="FFFFFF"/>
        <w:tabs>
          <w:tab w:val="left" w:pos="2500"/>
        </w:tabs>
        <w:spacing w:line="360" w:lineRule="auto"/>
        <w:ind w:firstLine="300" w:firstLineChars="125"/>
        <w:jc w:val="both"/>
        <w:rPr>
          <w:color w:val="000000"/>
          <w:sz w:val="24"/>
          <w:szCs w:val="24"/>
        </w:rPr>
      </w:pPr>
      <w:r>
        <w:rPr>
          <w:color w:val="000000"/>
          <w:sz w:val="24"/>
          <w:szCs w:val="24"/>
        </w:rPr>
        <w:t>A anelagem das árvores foi feita manualmente, utilizando-se uma machadinha. A técnica consistiu em anelagem profunda, caracterizada pela remoção da casca da árvore em formato de anel, retirando a casca e a primeira camada do alburno, em um faixa de aproximadamente 30 cm de largura (Figura 2) (SANDEL e CARVALHO, 2000)</w:t>
      </w:r>
      <w:r>
        <w:rPr>
          <w:rFonts w:hint="default"/>
          <w:color w:val="000000"/>
          <w:sz w:val="24"/>
          <w:szCs w:val="24"/>
          <w:lang w:val="pt-BR"/>
        </w:rPr>
        <w:t>,</w:t>
      </w:r>
      <w:r>
        <w:rPr>
          <w:color w:val="000000"/>
          <w:sz w:val="24"/>
          <w:szCs w:val="24"/>
        </w:rPr>
        <w:t>determina um ciclo de corte de 25 a 35 anos, com árvores apresentando diâmetro mínimo de corte de 50 cm,</w:t>
      </w:r>
    </w:p>
    <w:p w14:paraId="5982DD9A">
      <w:pPr>
        <w:pBdr>
          <w:bottom w:val="none" w:color="000000" w:sz="0" w:space="18"/>
        </w:pBdr>
        <w:shd w:val="clear" w:color="auto" w:fill="FFFFFF"/>
        <w:tabs>
          <w:tab w:val="left" w:pos="2500"/>
        </w:tabs>
        <w:jc w:val="center"/>
        <w:rPr>
          <w:lang w:val="pt-BR"/>
        </w:rPr>
      </w:pPr>
      <w:r>
        <w:rPr>
          <w:lang w:val="pt-BR"/>
        </w:rPr>
        <w:t>Figura 2 - Demonstração do processo de anelagem das árvores, manejo de cípos e marcação de indivíduos para colheitas futuras.</w:t>
      </w:r>
    </w:p>
    <w:p w14:paraId="0C7C45EC">
      <w:pPr>
        <w:pBdr>
          <w:bottom w:val="none" w:color="000000" w:sz="0" w:space="18"/>
        </w:pBdr>
        <w:shd w:val="clear" w:color="auto" w:fill="FFFFFF"/>
        <w:tabs>
          <w:tab w:val="left" w:pos="2500"/>
        </w:tabs>
        <w:jc w:val="center"/>
        <w:rPr>
          <w:lang w:val="pt-BR"/>
        </w:rPr>
      </w:pPr>
      <w:r>
        <w:rPr>
          <w:lang w:val="pt-BR" w:eastAsia="pt-BR"/>
        </w:rPr>
        <w:drawing>
          <wp:inline distT="0" distB="0" distL="114300" distR="114300">
            <wp:extent cx="5762625" cy="2103755"/>
            <wp:effectExtent l="0" t="0" r="13335" b="146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9"/>
                    <a:stretch>
                      <a:fillRect/>
                    </a:stretch>
                  </pic:blipFill>
                  <pic:spPr>
                    <a:xfrm>
                      <a:off x="0" y="0"/>
                      <a:ext cx="5762625" cy="2103755"/>
                    </a:xfrm>
                    <a:prstGeom prst="rect">
                      <a:avLst/>
                    </a:prstGeom>
                    <a:noFill/>
                    <a:ln>
                      <a:noFill/>
                    </a:ln>
                  </pic:spPr>
                </pic:pic>
              </a:graphicData>
            </a:graphic>
          </wp:inline>
        </w:drawing>
      </w:r>
    </w:p>
    <w:p w14:paraId="16933492">
      <w:pPr>
        <w:pBdr>
          <w:bottom w:val="none" w:color="000000" w:sz="0" w:space="18"/>
        </w:pBdr>
        <w:shd w:val="clear" w:color="auto" w:fill="FFFFFF"/>
        <w:tabs>
          <w:tab w:val="left" w:pos="2500"/>
        </w:tabs>
        <w:rPr>
          <w:rStyle w:val="4"/>
          <w:sz w:val="22"/>
          <w:szCs w:val="22"/>
          <w:lang w:val="pt-BR"/>
        </w:rPr>
      </w:pPr>
      <w:r>
        <w:rPr>
          <w:lang w:val="pt-BR"/>
        </w:rPr>
        <w:t>Fonte: Autores</w:t>
      </w:r>
      <w:r>
        <w:rPr>
          <w:rStyle w:val="4"/>
          <w:sz w:val="22"/>
          <w:szCs w:val="22"/>
          <w:lang w:val="pt-BR"/>
        </w:rPr>
        <w:t>, 2024.</w:t>
      </w:r>
    </w:p>
    <w:p w14:paraId="2854839B">
      <w:pPr>
        <w:adjustRightInd w:val="0"/>
        <w:spacing w:line="360" w:lineRule="auto"/>
        <w:ind w:firstLine="300" w:firstLineChars="125"/>
        <w:rPr>
          <w:color w:val="000000"/>
          <w:sz w:val="24"/>
          <w:szCs w:val="24"/>
        </w:rPr>
      </w:pPr>
      <w:r>
        <w:rPr>
          <w:color w:val="000000"/>
          <w:sz w:val="24"/>
          <w:szCs w:val="24"/>
        </w:rPr>
        <w:t xml:space="preserve">Calculou-se o Incremento Periódico Anual (IPA cm) para cada período (entre duas medições) pela diferença entre as medidas de diâmetro das árvores. </w:t>
      </w:r>
    </w:p>
    <w:p w14:paraId="4D499E7C">
      <w:pPr>
        <w:spacing w:line="360" w:lineRule="auto"/>
        <w:ind w:firstLine="720" w:firstLineChars="300"/>
        <w:jc w:val="center"/>
        <w:rPr>
          <w:rFonts w:hint="default"/>
          <w:color w:val="000000"/>
          <w:sz w:val="22"/>
          <w:szCs w:val="22"/>
          <w:lang w:val="pt-BR"/>
        </w:rPr>
      </w:pPr>
      <w:r>
        <w:rPr>
          <w:color w:val="000000"/>
          <w:sz w:val="24"/>
          <w:szCs w:val="24"/>
          <w:lang w:val="pt-BR"/>
        </w:rPr>
        <w:t>IPA=</w:t>
      </w:r>
      <m:oMath>
        <m:f>
          <m:fPr>
            <m:ctrlPr>
              <w:rPr>
                <w:rFonts w:ascii="Cambria Math" w:hAnsi="Cambria Math"/>
                <w:i/>
                <w:color w:val="000000"/>
                <w:sz w:val="24"/>
                <w:szCs w:val="24"/>
                <w:lang w:val="pt-BR"/>
              </w:rPr>
            </m:ctrlPr>
          </m:fPr>
          <m:num>
            <m:r>
              <m:rPr/>
              <w:rPr>
                <w:rFonts w:ascii="Cambria Math" w:hAnsi="Cambria Math"/>
                <w:color w:val="000000"/>
                <w:sz w:val="24"/>
                <w:szCs w:val="24"/>
                <w:lang w:val="pt-BR"/>
              </w:rPr>
              <m:t>(DAPF− DAP I)</m:t>
            </m:r>
            <m:ctrlPr>
              <w:rPr>
                <w:rFonts w:ascii="Cambria Math" w:hAnsi="Cambria Math"/>
                <w:i/>
                <w:color w:val="000000"/>
                <w:sz w:val="24"/>
                <w:szCs w:val="24"/>
                <w:lang w:val="pt-BR"/>
              </w:rPr>
            </m:ctrlPr>
          </m:num>
          <m:den>
            <m:r>
              <m:rPr/>
              <w:rPr>
                <w:rFonts w:ascii="Cambria Math" w:hAnsi="Cambria Math"/>
                <w:color w:val="000000"/>
                <w:sz w:val="24"/>
                <w:szCs w:val="24"/>
                <w:lang w:val="pt-BR"/>
              </w:rPr>
              <m:t>T</m:t>
            </m:r>
            <m:ctrlPr>
              <w:rPr>
                <w:rFonts w:ascii="Cambria Math" w:hAnsi="Cambria Math"/>
                <w:i/>
                <w:color w:val="000000"/>
                <w:sz w:val="24"/>
                <w:szCs w:val="24"/>
                <w:lang w:val="pt-BR"/>
              </w:rPr>
            </m:ctrlPr>
          </m:den>
        </m:f>
      </m:oMath>
      <w:r>
        <w:rPr>
          <w:rStyle w:val="4"/>
          <w:rFonts w:hint="default" w:ascii="Times New Roman"/>
          <w:b w:val="0"/>
          <w:i w:val="0"/>
          <w:sz w:val="22"/>
          <w:szCs w:val="22"/>
          <w:lang w:val="pt-BR"/>
        </w:rPr>
        <w:t xml:space="preserve"> (Incremento Periódico Anual)</w:t>
      </w:r>
    </w:p>
    <w:p w14:paraId="1C51D856">
      <w:pPr>
        <w:spacing w:line="360" w:lineRule="auto"/>
        <w:rPr>
          <w:color w:val="000000"/>
          <w:sz w:val="24"/>
          <w:szCs w:val="24"/>
          <w:lang w:val="pt-BR"/>
        </w:rPr>
      </w:pPr>
      <w:r>
        <w:rPr>
          <w:color w:val="000000"/>
          <w:sz w:val="24"/>
          <w:szCs w:val="24"/>
        </w:rPr>
        <w:t>Em que</w:t>
      </w:r>
      <w:r>
        <w:rPr>
          <w:color w:val="000000"/>
          <w:sz w:val="24"/>
          <w:szCs w:val="24"/>
          <w:lang w:val="pt-BR"/>
        </w:rPr>
        <w:t>:</w:t>
      </w:r>
    </w:p>
    <w:p w14:paraId="0AE51431">
      <w:pPr>
        <w:spacing w:line="360" w:lineRule="auto"/>
        <w:rPr>
          <w:color w:val="000000"/>
          <w:sz w:val="24"/>
          <w:szCs w:val="24"/>
        </w:rPr>
      </w:pPr>
      <w:r>
        <w:rPr>
          <w:color w:val="000000"/>
          <w:sz w:val="24"/>
          <w:szCs w:val="24"/>
        </w:rPr>
        <w:t>IPA = incremento periódico anual</w:t>
      </w:r>
    </w:p>
    <w:p w14:paraId="318B72F9">
      <w:pPr>
        <w:spacing w:line="360" w:lineRule="auto"/>
        <w:rPr>
          <w:color w:val="000000"/>
          <w:sz w:val="24"/>
          <w:szCs w:val="24"/>
        </w:rPr>
      </w:pPr>
      <w:r>
        <w:rPr>
          <w:color w:val="000000"/>
          <w:sz w:val="24"/>
          <w:szCs w:val="24"/>
        </w:rPr>
        <w:t>DAPf</w:t>
      </w:r>
      <w:r>
        <w:rPr>
          <w:rFonts w:hint="default"/>
          <w:color w:val="000000"/>
          <w:sz w:val="24"/>
          <w:szCs w:val="24"/>
          <w:lang w:val="pt-BR"/>
        </w:rPr>
        <w:t xml:space="preserve"> </w:t>
      </w:r>
      <w:r>
        <w:rPr>
          <w:color w:val="000000"/>
          <w:sz w:val="24"/>
          <w:szCs w:val="24"/>
        </w:rPr>
        <w:t xml:space="preserve">= diâmetro à altura do peito (medido a 1,30 m do solo) no final do período; </w:t>
      </w:r>
    </w:p>
    <w:p w14:paraId="11445114">
      <w:pPr>
        <w:spacing w:line="360" w:lineRule="auto"/>
        <w:rPr>
          <w:color w:val="000000"/>
          <w:sz w:val="24"/>
          <w:szCs w:val="24"/>
        </w:rPr>
      </w:pPr>
      <w:r>
        <w:rPr>
          <w:color w:val="000000"/>
          <w:sz w:val="24"/>
          <w:szCs w:val="24"/>
        </w:rPr>
        <w:t xml:space="preserve">DAPi= diâmetro à altura do peito (medido a 1,30 m do solo) no início do período; </w:t>
      </w:r>
    </w:p>
    <w:p w14:paraId="04E7255D">
      <w:pPr>
        <w:spacing w:line="360" w:lineRule="auto"/>
        <w:rPr>
          <w:color w:val="000000"/>
          <w:sz w:val="24"/>
          <w:szCs w:val="24"/>
        </w:rPr>
      </w:pPr>
      <w:r>
        <w:rPr>
          <w:color w:val="000000"/>
          <w:sz w:val="24"/>
          <w:szCs w:val="24"/>
        </w:rPr>
        <w:t xml:space="preserve">T= tempo (anos) entre uma medição e outra. </w:t>
      </w:r>
    </w:p>
    <w:p w14:paraId="329123FF">
      <w:pPr>
        <w:rPr>
          <w:color w:val="000000"/>
          <w:sz w:val="23"/>
          <w:szCs w:val="24"/>
          <w:lang w:val="pt-BR"/>
        </w:rPr>
      </w:pPr>
    </w:p>
    <w:p w14:paraId="340CC014">
      <w:pPr>
        <w:numPr>
          <w:ilvl w:val="0"/>
          <w:numId w:val="1"/>
        </w:numPr>
        <w:pBdr>
          <w:bottom w:val="none" w:color="000000" w:sz="0" w:space="8"/>
        </w:pBdr>
        <w:shd w:val="clear" w:color="auto" w:fill="FFFFFF"/>
        <w:tabs>
          <w:tab w:val="left" w:pos="2500"/>
        </w:tabs>
        <w:spacing w:line="310" w:lineRule="auto"/>
        <w:jc w:val="both"/>
        <w:rPr>
          <w:b/>
          <w:sz w:val="28"/>
          <w:szCs w:val="28"/>
        </w:rPr>
      </w:pPr>
      <w:r>
        <w:rPr>
          <w:sz w:val="24"/>
          <w:szCs w:val="24"/>
        </w:rPr>
        <w:t>Para as análises estatísticas foram verificados pressupostos da análise de variância (ANOVA), sendo estes: a) normalidade com o teste de Shapiro-Wilk (</w:t>
      </w:r>
      <w:r>
        <w:rPr>
          <w:i/>
          <w:sz w:val="24"/>
          <w:szCs w:val="24"/>
        </w:rPr>
        <w:t>p &gt; 0,05</w:t>
      </w:r>
      <w:r>
        <w:rPr>
          <w:sz w:val="24"/>
          <w:szCs w:val="24"/>
        </w:rPr>
        <w:t>) e visualização com o gráfico Q-Q plot (ZUUR et al., 2009; CRAWLEY, 2013), e b) homocedasticidade pelo teste de Bartlett (</w:t>
      </w:r>
      <w:r>
        <w:rPr>
          <w:i/>
          <w:sz w:val="24"/>
          <w:szCs w:val="24"/>
        </w:rPr>
        <w:t>p &gt; 0,05</w:t>
      </w:r>
      <w:r>
        <w:rPr>
          <w:sz w:val="24"/>
          <w:szCs w:val="24"/>
        </w:rPr>
        <w:t xml:space="preserve">). Uma vez não atendidos esses pressupostos, os dados foram analisados utilizando análise de medidas repetidas no tempo (ANOVA) não paramétrica por meio do teste de Kruskall-Wallis (p &lt; 0,05) e após significância, as medidas foram comparadas pelo teste de Dunn (p &lt; 0,05). Os gráficos foram gerados por meio do pacote “ggplot2” (WICKHAM, 2016), e as análises estatísticas e os resultados pelo pacote “AgroR” (SHIMIZU et al., 2021). </w:t>
      </w:r>
    </w:p>
    <w:p w14:paraId="297FD109">
      <w:pPr>
        <w:numPr>
          <w:ilvl w:val="0"/>
          <w:numId w:val="0"/>
        </w:numPr>
        <w:pBdr>
          <w:bottom w:val="none" w:color="000000" w:sz="0" w:space="8"/>
        </w:pBdr>
        <w:shd w:val="clear" w:color="auto" w:fill="FFFFFF"/>
        <w:tabs>
          <w:tab w:val="left" w:pos="2500"/>
        </w:tabs>
        <w:spacing w:line="310" w:lineRule="auto"/>
        <w:jc w:val="both"/>
        <w:rPr>
          <w:b/>
          <w:sz w:val="28"/>
          <w:szCs w:val="28"/>
        </w:rPr>
      </w:pPr>
    </w:p>
    <w:p w14:paraId="36A9C37E">
      <w:pPr>
        <w:numPr>
          <w:ilvl w:val="0"/>
          <w:numId w:val="0"/>
        </w:numPr>
        <w:pBdr>
          <w:bottom w:val="none" w:color="000000" w:sz="0" w:space="8"/>
        </w:pBdr>
        <w:shd w:val="clear" w:color="auto" w:fill="FFFFFF"/>
        <w:tabs>
          <w:tab w:val="left" w:pos="2500"/>
        </w:tabs>
        <w:spacing w:line="310" w:lineRule="auto"/>
        <w:jc w:val="both"/>
        <w:rPr>
          <w:b/>
          <w:bCs/>
          <w:sz w:val="28"/>
          <w:szCs w:val="28"/>
        </w:rPr>
      </w:pPr>
      <w:r>
        <w:rPr>
          <w:rFonts w:hint="default"/>
          <w:b/>
          <w:bCs/>
          <w:sz w:val="24"/>
          <w:szCs w:val="24"/>
          <w:lang w:val="pt-BR"/>
        </w:rPr>
        <w:t>3.</w:t>
      </w:r>
      <w:r>
        <w:rPr>
          <w:b/>
          <w:bCs/>
          <w:sz w:val="24"/>
          <w:szCs w:val="24"/>
        </w:rPr>
        <w:t>RESULTADOS E DISCUSSÃO</w:t>
      </w:r>
      <w:r>
        <w:rPr>
          <w:b/>
          <w:bCs/>
          <w:sz w:val="28"/>
          <w:szCs w:val="28"/>
        </w:rPr>
        <w:t xml:space="preserve"> </w:t>
      </w:r>
    </w:p>
    <w:p w14:paraId="29BD79E3">
      <w:pPr>
        <w:pBdr>
          <w:bottom w:val="none" w:color="000000" w:sz="0" w:space="8"/>
        </w:pBdr>
        <w:shd w:val="clear" w:color="auto" w:fill="FFFFFF"/>
        <w:tabs>
          <w:tab w:val="left" w:pos="2500"/>
        </w:tabs>
        <w:spacing w:line="360" w:lineRule="auto"/>
        <w:ind w:firstLine="300" w:firstLineChars="125"/>
        <w:jc w:val="both"/>
        <w:rPr>
          <w:color w:val="000000"/>
          <w:sz w:val="24"/>
          <w:szCs w:val="24"/>
        </w:rPr>
      </w:pPr>
      <w:r>
        <w:rPr>
          <w:color w:val="000000"/>
          <w:sz w:val="24"/>
          <w:szCs w:val="24"/>
        </w:rPr>
        <w:t>Houve efeito significativo (p = 0,001), tanto do período como dos tratamentos T1 apresentou maior média de IPA, um ano (0,48 cm ano</w:t>
      </w:r>
      <w:r>
        <w:rPr>
          <w:color w:val="000000"/>
          <w:sz w:val="24"/>
          <w:szCs w:val="24"/>
          <w:vertAlign w:val="superscript"/>
        </w:rPr>
        <w:t>-1</w:t>
      </w:r>
      <w:r>
        <w:rPr>
          <w:color w:val="000000"/>
          <w:sz w:val="24"/>
          <w:szCs w:val="24"/>
        </w:rPr>
        <w:t>), dois anos (0,62 cm ano</w:t>
      </w:r>
      <w:r>
        <w:rPr>
          <w:color w:val="000000"/>
          <w:sz w:val="24"/>
          <w:szCs w:val="24"/>
          <w:vertAlign w:val="superscript"/>
        </w:rPr>
        <w:t>-1</w:t>
      </w:r>
      <w:r>
        <w:rPr>
          <w:color w:val="000000"/>
          <w:sz w:val="24"/>
          <w:szCs w:val="24"/>
        </w:rPr>
        <w:t>) e quatro anos (0,52 cm ano</w:t>
      </w:r>
      <w:r>
        <w:rPr>
          <w:color w:val="000000"/>
          <w:sz w:val="24"/>
          <w:szCs w:val="24"/>
          <w:vertAlign w:val="superscript"/>
        </w:rPr>
        <w:t>-1</w:t>
      </w:r>
      <w:r>
        <w:rPr>
          <w:color w:val="000000"/>
          <w:sz w:val="24"/>
          <w:szCs w:val="24"/>
        </w:rPr>
        <w:t>) após a aplicação dos tratamentos silviculturais, diferindo significativamente dos tratamentos T3 e T4 (p = 0,001) (Figura 4). Era de se esperar que no T1 por ser um tratamento mais intenso (corte de cipós + desbaste), portanto com maior penetração de luz na floresta e mais disponibilidade de espaço e nutrientes, as árvores realmente tivessem o incremento diamétrico maior. Esse resultado ganha ainda mais importância porque as árvores tratadas para a próxima colheita nesse tratamento foram todas de espécies cuja madeira já possui comércio assegurado no mercado nacional.</w:t>
      </w:r>
    </w:p>
    <w:p w14:paraId="38E4E24A">
      <w:pPr>
        <w:pBdr>
          <w:bottom w:val="none" w:color="000000" w:sz="0" w:space="8"/>
        </w:pBdr>
        <w:shd w:val="clear" w:color="auto" w:fill="FFFFFF"/>
        <w:tabs>
          <w:tab w:val="left" w:pos="2500"/>
        </w:tabs>
        <w:spacing w:line="360" w:lineRule="auto"/>
        <w:ind w:firstLine="300" w:firstLineChars="125"/>
        <w:jc w:val="both"/>
        <w:rPr>
          <w:color w:val="000000"/>
          <w:sz w:val="24"/>
          <w:szCs w:val="24"/>
        </w:rPr>
      </w:pPr>
    </w:p>
    <w:p w14:paraId="3FCA0B79">
      <w:pPr>
        <w:pBdr>
          <w:bottom w:val="none" w:color="000000" w:sz="0" w:space="8"/>
        </w:pBdr>
        <w:shd w:val="clear" w:color="auto" w:fill="FFFFFF"/>
        <w:tabs>
          <w:tab w:val="left" w:pos="2500"/>
        </w:tabs>
        <w:spacing w:line="360" w:lineRule="auto"/>
        <w:ind w:firstLine="300" w:firstLineChars="125"/>
        <w:jc w:val="both"/>
        <w:rPr>
          <w:color w:val="000000"/>
          <w:sz w:val="24"/>
          <w:szCs w:val="24"/>
        </w:rPr>
      </w:pPr>
    </w:p>
    <w:p w14:paraId="4526EB96">
      <w:pPr>
        <w:pBdr>
          <w:bottom w:val="none" w:color="000000" w:sz="0" w:space="8"/>
        </w:pBdr>
        <w:shd w:val="clear" w:color="auto" w:fill="FFFFFF"/>
        <w:tabs>
          <w:tab w:val="left" w:pos="2500"/>
        </w:tabs>
        <w:spacing w:line="360" w:lineRule="auto"/>
        <w:ind w:firstLine="300" w:firstLineChars="125"/>
        <w:jc w:val="both"/>
        <w:rPr>
          <w:color w:val="000000"/>
          <w:sz w:val="24"/>
          <w:szCs w:val="24"/>
        </w:rPr>
      </w:pPr>
    </w:p>
    <w:p w14:paraId="6B00EC27">
      <w:pPr>
        <w:pBdr>
          <w:bottom w:val="none" w:color="000000" w:sz="0" w:space="8"/>
        </w:pBdr>
        <w:shd w:val="clear" w:color="auto" w:fill="FFFFFF"/>
        <w:tabs>
          <w:tab w:val="left" w:pos="2500"/>
        </w:tabs>
        <w:spacing w:line="360" w:lineRule="auto"/>
        <w:ind w:firstLine="300" w:firstLineChars="125"/>
        <w:jc w:val="both"/>
        <w:rPr>
          <w:color w:val="000000"/>
          <w:sz w:val="24"/>
          <w:szCs w:val="24"/>
        </w:rPr>
      </w:pPr>
    </w:p>
    <w:p w14:paraId="1D707CFF">
      <w:pPr>
        <w:pBdr>
          <w:bottom w:val="none" w:color="000000" w:sz="0" w:space="8"/>
        </w:pBdr>
        <w:shd w:val="clear" w:color="auto" w:fill="FFFFFF"/>
        <w:tabs>
          <w:tab w:val="left" w:pos="2500"/>
        </w:tabs>
        <w:spacing w:line="360" w:lineRule="auto"/>
        <w:ind w:firstLine="300" w:firstLineChars="125"/>
        <w:jc w:val="both"/>
        <w:rPr>
          <w:color w:val="000000"/>
          <w:sz w:val="24"/>
          <w:szCs w:val="24"/>
        </w:rPr>
      </w:pPr>
    </w:p>
    <w:p w14:paraId="64F9CD62">
      <w:pPr>
        <w:pBdr>
          <w:bottom w:val="none" w:color="000000" w:sz="0" w:space="8"/>
        </w:pBdr>
        <w:shd w:val="clear" w:color="auto" w:fill="FFFFFF"/>
        <w:tabs>
          <w:tab w:val="left" w:pos="699"/>
        </w:tabs>
        <w:jc w:val="center"/>
        <w:rPr>
          <w:color w:val="000000"/>
        </w:rPr>
      </w:pPr>
      <w:r>
        <w:rPr>
          <w:bCs/>
          <w:color w:val="000000"/>
        </w:rPr>
        <w:t>Figura 3 - Incremento</w:t>
      </w:r>
      <w:r>
        <w:rPr>
          <w:color w:val="000000"/>
        </w:rPr>
        <w:t xml:space="preserve"> Periódico Anual (IPA) do grupo de 56 espécies, considerando árvores com DAP ≥ 35 cm em área submetida a tratamentos silviculturais pós-exploração. O ponto representa a média e a linha vertical representa o intervalo de confiança (95%). Letras minúsculas diferentes indicam diferenças estatísticas entre os tratamentos dentro de cada tempo e letras maiúsculas diferentes indicam diferença significativas (p &lt; 0,05) em ANOVA com o teste post-hoc não paramétrico de Kruskal-Wallis.</w:t>
      </w:r>
    </w:p>
    <w:p w14:paraId="5E491339">
      <w:pPr>
        <w:pBdr>
          <w:bottom w:val="none" w:color="000000" w:sz="0" w:space="8"/>
        </w:pBdr>
        <w:shd w:val="clear" w:color="auto" w:fill="FFFFFF"/>
        <w:tabs>
          <w:tab w:val="left" w:pos="699"/>
        </w:tabs>
        <w:ind w:firstLine="275" w:firstLineChars="125"/>
        <w:jc w:val="center"/>
        <w:rPr>
          <w:rStyle w:val="4"/>
          <w:sz w:val="22"/>
          <w:szCs w:val="22"/>
        </w:rPr>
      </w:pPr>
      <w:r>
        <w:rPr>
          <w:lang w:val="pt-BR" w:eastAsia="pt-BR"/>
        </w:rPr>
        <w:drawing>
          <wp:inline distT="0" distB="0" distL="114300" distR="114300">
            <wp:extent cx="3218180" cy="2186940"/>
            <wp:effectExtent l="0" t="0" r="1270" b="381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pic:cNvPicPr>
                  </pic:nvPicPr>
                  <pic:blipFill>
                    <a:blip r:embed="rId10"/>
                    <a:stretch>
                      <a:fillRect/>
                    </a:stretch>
                  </pic:blipFill>
                  <pic:spPr>
                    <a:xfrm>
                      <a:off x="0" y="0"/>
                      <a:ext cx="3295863" cy="2239627"/>
                    </a:xfrm>
                    <a:prstGeom prst="rect">
                      <a:avLst/>
                    </a:prstGeom>
                    <a:noFill/>
                    <a:ln>
                      <a:noFill/>
                    </a:ln>
                  </pic:spPr>
                </pic:pic>
              </a:graphicData>
            </a:graphic>
          </wp:inline>
        </w:drawing>
      </w:r>
    </w:p>
    <w:p w14:paraId="34735DC1">
      <w:pPr>
        <w:pBdr>
          <w:bottom w:val="none" w:color="000000" w:sz="0" w:space="8"/>
        </w:pBdr>
        <w:shd w:val="clear" w:color="auto" w:fill="FFFFFF"/>
        <w:tabs>
          <w:tab w:val="left" w:pos="699"/>
        </w:tabs>
        <w:rPr>
          <w:rStyle w:val="4"/>
          <w:sz w:val="22"/>
          <w:szCs w:val="22"/>
          <w:lang w:val="pt-BR"/>
        </w:rPr>
      </w:pPr>
      <w:r>
        <w:rPr>
          <w:rStyle w:val="4"/>
          <w:sz w:val="22"/>
          <w:szCs w:val="22"/>
          <w:lang w:val="pt-BR"/>
        </w:rPr>
        <w:t>Fonte: Autores, 2024.</w:t>
      </w:r>
    </w:p>
    <w:p w14:paraId="48E08C1B">
      <w:pPr>
        <w:pBdr>
          <w:bottom w:val="none" w:color="000000" w:sz="0" w:space="8"/>
        </w:pBdr>
        <w:shd w:val="clear" w:color="auto" w:fill="FFFFFF"/>
        <w:tabs>
          <w:tab w:val="left" w:pos="699"/>
        </w:tabs>
        <w:rPr>
          <w:rStyle w:val="4"/>
          <w:sz w:val="24"/>
          <w:szCs w:val="24"/>
          <w:lang w:val="pt-BR"/>
        </w:rPr>
      </w:pPr>
    </w:p>
    <w:p w14:paraId="6547369B">
      <w:pPr>
        <w:pBdr>
          <w:bottom w:val="none" w:color="000000" w:sz="0" w:space="8"/>
        </w:pBdr>
        <w:shd w:val="clear" w:color="auto" w:fill="FFFFFF"/>
        <w:tabs>
          <w:tab w:val="left" w:pos="699"/>
        </w:tabs>
        <w:spacing w:line="360" w:lineRule="auto"/>
        <w:ind w:firstLine="300" w:firstLineChars="125"/>
        <w:jc w:val="both"/>
        <w:rPr>
          <w:color w:val="000000"/>
          <w:sz w:val="24"/>
          <w:szCs w:val="24"/>
        </w:rPr>
      </w:pPr>
      <w:r>
        <w:rPr>
          <w:color w:val="000000"/>
          <w:sz w:val="24"/>
          <w:szCs w:val="24"/>
        </w:rPr>
        <w:t>Observou-se diferença significativa no incremento periódico anual (IPA) entre os tratamentos pelo teste não paramétrico de Kruskal-Wallis. Os tratamentos T1 (0,69±0,30 cm ano-1) e T2 (0,71±0,32 cm ano</w:t>
      </w:r>
      <w:r>
        <w:rPr>
          <w:color w:val="000000"/>
          <w:sz w:val="24"/>
          <w:szCs w:val="24"/>
          <w:vertAlign w:val="superscript"/>
        </w:rPr>
        <w:t>-1</w:t>
      </w:r>
      <w:r>
        <w:rPr>
          <w:color w:val="000000"/>
          <w:sz w:val="24"/>
          <w:szCs w:val="24"/>
        </w:rPr>
        <w:t>) apresentaram as maiores média para o IPA, diferindo significativamente dos demais tratamentos (H = 134.32, x² = 0,001). T1 (0,53±0,27 cm ano</w:t>
      </w:r>
      <w:r>
        <w:rPr>
          <w:color w:val="000000"/>
          <w:sz w:val="24"/>
          <w:szCs w:val="24"/>
          <w:vertAlign w:val="superscript"/>
        </w:rPr>
        <w:t>-1</w:t>
      </w:r>
      <w:r>
        <w:rPr>
          <w:color w:val="000000"/>
          <w:sz w:val="24"/>
          <w:szCs w:val="24"/>
        </w:rPr>
        <w:t xml:space="preserve">) apresentou o menor IPA. </w:t>
      </w:r>
    </w:p>
    <w:p w14:paraId="7806BEA8">
      <w:pPr>
        <w:pBdr>
          <w:bottom w:val="none" w:color="000000" w:sz="0" w:space="8"/>
        </w:pBdr>
        <w:shd w:val="clear" w:color="auto" w:fill="FFFFFF"/>
        <w:tabs>
          <w:tab w:val="left" w:pos="699"/>
        </w:tabs>
        <w:jc w:val="center"/>
        <w:rPr>
          <w:color w:val="000000"/>
        </w:rPr>
      </w:pPr>
      <w:r>
        <w:rPr>
          <w:bCs/>
          <w:color w:val="000000"/>
        </w:rPr>
        <w:t>Figura 4 -</w:t>
      </w:r>
      <w:r>
        <w:rPr>
          <w:color w:val="000000"/>
        </w:rPr>
        <w:t xml:space="preserve"> Média (±) para Incremento Periódico Anual (IPA) do grupo de 56 espécies, considerando árvores com DAP ≥ 35 cm em área submetida a tratamentos silviculturais pós-exploração. Letras diferentes indicam diferença estatística entre os tratamentos (p &lt; 0,05) em ANOVA com o teste post-hoc não paramétrico de Kruskal-Wallis.</w:t>
      </w:r>
    </w:p>
    <w:p w14:paraId="35CD37E1">
      <w:pPr>
        <w:pBdr>
          <w:bottom w:val="none" w:color="000000" w:sz="0" w:space="8"/>
        </w:pBdr>
        <w:shd w:val="clear" w:color="auto" w:fill="FFFFFF"/>
        <w:tabs>
          <w:tab w:val="left" w:pos="699"/>
        </w:tabs>
        <w:jc w:val="center"/>
        <w:rPr>
          <w:sz w:val="24"/>
          <w:szCs w:val="24"/>
        </w:rPr>
      </w:pPr>
      <w:r>
        <w:rPr>
          <w:sz w:val="24"/>
          <w:szCs w:val="24"/>
          <w:lang w:val="pt-BR" w:eastAsia="pt-BR"/>
        </w:rPr>
        <w:drawing>
          <wp:inline distT="0" distB="0" distL="114300" distR="114300">
            <wp:extent cx="2834640" cy="2247900"/>
            <wp:effectExtent l="0" t="0" r="3810" b="0"/>
            <wp:docPr id="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pic:cNvPicPr>
                      <a:picLocks noChangeAspect="1"/>
                    </pic:cNvPicPr>
                  </pic:nvPicPr>
                  <pic:blipFill>
                    <a:blip r:embed="rId11"/>
                    <a:stretch>
                      <a:fillRect/>
                    </a:stretch>
                  </pic:blipFill>
                  <pic:spPr>
                    <a:xfrm>
                      <a:off x="0" y="0"/>
                      <a:ext cx="2908090" cy="2306610"/>
                    </a:xfrm>
                    <a:prstGeom prst="rect">
                      <a:avLst/>
                    </a:prstGeom>
                    <a:noFill/>
                    <a:ln>
                      <a:noFill/>
                    </a:ln>
                  </pic:spPr>
                </pic:pic>
              </a:graphicData>
            </a:graphic>
          </wp:inline>
        </w:drawing>
      </w:r>
    </w:p>
    <w:p w14:paraId="1CE58E87">
      <w:pPr>
        <w:pBdr>
          <w:bottom w:val="none" w:color="000000" w:sz="0" w:space="8"/>
        </w:pBdr>
        <w:shd w:val="clear" w:color="auto" w:fill="FFFFFF"/>
        <w:tabs>
          <w:tab w:val="left" w:pos="699"/>
        </w:tabs>
        <w:jc w:val="both"/>
        <w:rPr>
          <w:lang w:val="pt-BR"/>
        </w:rPr>
      </w:pPr>
      <w:r>
        <w:rPr>
          <w:lang w:val="pt-BR"/>
        </w:rPr>
        <w:t>Fonte: Autores, 2024</w:t>
      </w:r>
    </w:p>
    <w:p w14:paraId="2D999814">
      <w:pPr>
        <w:spacing w:line="360" w:lineRule="auto"/>
        <w:ind w:firstLine="300" w:firstLineChars="125"/>
        <w:jc w:val="both"/>
        <w:rPr>
          <w:color w:val="000000"/>
          <w:sz w:val="24"/>
          <w:szCs w:val="24"/>
          <w:lang w:val="pt-BR"/>
        </w:rPr>
      </w:pPr>
      <w:r>
        <w:rPr>
          <w:color w:val="000000"/>
          <w:sz w:val="24"/>
          <w:szCs w:val="24"/>
        </w:rPr>
        <w:t>Comprovou-se, portanto, o crescimento mais rápido no T1, porém no T2, onde também houve liberação de copas por meio do corte de cipós, o incremento foi alto, diferenciando-se dos tratamentos T3 e T4, onde não houve liberação de copas. No T4 era de se esperar menor incremento, considerando que nenhum tratamento silvicultura</w:t>
      </w:r>
      <w:r>
        <w:rPr>
          <w:color w:val="000000"/>
          <w:sz w:val="24"/>
          <w:szCs w:val="24"/>
          <w:lang w:val="pt-BR"/>
        </w:rPr>
        <w:t>.</w:t>
      </w:r>
    </w:p>
    <w:p w14:paraId="786BF23B">
      <w:pPr>
        <w:spacing w:line="360" w:lineRule="auto"/>
        <w:ind w:firstLine="300" w:firstLineChars="125"/>
        <w:jc w:val="both"/>
        <w:rPr>
          <w:color w:val="000000"/>
          <w:sz w:val="24"/>
          <w:szCs w:val="24"/>
        </w:rPr>
      </w:pPr>
    </w:p>
    <w:p w14:paraId="6038BFC3">
      <w:pPr>
        <w:widowControl/>
        <w:numPr>
          <w:ilvl w:val="0"/>
          <w:numId w:val="1"/>
        </w:numPr>
        <w:tabs>
          <w:tab w:val="left" w:pos="1290"/>
        </w:tabs>
        <w:spacing w:after="160" w:line="360" w:lineRule="auto"/>
        <w:jc w:val="both"/>
        <w:rPr>
          <w:b/>
          <w:sz w:val="24"/>
          <w:szCs w:val="24"/>
        </w:rPr>
      </w:pPr>
      <w:r>
        <w:rPr>
          <w:b/>
          <w:sz w:val="24"/>
          <w:szCs w:val="24"/>
        </w:rPr>
        <w:t xml:space="preserve">CONSIDERAÇÕES FINAIS </w:t>
      </w:r>
    </w:p>
    <w:p w14:paraId="7C217F44">
      <w:pPr>
        <w:widowControl/>
        <w:tabs>
          <w:tab w:val="left" w:pos="1290"/>
        </w:tabs>
        <w:spacing w:after="160" w:line="360" w:lineRule="auto"/>
        <w:ind w:firstLine="300" w:firstLineChars="125"/>
        <w:jc w:val="both"/>
        <w:rPr>
          <w:b/>
          <w:sz w:val="24"/>
          <w:szCs w:val="24"/>
        </w:rPr>
      </w:pPr>
      <w:r>
        <w:rPr>
          <w:color w:val="000000"/>
          <w:sz w:val="24"/>
          <w:szCs w:val="24"/>
        </w:rPr>
        <w:t>O corte de cipós e o desbaste de liberação de copas aumentaram o incrementam diamétrico das árvores. A maior captação de radiação solar pelas árvores foi o fator primordial para aumentar os seus incrementos diamétricos. O corte de cipós e o desbaste de liberação de copas das árvores para melhor captação de radiação solar são ferramentas importantes para aumentar o incremento diamétrico das árvores para colheitas futuras e, assim, reduzir ciclos de corte</w:t>
      </w:r>
    </w:p>
    <w:p w14:paraId="2C1C5555">
      <w:pPr>
        <w:widowControl/>
        <w:tabs>
          <w:tab w:val="left" w:pos="1290"/>
        </w:tabs>
        <w:jc w:val="both"/>
        <w:rPr>
          <w:b/>
          <w:sz w:val="24"/>
          <w:szCs w:val="24"/>
        </w:rPr>
      </w:pPr>
      <w:r>
        <w:rPr>
          <w:b/>
          <w:sz w:val="24"/>
          <w:szCs w:val="24"/>
        </w:rPr>
        <w:t>REFERÊNCIAS</w:t>
      </w:r>
    </w:p>
    <w:p w14:paraId="56025AA5">
      <w:pPr>
        <w:jc w:val="both"/>
        <w:rPr>
          <w:sz w:val="24"/>
          <w:szCs w:val="24"/>
        </w:rPr>
      </w:pPr>
      <w:r>
        <w:rPr>
          <w:sz w:val="24"/>
          <w:szCs w:val="24"/>
        </w:rPr>
        <w:t xml:space="preserve">BEZERRA, L. Á. </w:t>
      </w:r>
      <w:r>
        <w:rPr>
          <w:b/>
          <w:bCs/>
          <w:sz w:val="24"/>
          <w:szCs w:val="24"/>
        </w:rPr>
        <w:t xml:space="preserve">Biologia floral de uma liana nativa heterodicogâmica, </w:t>
      </w:r>
      <w:r>
        <w:rPr>
          <w:b/>
          <w:bCs/>
          <w:i/>
          <w:iCs/>
          <w:sz w:val="24"/>
          <w:szCs w:val="24"/>
        </w:rPr>
        <w:t>Gouania cornifolia</w:t>
      </w:r>
      <w:r>
        <w:rPr>
          <w:b/>
          <w:bCs/>
          <w:sz w:val="24"/>
          <w:szCs w:val="24"/>
        </w:rPr>
        <w:t xml:space="preserve"> Reissek (Rhamnaceae), com potencial para regeneração natural na Amazônia brasileira</w:t>
      </w:r>
      <w:r>
        <w:rPr>
          <w:sz w:val="24"/>
          <w:szCs w:val="24"/>
        </w:rPr>
        <w:t>. 2021. Tese (Doutorado) – Universidade Federal Rural da Amazônia, Belém.</w:t>
      </w:r>
    </w:p>
    <w:p w14:paraId="335C51B2">
      <w:pPr>
        <w:jc w:val="both"/>
        <w:rPr>
          <w:sz w:val="24"/>
          <w:szCs w:val="24"/>
        </w:rPr>
      </w:pPr>
    </w:p>
    <w:p w14:paraId="77B6E6C3">
      <w:pPr>
        <w:jc w:val="both"/>
        <w:rPr>
          <w:sz w:val="24"/>
          <w:szCs w:val="24"/>
        </w:rPr>
      </w:pPr>
      <w:r>
        <w:rPr>
          <w:sz w:val="24"/>
          <w:szCs w:val="24"/>
        </w:rPr>
        <w:t xml:space="preserve">BRASIL. </w:t>
      </w:r>
      <w:r>
        <w:rPr>
          <w:b/>
          <w:sz w:val="24"/>
          <w:szCs w:val="24"/>
        </w:rPr>
        <w:t>Instrução Normativa nº 5, de 11 de dezembro de 2006.</w:t>
      </w:r>
      <w:r>
        <w:rPr>
          <w:sz w:val="24"/>
          <w:szCs w:val="24"/>
        </w:rPr>
        <w:t xml:space="preserve"> Dispõe sobre procedimentos técnicos para elaboração, apresentação, execução e avaliação técnica de Planos de Manejo Florestal Sustentável – PMFSs nas florestas primitivas e suas formas de sucessão na Amazônia Legal, e dá outras providências. Diário Oficial [da República Federativa do Brasil], Brasília, DF, n. 238, p. 155-159, 13 dez. 2006.</w:t>
      </w:r>
    </w:p>
    <w:p w14:paraId="3EBFC385">
      <w:pPr>
        <w:jc w:val="both"/>
        <w:rPr>
          <w:sz w:val="24"/>
          <w:szCs w:val="24"/>
        </w:rPr>
      </w:pPr>
    </w:p>
    <w:p w14:paraId="5DBCA8BF">
      <w:pPr>
        <w:jc w:val="both"/>
        <w:rPr>
          <w:sz w:val="24"/>
          <w:szCs w:val="24"/>
        </w:rPr>
      </w:pPr>
      <w:r>
        <w:rPr>
          <w:sz w:val="24"/>
          <w:szCs w:val="24"/>
        </w:rPr>
        <w:t>CARVALHO, J. O. P.; SILVA, J. N. M.; SILVA, M. G.; GOMES, J. M.; TAFFAREL, M.; NOBRE, D. N. V. Mortality of girdled trees and survival of seedlings in canopy gaps after logging in an upland forest in Brazilian Amazon.</w:t>
      </w:r>
      <w:r>
        <w:rPr>
          <w:b/>
          <w:bCs/>
          <w:sz w:val="24"/>
          <w:szCs w:val="24"/>
        </w:rPr>
        <w:t xml:space="preserve"> Revista de Ciências Agrárias</w:t>
      </w:r>
      <w:r>
        <w:rPr>
          <w:sz w:val="24"/>
          <w:szCs w:val="24"/>
        </w:rPr>
        <w:t>, v. 56, n. 1, 2013.</w:t>
      </w:r>
    </w:p>
    <w:p w14:paraId="29A282A7">
      <w:pPr>
        <w:jc w:val="both"/>
        <w:rPr>
          <w:sz w:val="24"/>
          <w:szCs w:val="24"/>
        </w:rPr>
      </w:pPr>
    </w:p>
    <w:p w14:paraId="5A7AFD49">
      <w:pPr>
        <w:jc w:val="both"/>
        <w:rPr>
          <w:rStyle w:val="4"/>
          <w:sz w:val="24"/>
          <w:szCs w:val="24"/>
        </w:rPr>
      </w:pPr>
      <w:r>
        <w:rPr>
          <w:rFonts w:eastAsia="SimSun"/>
          <w:sz w:val="24"/>
          <w:szCs w:val="24"/>
        </w:rPr>
        <w:t xml:space="preserve">CASTRO, TC.; CARVALHO, JOP.; SCHWARTZ, G.; SILVA, J. N. M.; RUSCHEL, A. R.; FREITAS, L. J. M.; GOMES, J. M.; PINTO, R. S. The continuous timber production over cutting cycles in the Brazilian amazon depends on volumes of species not harvested in previous cuts. </w:t>
      </w:r>
      <w:r>
        <w:rPr>
          <w:rFonts w:eastAsia="SimSun"/>
          <w:b/>
          <w:bCs/>
          <w:sz w:val="24"/>
          <w:szCs w:val="24"/>
        </w:rPr>
        <w:t>Forest Ecology and Management</w:t>
      </w:r>
      <w:r>
        <w:rPr>
          <w:rFonts w:eastAsia="SimSun"/>
          <w:sz w:val="24"/>
          <w:szCs w:val="24"/>
        </w:rPr>
        <w:t>, v.490, p.119124. 2021.</w:t>
      </w:r>
    </w:p>
    <w:p w14:paraId="3B53B156">
      <w:pPr>
        <w:jc w:val="both"/>
        <w:rPr>
          <w:sz w:val="24"/>
          <w:szCs w:val="24"/>
        </w:rPr>
      </w:pPr>
    </w:p>
    <w:p w14:paraId="14C70597">
      <w:pPr>
        <w:jc w:val="both"/>
        <w:rPr>
          <w:sz w:val="24"/>
          <w:szCs w:val="24"/>
        </w:rPr>
      </w:pPr>
      <w:r>
        <w:rPr>
          <w:sz w:val="24"/>
          <w:szCs w:val="24"/>
        </w:rPr>
        <w:t xml:space="preserve">CRAWLEY, M. J. </w:t>
      </w:r>
      <w:r>
        <w:rPr>
          <w:b/>
          <w:bCs/>
          <w:sz w:val="24"/>
          <w:szCs w:val="24"/>
        </w:rPr>
        <w:t>The R book</w:t>
      </w:r>
      <w:r>
        <w:rPr>
          <w:sz w:val="24"/>
          <w:szCs w:val="24"/>
        </w:rPr>
        <w:t>. 2nd ed. London: Wiley, 2013.</w:t>
      </w:r>
    </w:p>
    <w:p w14:paraId="322E2110">
      <w:pPr>
        <w:jc w:val="both"/>
        <w:rPr>
          <w:sz w:val="24"/>
          <w:szCs w:val="24"/>
        </w:rPr>
      </w:pPr>
    </w:p>
    <w:p w14:paraId="2EB726EC">
      <w:pPr>
        <w:jc w:val="both"/>
        <w:rPr>
          <w:sz w:val="24"/>
          <w:szCs w:val="24"/>
        </w:rPr>
      </w:pPr>
      <w:r>
        <w:rPr>
          <w:rStyle w:val="4"/>
          <w:sz w:val="24"/>
          <w:szCs w:val="24"/>
        </w:rPr>
        <w:t>DE AVILA,</w:t>
      </w:r>
      <w:r>
        <w:rPr>
          <w:rStyle w:val="4"/>
          <w:sz w:val="24"/>
          <w:szCs w:val="24"/>
          <w:lang w:val="pt-BR"/>
        </w:rPr>
        <w:t xml:space="preserve"> A. L.; </w:t>
      </w:r>
      <w:r>
        <w:rPr>
          <w:rStyle w:val="4"/>
          <w:sz w:val="24"/>
          <w:szCs w:val="24"/>
        </w:rPr>
        <w:t>SCHWARTZ,</w:t>
      </w:r>
      <w:r>
        <w:rPr>
          <w:rStyle w:val="4"/>
          <w:sz w:val="24"/>
          <w:szCs w:val="24"/>
          <w:lang w:val="pt-BR"/>
        </w:rPr>
        <w:t xml:space="preserve"> G.; </w:t>
      </w:r>
      <w:r>
        <w:rPr>
          <w:rStyle w:val="4"/>
          <w:sz w:val="24"/>
          <w:szCs w:val="24"/>
        </w:rPr>
        <w:t>RUSCHEL,</w:t>
      </w:r>
      <w:r>
        <w:rPr>
          <w:rStyle w:val="4"/>
          <w:sz w:val="24"/>
          <w:szCs w:val="24"/>
          <w:lang w:val="pt-BR"/>
        </w:rPr>
        <w:t xml:space="preserve"> A. R.:</w:t>
      </w:r>
      <w:r>
        <w:rPr>
          <w:rStyle w:val="4"/>
          <w:sz w:val="24"/>
          <w:szCs w:val="24"/>
        </w:rPr>
        <w:t xml:space="preserve"> LOPES</w:t>
      </w:r>
      <w:r>
        <w:rPr>
          <w:rStyle w:val="4"/>
          <w:sz w:val="24"/>
          <w:szCs w:val="24"/>
          <w:lang w:val="pt-BR"/>
        </w:rPr>
        <w:t xml:space="preserve">, </w:t>
      </w:r>
      <w:r>
        <w:rPr>
          <w:rStyle w:val="4"/>
          <w:sz w:val="24"/>
          <w:szCs w:val="24"/>
        </w:rPr>
        <w:t>J</w:t>
      </w:r>
      <w:r>
        <w:rPr>
          <w:rStyle w:val="4"/>
          <w:sz w:val="24"/>
          <w:szCs w:val="24"/>
          <w:lang w:val="pt-BR"/>
        </w:rPr>
        <w:t>.</w:t>
      </w:r>
      <w:r>
        <w:rPr>
          <w:rStyle w:val="4"/>
          <w:sz w:val="24"/>
          <w:szCs w:val="24"/>
        </w:rPr>
        <w:t xml:space="preserve"> D</w:t>
      </w:r>
      <w:r>
        <w:rPr>
          <w:rStyle w:val="4"/>
          <w:sz w:val="24"/>
          <w:szCs w:val="24"/>
          <w:lang w:val="pt-BR"/>
        </w:rPr>
        <w:t>.</w:t>
      </w:r>
      <w:r>
        <w:rPr>
          <w:rStyle w:val="4"/>
          <w:sz w:val="24"/>
          <w:szCs w:val="24"/>
        </w:rPr>
        <w:t xml:space="preserve"> C</w:t>
      </w:r>
      <w:r>
        <w:rPr>
          <w:rStyle w:val="4"/>
          <w:sz w:val="24"/>
          <w:szCs w:val="24"/>
          <w:lang w:val="pt-BR"/>
        </w:rPr>
        <w:t xml:space="preserve">.; </w:t>
      </w:r>
      <w:r>
        <w:rPr>
          <w:rStyle w:val="4"/>
          <w:sz w:val="24"/>
          <w:szCs w:val="24"/>
        </w:rPr>
        <w:t>SILVA,</w:t>
      </w:r>
      <w:r>
        <w:rPr>
          <w:rStyle w:val="4"/>
          <w:sz w:val="24"/>
          <w:szCs w:val="24"/>
          <w:lang w:val="pt-BR"/>
        </w:rPr>
        <w:t xml:space="preserve"> </w:t>
      </w:r>
      <w:r>
        <w:rPr>
          <w:rStyle w:val="4"/>
          <w:sz w:val="24"/>
          <w:szCs w:val="24"/>
        </w:rPr>
        <w:t>J</w:t>
      </w:r>
      <w:r>
        <w:rPr>
          <w:rStyle w:val="4"/>
          <w:sz w:val="24"/>
          <w:szCs w:val="24"/>
          <w:lang w:val="pt-BR"/>
        </w:rPr>
        <w:t>.</w:t>
      </w:r>
      <w:r>
        <w:rPr>
          <w:rStyle w:val="4"/>
          <w:sz w:val="24"/>
          <w:szCs w:val="24"/>
        </w:rPr>
        <w:t xml:space="preserve"> N</w:t>
      </w:r>
      <w:r>
        <w:rPr>
          <w:rStyle w:val="4"/>
          <w:sz w:val="24"/>
          <w:szCs w:val="24"/>
          <w:lang w:val="pt-BR"/>
        </w:rPr>
        <w:t>.</w:t>
      </w:r>
      <w:r>
        <w:rPr>
          <w:rStyle w:val="4"/>
          <w:sz w:val="24"/>
          <w:szCs w:val="24"/>
        </w:rPr>
        <w:t xml:space="preserve"> M</w:t>
      </w:r>
      <w:r>
        <w:rPr>
          <w:rStyle w:val="4"/>
          <w:sz w:val="24"/>
          <w:szCs w:val="24"/>
          <w:lang w:val="pt-BR"/>
        </w:rPr>
        <w:t>.;</w:t>
      </w:r>
      <w:r>
        <w:rPr>
          <w:rStyle w:val="4"/>
          <w:sz w:val="24"/>
          <w:szCs w:val="24"/>
        </w:rPr>
        <w:t xml:space="preserve"> CARVALHO</w:t>
      </w:r>
      <w:r>
        <w:rPr>
          <w:rStyle w:val="4"/>
          <w:sz w:val="24"/>
          <w:szCs w:val="24"/>
          <w:lang w:val="pt-BR"/>
        </w:rPr>
        <w:t xml:space="preserve">, </w:t>
      </w:r>
      <w:r>
        <w:rPr>
          <w:rStyle w:val="4"/>
          <w:sz w:val="24"/>
          <w:szCs w:val="24"/>
        </w:rPr>
        <w:t>J</w:t>
      </w:r>
      <w:r>
        <w:rPr>
          <w:rStyle w:val="4"/>
          <w:sz w:val="24"/>
          <w:szCs w:val="24"/>
          <w:lang w:val="pt-BR"/>
        </w:rPr>
        <w:t>.</w:t>
      </w:r>
      <w:r>
        <w:rPr>
          <w:rStyle w:val="4"/>
          <w:sz w:val="24"/>
          <w:szCs w:val="24"/>
        </w:rPr>
        <w:t xml:space="preserve"> O</w:t>
      </w:r>
      <w:r>
        <w:rPr>
          <w:rStyle w:val="4"/>
          <w:sz w:val="24"/>
          <w:szCs w:val="24"/>
          <w:lang w:val="pt-BR"/>
        </w:rPr>
        <w:t xml:space="preserve">. </w:t>
      </w:r>
      <w:r>
        <w:rPr>
          <w:rStyle w:val="4"/>
          <w:sz w:val="24"/>
          <w:szCs w:val="24"/>
        </w:rPr>
        <w:t>P</w:t>
      </w:r>
      <w:r>
        <w:rPr>
          <w:rStyle w:val="4"/>
          <w:sz w:val="24"/>
          <w:szCs w:val="24"/>
          <w:lang w:val="pt-BR"/>
        </w:rPr>
        <w:t>.</w:t>
      </w:r>
      <w:r>
        <w:rPr>
          <w:rStyle w:val="4"/>
          <w:sz w:val="24"/>
          <w:szCs w:val="24"/>
        </w:rPr>
        <w:t xml:space="preserve"> D</w:t>
      </w:r>
      <w:r>
        <w:rPr>
          <w:rStyle w:val="4"/>
          <w:sz w:val="24"/>
          <w:szCs w:val="24"/>
          <w:lang w:val="pt-BR"/>
        </w:rPr>
        <w:t>.:</w:t>
      </w:r>
      <w:r>
        <w:rPr>
          <w:rStyle w:val="4"/>
          <w:sz w:val="24"/>
          <w:szCs w:val="24"/>
        </w:rPr>
        <w:t xml:space="preserve"> DORMANN</w:t>
      </w:r>
      <w:r>
        <w:rPr>
          <w:rStyle w:val="4"/>
          <w:sz w:val="24"/>
          <w:szCs w:val="24"/>
          <w:lang w:val="pt-BR"/>
        </w:rPr>
        <w:t xml:space="preserve">, </w:t>
      </w:r>
      <w:r>
        <w:rPr>
          <w:rStyle w:val="4"/>
          <w:sz w:val="24"/>
          <w:szCs w:val="24"/>
        </w:rPr>
        <w:t>C</w:t>
      </w:r>
      <w:r>
        <w:rPr>
          <w:rStyle w:val="4"/>
          <w:sz w:val="24"/>
          <w:szCs w:val="24"/>
          <w:lang w:val="pt-BR"/>
        </w:rPr>
        <w:t xml:space="preserve">. </w:t>
      </w:r>
      <w:r>
        <w:rPr>
          <w:rStyle w:val="4"/>
          <w:sz w:val="24"/>
          <w:szCs w:val="24"/>
        </w:rPr>
        <w:t>F.</w:t>
      </w:r>
      <w:r>
        <w:rPr>
          <w:rStyle w:val="4"/>
          <w:sz w:val="24"/>
          <w:szCs w:val="24"/>
          <w:lang w:val="pt-BR"/>
        </w:rPr>
        <w:t xml:space="preserve">; </w:t>
      </w:r>
      <w:r>
        <w:rPr>
          <w:rStyle w:val="4"/>
          <w:sz w:val="24"/>
          <w:szCs w:val="24"/>
        </w:rPr>
        <w:t>SOARES</w:t>
      </w:r>
      <w:r>
        <w:rPr>
          <w:rStyle w:val="4"/>
          <w:sz w:val="24"/>
          <w:szCs w:val="24"/>
          <w:lang w:val="pt-BR"/>
        </w:rPr>
        <w:t xml:space="preserve">, </w:t>
      </w:r>
      <w:r>
        <w:rPr>
          <w:rStyle w:val="4"/>
          <w:sz w:val="24"/>
          <w:szCs w:val="24"/>
        </w:rPr>
        <w:t>L</w:t>
      </w:r>
      <w:r>
        <w:rPr>
          <w:rStyle w:val="4"/>
          <w:sz w:val="24"/>
          <w:szCs w:val="24"/>
          <w:lang w:val="pt-BR"/>
        </w:rPr>
        <w:t>.</w:t>
      </w:r>
      <w:r>
        <w:rPr>
          <w:rStyle w:val="4"/>
          <w:sz w:val="24"/>
          <w:szCs w:val="24"/>
        </w:rPr>
        <w:t>M</w:t>
      </w:r>
      <w:r>
        <w:rPr>
          <w:rStyle w:val="4"/>
          <w:sz w:val="24"/>
          <w:szCs w:val="24"/>
          <w:lang w:val="pt-BR"/>
        </w:rPr>
        <w:t>.</w:t>
      </w:r>
      <w:r>
        <w:rPr>
          <w:rStyle w:val="4"/>
          <w:sz w:val="24"/>
          <w:szCs w:val="24"/>
        </w:rPr>
        <w:t>M</w:t>
      </w:r>
      <w:r>
        <w:rPr>
          <w:rStyle w:val="4"/>
          <w:sz w:val="24"/>
          <w:szCs w:val="24"/>
          <w:lang w:val="pt-BR"/>
        </w:rPr>
        <w:t>.</w:t>
      </w:r>
      <w:r>
        <w:rPr>
          <w:rStyle w:val="4"/>
          <w:sz w:val="24"/>
          <w:szCs w:val="24"/>
        </w:rPr>
        <w:t>H</w:t>
      </w:r>
      <w:r>
        <w:rPr>
          <w:rStyle w:val="4"/>
          <w:sz w:val="24"/>
          <w:szCs w:val="24"/>
          <w:lang w:val="pt-BR"/>
        </w:rPr>
        <w:t>.</w:t>
      </w:r>
      <w:r>
        <w:rPr>
          <w:rStyle w:val="4"/>
          <w:sz w:val="24"/>
          <w:szCs w:val="24"/>
        </w:rPr>
        <w:t>M</w:t>
      </w:r>
      <w:r>
        <w:rPr>
          <w:rStyle w:val="4"/>
          <w:sz w:val="24"/>
          <w:szCs w:val="24"/>
          <w:lang w:val="pt-BR"/>
        </w:rPr>
        <w:t xml:space="preserve">.; </w:t>
      </w:r>
      <w:r>
        <w:rPr>
          <w:rStyle w:val="4"/>
          <w:sz w:val="24"/>
          <w:szCs w:val="24"/>
        </w:rPr>
        <w:t xml:space="preserve">BAUHUSJ, </w:t>
      </w:r>
      <w:r>
        <w:rPr>
          <w:rStyle w:val="4"/>
          <w:sz w:val="24"/>
          <w:szCs w:val="24"/>
          <w:lang w:val="pt-BR"/>
        </w:rPr>
        <w:t>r</w:t>
      </w:r>
      <w:r>
        <w:rPr>
          <w:sz w:val="24"/>
          <w:szCs w:val="24"/>
        </w:rPr>
        <w:t xml:space="preserve">ecruitment, growth and recovery of commercial tree species over 30 years following logging and thinning in a tropical rainforest. </w:t>
      </w:r>
      <w:r>
        <w:rPr>
          <w:b/>
          <w:bCs/>
          <w:sz w:val="24"/>
          <w:szCs w:val="24"/>
        </w:rPr>
        <w:t>Forest Ecology and Management</w:t>
      </w:r>
      <w:r>
        <w:rPr>
          <w:sz w:val="24"/>
          <w:szCs w:val="24"/>
        </w:rPr>
        <w:t>, v. 385, p. 225–235, 2017.</w:t>
      </w:r>
    </w:p>
    <w:p w14:paraId="435D09D8">
      <w:pPr>
        <w:jc w:val="both"/>
        <w:rPr>
          <w:sz w:val="24"/>
          <w:szCs w:val="24"/>
        </w:rPr>
      </w:pPr>
    </w:p>
    <w:p w14:paraId="634F82B3">
      <w:pPr>
        <w:jc w:val="both"/>
        <w:rPr>
          <w:sz w:val="24"/>
          <w:szCs w:val="24"/>
        </w:rPr>
      </w:pPr>
      <w:r>
        <w:rPr>
          <w:sz w:val="24"/>
          <w:szCs w:val="24"/>
        </w:rPr>
        <w:t xml:space="preserve">DIONISIO, L. F. S.; VAZ, M. M.; CARVALHO, J. O. P.; LOPES, J. D. C. A. Volume of commercial timber found dead in managed Amazonian natural forests: is it possible to take advantage? </w:t>
      </w:r>
      <w:r>
        <w:rPr>
          <w:b/>
          <w:bCs/>
          <w:sz w:val="24"/>
          <w:szCs w:val="24"/>
        </w:rPr>
        <w:t>Forest Ecology and Management</w:t>
      </w:r>
      <w:r>
        <w:rPr>
          <w:sz w:val="24"/>
          <w:szCs w:val="24"/>
        </w:rPr>
        <w:t>, v. 521, p. 120441, 2022.</w:t>
      </w:r>
    </w:p>
    <w:p w14:paraId="7C56080E">
      <w:pPr>
        <w:jc w:val="both"/>
        <w:rPr>
          <w:sz w:val="24"/>
          <w:szCs w:val="24"/>
        </w:rPr>
      </w:pPr>
    </w:p>
    <w:p w14:paraId="0B800B08">
      <w:pPr>
        <w:jc w:val="both"/>
        <w:rPr>
          <w:sz w:val="24"/>
          <w:szCs w:val="24"/>
        </w:rPr>
      </w:pPr>
      <w:r>
        <w:rPr>
          <w:sz w:val="24"/>
          <w:szCs w:val="24"/>
        </w:rPr>
        <w:t xml:space="preserve">FERREIRA, T. M. C.; CARVALHO, J. O. P.; EMMERT, F.; RUSCHEL, A. R.; NASCIMENTO, R. G. M. How long does the Amazon rainforest take to grow commercially sized trees? An estimation methodology for </w:t>
      </w:r>
      <w:r>
        <w:rPr>
          <w:i/>
          <w:iCs/>
          <w:sz w:val="24"/>
          <w:szCs w:val="24"/>
        </w:rPr>
        <w:t>Manilkara elata</w:t>
      </w:r>
      <w:r>
        <w:rPr>
          <w:sz w:val="24"/>
          <w:szCs w:val="24"/>
        </w:rPr>
        <w:t xml:space="preserve"> (Allemão ex Miq.).</w:t>
      </w:r>
      <w:r>
        <w:rPr>
          <w:b/>
          <w:bCs/>
          <w:sz w:val="24"/>
          <w:szCs w:val="24"/>
        </w:rPr>
        <w:t xml:space="preserve"> Forest Ecology and Management</w:t>
      </w:r>
      <w:r>
        <w:rPr>
          <w:sz w:val="24"/>
          <w:szCs w:val="24"/>
        </w:rPr>
        <w:t>, v. 473, 2020.</w:t>
      </w:r>
    </w:p>
    <w:p w14:paraId="4A33F4D1">
      <w:pPr>
        <w:jc w:val="both"/>
        <w:rPr>
          <w:sz w:val="24"/>
          <w:szCs w:val="24"/>
        </w:rPr>
      </w:pPr>
    </w:p>
    <w:p w14:paraId="4643D7A2">
      <w:pPr>
        <w:jc w:val="both"/>
        <w:rPr>
          <w:sz w:val="24"/>
          <w:szCs w:val="24"/>
        </w:rPr>
      </w:pPr>
      <w:r>
        <w:rPr>
          <w:sz w:val="24"/>
          <w:szCs w:val="24"/>
        </w:rPr>
        <w:t>HAYWARD, R. M.</w:t>
      </w:r>
      <w:r>
        <w:rPr>
          <w:sz w:val="24"/>
          <w:szCs w:val="24"/>
          <w:lang w:val="pt-BR"/>
        </w:rPr>
        <w:t xml:space="preserve">; </w:t>
      </w:r>
      <w:r>
        <w:rPr>
          <w:sz w:val="24"/>
          <w:szCs w:val="24"/>
        </w:rPr>
        <w:t>BANIN, L</w:t>
      </w:r>
      <w:r>
        <w:rPr>
          <w:sz w:val="24"/>
          <w:szCs w:val="24"/>
          <w:lang w:val="pt-BR"/>
        </w:rPr>
        <w:t xml:space="preserve">. </w:t>
      </w:r>
      <w:r>
        <w:rPr>
          <w:sz w:val="24"/>
          <w:szCs w:val="24"/>
        </w:rPr>
        <w:t>F.</w:t>
      </w:r>
      <w:r>
        <w:rPr>
          <w:sz w:val="24"/>
          <w:szCs w:val="24"/>
          <w:lang w:val="pt-BR"/>
        </w:rPr>
        <w:t xml:space="preserve">; </w:t>
      </w:r>
      <w:r>
        <w:rPr>
          <w:sz w:val="24"/>
          <w:szCs w:val="24"/>
        </w:rPr>
        <w:t>DAVID F. R. P.; BURSLEM</w:t>
      </w:r>
      <w:r>
        <w:rPr>
          <w:sz w:val="24"/>
          <w:szCs w:val="24"/>
          <w:lang w:val="pt-BR"/>
        </w:rPr>
        <w:t xml:space="preserve">, </w:t>
      </w:r>
      <w:r>
        <w:rPr>
          <w:sz w:val="24"/>
          <w:szCs w:val="24"/>
        </w:rPr>
        <w:t>S</w:t>
      </w:r>
      <w:r>
        <w:rPr>
          <w:sz w:val="24"/>
          <w:szCs w:val="24"/>
          <w:lang w:val="pt-BR"/>
        </w:rPr>
        <w:t>. D</w:t>
      </w:r>
      <w:r>
        <w:rPr>
          <w:sz w:val="24"/>
          <w:szCs w:val="24"/>
        </w:rPr>
        <w:t>.; CHAPMAN</w:t>
      </w:r>
      <w:r>
        <w:rPr>
          <w:sz w:val="24"/>
          <w:szCs w:val="24"/>
          <w:lang w:val="pt-BR"/>
        </w:rPr>
        <w:t xml:space="preserve">; </w:t>
      </w:r>
      <w:r>
        <w:rPr>
          <w:sz w:val="24"/>
          <w:szCs w:val="24"/>
        </w:rPr>
        <w:t>PHILIPSON</w:t>
      </w:r>
      <w:r>
        <w:rPr>
          <w:sz w:val="24"/>
          <w:szCs w:val="24"/>
          <w:lang w:val="pt-BR"/>
        </w:rPr>
        <w:t>,</w:t>
      </w:r>
      <w:r>
        <w:rPr>
          <w:sz w:val="24"/>
          <w:szCs w:val="24"/>
        </w:rPr>
        <w:t xml:space="preserve"> C</w:t>
      </w:r>
      <w:r>
        <w:rPr>
          <w:sz w:val="24"/>
          <w:szCs w:val="24"/>
          <w:lang w:val="pt-BR"/>
        </w:rPr>
        <w:t>.</w:t>
      </w:r>
      <w:r>
        <w:rPr>
          <w:sz w:val="24"/>
          <w:szCs w:val="24"/>
        </w:rPr>
        <w:t xml:space="preserve"> D.</w:t>
      </w:r>
      <w:r>
        <w:rPr>
          <w:sz w:val="24"/>
          <w:szCs w:val="24"/>
          <w:lang w:val="pt-BR"/>
        </w:rPr>
        <w:t>:</w:t>
      </w:r>
      <w:r>
        <w:rPr>
          <w:sz w:val="24"/>
          <w:szCs w:val="24"/>
        </w:rPr>
        <w:t xml:space="preserve"> CUTLER</w:t>
      </w:r>
      <w:r>
        <w:rPr>
          <w:sz w:val="24"/>
          <w:szCs w:val="24"/>
          <w:lang w:val="pt-BR"/>
        </w:rPr>
        <w:t>,</w:t>
      </w:r>
      <w:r>
        <w:rPr>
          <w:sz w:val="24"/>
          <w:szCs w:val="24"/>
        </w:rPr>
        <w:t xml:space="preserve"> </w:t>
      </w:r>
      <w:r>
        <w:rPr>
          <w:sz w:val="24"/>
          <w:szCs w:val="24"/>
          <w:lang w:val="pt-BR"/>
        </w:rPr>
        <w:t xml:space="preserve">M.; </w:t>
      </w:r>
      <w:r>
        <w:rPr>
          <w:sz w:val="24"/>
          <w:szCs w:val="24"/>
        </w:rPr>
        <w:t>E.J.</w:t>
      </w:r>
      <w:r>
        <w:rPr>
          <w:sz w:val="24"/>
          <w:szCs w:val="24"/>
          <w:lang w:val="pt-BR"/>
        </w:rPr>
        <w:t xml:space="preserve">; </w:t>
      </w:r>
      <w:r>
        <w:rPr>
          <w:sz w:val="24"/>
          <w:szCs w:val="24"/>
        </w:rPr>
        <w:t>REYNOLDS</w:t>
      </w:r>
      <w:r>
        <w:rPr>
          <w:sz w:val="24"/>
          <w:szCs w:val="24"/>
          <w:lang w:val="pt-BR"/>
        </w:rPr>
        <w:t>, G.:</w:t>
      </w:r>
      <w:r>
        <w:rPr>
          <w:sz w:val="24"/>
          <w:szCs w:val="24"/>
        </w:rPr>
        <w:t xml:space="preserve"> NILUS, </w:t>
      </w:r>
      <w:r>
        <w:rPr>
          <w:sz w:val="24"/>
          <w:szCs w:val="24"/>
          <w:lang w:val="pt-BR"/>
        </w:rPr>
        <w:t>R.;</w:t>
      </w:r>
      <w:r>
        <w:rPr>
          <w:sz w:val="24"/>
          <w:szCs w:val="24"/>
        </w:rPr>
        <w:t xml:space="preserve"> </w:t>
      </w:r>
      <w:r>
        <w:rPr>
          <w:sz w:val="24"/>
          <w:szCs w:val="24"/>
          <w:lang w:val="pt-BR"/>
        </w:rPr>
        <w:t>DENT,</w:t>
      </w:r>
      <w:r>
        <w:rPr>
          <w:sz w:val="24"/>
          <w:szCs w:val="24"/>
        </w:rPr>
        <w:t xml:space="preserve"> H. </w:t>
      </w:r>
      <w:r>
        <w:rPr>
          <w:sz w:val="24"/>
          <w:szCs w:val="24"/>
          <w:lang w:val="pt-BR"/>
        </w:rPr>
        <w:t xml:space="preserve">D. </w:t>
      </w:r>
      <w:r>
        <w:rPr>
          <w:sz w:val="24"/>
          <w:szCs w:val="24"/>
        </w:rPr>
        <w:t xml:space="preserve">Three decades of post-logging tree community recovery in naturally regenerating and actively restored dipterocarp forest in Borneo. </w:t>
      </w:r>
      <w:r>
        <w:rPr>
          <w:b/>
          <w:bCs/>
          <w:sz w:val="24"/>
          <w:szCs w:val="24"/>
        </w:rPr>
        <w:t>Forest Ecology and Management</w:t>
      </w:r>
      <w:r>
        <w:rPr>
          <w:sz w:val="24"/>
          <w:szCs w:val="24"/>
        </w:rPr>
        <w:t>, v. 488, 2021.</w:t>
      </w:r>
    </w:p>
    <w:p w14:paraId="33B4364C">
      <w:pPr>
        <w:jc w:val="both"/>
        <w:rPr>
          <w:sz w:val="24"/>
          <w:szCs w:val="24"/>
        </w:rPr>
      </w:pPr>
    </w:p>
    <w:p w14:paraId="2393D049">
      <w:pPr>
        <w:jc w:val="both"/>
        <w:rPr>
          <w:sz w:val="24"/>
          <w:szCs w:val="24"/>
        </w:rPr>
      </w:pPr>
      <w:r>
        <w:rPr>
          <w:sz w:val="24"/>
          <w:szCs w:val="24"/>
        </w:rPr>
        <w:t xml:space="preserve">SANDEL, M. P.; CARVALHO, J. O. P. Anelagem de árvores com tratamento silvicultural em florestas naturais da Amazônia brasileira. </w:t>
      </w:r>
      <w:r>
        <w:rPr>
          <w:b/>
          <w:bCs/>
          <w:sz w:val="24"/>
          <w:szCs w:val="24"/>
        </w:rPr>
        <w:t>Revista Ciência Agrária</w:t>
      </w:r>
      <w:r>
        <w:rPr>
          <w:sz w:val="24"/>
          <w:szCs w:val="24"/>
        </w:rPr>
        <w:t>, Belém, n. 33, p. 19-32, 2000.</w:t>
      </w:r>
    </w:p>
    <w:p w14:paraId="78AA4FB7">
      <w:pPr>
        <w:jc w:val="both"/>
        <w:rPr>
          <w:sz w:val="24"/>
          <w:szCs w:val="24"/>
        </w:rPr>
      </w:pPr>
    </w:p>
    <w:p w14:paraId="38C11F75">
      <w:pPr>
        <w:jc w:val="both"/>
        <w:rPr>
          <w:sz w:val="24"/>
          <w:szCs w:val="24"/>
        </w:rPr>
      </w:pPr>
      <w:r>
        <w:rPr>
          <w:sz w:val="24"/>
          <w:szCs w:val="24"/>
        </w:rPr>
        <w:t xml:space="preserve">SHIMIZU, G. D.; MARUBAYASHI, R. Y. P.; GONÇALVES, L. S. A. </w:t>
      </w:r>
      <w:r>
        <w:rPr>
          <w:b/>
          <w:bCs/>
          <w:sz w:val="24"/>
          <w:szCs w:val="24"/>
        </w:rPr>
        <w:t>Package AgroR</w:t>
      </w:r>
      <w:r>
        <w:rPr>
          <w:sz w:val="24"/>
          <w:szCs w:val="24"/>
        </w:rPr>
        <w:t>: version 1.2.0. 2021.</w:t>
      </w:r>
    </w:p>
    <w:p w14:paraId="4046496C">
      <w:pPr>
        <w:jc w:val="both"/>
        <w:rPr>
          <w:rFonts w:ascii="SimSun" w:hAnsi="SimSun" w:eastAsia="SimSun" w:cs="SimSun"/>
          <w:sz w:val="24"/>
          <w:szCs w:val="24"/>
        </w:rPr>
      </w:pPr>
    </w:p>
    <w:p w14:paraId="63E0AEA2">
      <w:pPr>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WICKHAM H. ggplot2: Elegant </w:t>
      </w:r>
      <w:r>
        <w:rPr>
          <w:rFonts w:hint="default" w:ascii="Times New Roman" w:hAnsi="Times New Roman" w:eastAsia="SimSun" w:cs="Times New Roman"/>
          <w:b/>
          <w:bCs/>
          <w:sz w:val="24"/>
          <w:szCs w:val="24"/>
        </w:rPr>
        <w:t>Graphics for Data Analysis</w:t>
      </w:r>
      <w:r>
        <w:rPr>
          <w:rFonts w:hint="default" w:ascii="Times New Roman" w:hAnsi="Times New Roman" w:eastAsia="SimSun" w:cs="Times New Roman"/>
          <w:sz w:val="24"/>
          <w:szCs w:val="24"/>
        </w:rPr>
        <w:t>. Springer-Verlag New York, 2016</w:t>
      </w:r>
    </w:p>
    <w:p w14:paraId="50526BEC">
      <w:pPr>
        <w:jc w:val="both"/>
        <w:rPr>
          <w:rFonts w:ascii="SimSun" w:hAnsi="SimSun" w:eastAsia="SimSun" w:cs="SimSun"/>
          <w:sz w:val="24"/>
          <w:szCs w:val="24"/>
        </w:rPr>
      </w:pPr>
    </w:p>
    <w:p w14:paraId="3D98629B">
      <w:pPr>
        <w:jc w:val="both"/>
        <w:rPr>
          <w:sz w:val="24"/>
          <w:szCs w:val="24"/>
        </w:rPr>
      </w:pPr>
      <w:r>
        <w:rPr>
          <w:sz w:val="24"/>
          <w:szCs w:val="24"/>
        </w:rPr>
        <w:t xml:space="preserve">ZUUR, A.; IENO, E. N.; WALKER, N.; SAVELIEV, A. A.; SMITH, G. M. </w:t>
      </w:r>
      <w:r>
        <w:rPr>
          <w:b/>
          <w:bCs/>
          <w:sz w:val="24"/>
          <w:szCs w:val="24"/>
        </w:rPr>
        <w:t>Mixed effects models and extensions in ecology with R</w:t>
      </w:r>
      <w:r>
        <w:rPr>
          <w:sz w:val="24"/>
          <w:szCs w:val="24"/>
        </w:rPr>
        <w:t>. New York: Springer, 2009.</w:t>
      </w:r>
    </w:p>
    <w:sectPr>
      <w:headerReference r:id="rId5" w:type="default"/>
      <w:footerReference r:id="rId6" w:type="default"/>
      <w:type w:val="continuous"/>
      <w:pgSz w:w="11910" w:h="16840"/>
      <w:pgMar w:top="1701" w:right="1134" w:bottom="1134" w:left="1701" w:header="720" w:footer="720"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Conta da Microsoft" w:date="2024-11-29T19:41:00Z" w:initials="CdM">
    <w:p w14:paraId="3787A76B">
      <w:pPr>
        <w:pStyle w:val="6"/>
      </w:pPr>
      <w:r>
        <w:t xml:space="preserve">Diante as regras, o resumo deve conter </w:t>
      </w:r>
      <w:r>
        <w:rPr>
          <w:sz w:val="24"/>
          <w:szCs w:val="24"/>
        </w:rPr>
        <w:t>objeto de estudo, formulação do problema, justificativa, além dos objetivos, metodologia, resultados, discussão e conclusão. O devido resumo não contém os três primeiros aspectos.</w:t>
      </w:r>
    </w:p>
  </w:comment>
  <w:comment w:id="1" w:author="Rafael" w:date="2024-11-30T19:48:53Z" w:initials="R">
    <w:p w14:paraId="3DC4A163">
      <w:pPr>
        <w:pStyle w:val="6"/>
        <w:rPr>
          <w:rFonts w:hint="default"/>
          <w:lang w:val="pt-BR"/>
        </w:rPr>
      </w:pPr>
      <w:r>
        <w:rPr>
          <w:rFonts w:hint="default"/>
          <w:lang w:val="pt-BR"/>
        </w:rPr>
        <w:t>O resumo do artigo enquadra-se nas regras,apresentando a formulação do problema,justificativa etc..</w:t>
      </w:r>
    </w:p>
    <w:p w14:paraId="2D7270ED">
      <w:pPr>
        <w:pStyle w:val="6"/>
        <w:rPr>
          <w:rFonts w:hint="default"/>
          <w:lang w:val="pt-BR"/>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87A76B" w15:done="0"/>
  <w15:commentEx w15:paraId="2D7270ED" w15:done="0" w15:paraIdParent="3787A76B"/>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00230">
    <w:pPr>
      <w:pStyle w:val="9"/>
    </w:pPr>
    <w:r>
      <w:rPr>
        <w:lang w:val="pt-BR" w:eastAsia="pt-BR"/>
      </w:rPr>
      <w:drawing>
        <wp:anchor distT="0" distB="0" distL="114300" distR="114300" simplePos="0" relativeHeight="251664384" behindDoc="0" locked="0" layoutInCell="1" allowOverlap="1">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62475"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7800" cy="398145"/>
                  </a:xfrm>
                  <a:prstGeom prst="rect">
                    <a:avLst/>
                  </a:prstGeom>
                  <a:noFill/>
                </pic:spPr>
              </pic:pic>
            </a:graphicData>
          </a:graphic>
        </wp:anchor>
      </w:drawing>
    </w:r>
    <w:r>
      <w:rPr>
        <w:lang w:val="pt-BR" w:eastAsia="pt-BR"/>
      </w:rPr>
      <w:drawing>
        <wp:anchor distT="0" distB="0" distL="114300" distR="114300" simplePos="0" relativeHeight="251659264" behindDoc="0" locked="0" layoutInCell="1" allowOverlap="1">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5861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00075" cy="191770"/>
                  </a:xfrm>
                  <a:prstGeom prst="rect">
                    <a:avLst/>
                  </a:prstGeom>
                  <a:noFill/>
                </pic:spPr>
              </pic:pic>
            </a:graphicData>
          </a:graphic>
        </wp:anchor>
      </w:drawing>
    </w:r>
    <w:r>
      <w:rPr>
        <w:lang w:val="pt-BR" w:eastAsia="pt-BR"/>
      </w:rPr>
      <w:drawing>
        <wp:anchor distT="0" distB="0" distL="114300" distR="114300" simplePos="0" relativeHeight="251660288" behindDoc="0" locked="0" layoutInCell="1" allowOverlap="1">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022" name="Imagem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419100" cy="241935"/>
                  </a:xfrm>
                  <a:prstGeom prst="rect">
                    <a:avLst/>
                  </a:prstGeom>
                  <a:noFill/>
                </pic:spPr>
              </pic:pic>
            </a:graphicData>
          </a:graphic>
        </wp:anchor>
      </w:drawing>
    </w:r>
    <w:r>
      <w:rPr>
        <w:lang w:val="pt-BR" w:eastAsia="pt-BR"/>
      </w:rPr>
      <w:drawing>
        <wp:anchor distT="0" distB="0" distL="114300" distR="114300" simplePos="0" relativeHeight="251661312" behindDoc="0" locked="0" layoutInCell="1" allowOverlap="1">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91315" name="Imagem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2290" cy="384175"/>
                  </a:xfrm>
                  <a:prstGeom prst="rect">
                    <a:avLst/>
                  </a:prstGeom>
                  <a:noFill/>
                </pic:spPr>
              </pic:pic>
            </a:graphicData>
          </a:graphic>
        </wp:anchor>
      </w:drawing>
    </w:r>
    <w:r>
      <w:rPr>
        <w:lang w:val="pt-BR" w:eastAsia="pt-BR"/>
      </w:rPr>
      <w:drawing>
        <wp:anchor distT="0" distB="0" distL="114300" distR="114300" simplePos="0" relativeHeight="251662336" behindDoc="0" locked="0" layoutInCell="1" allowOverlap="1">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973"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pic:spPr>
              </pic:pic>
            </a:graphicData>
          </a:graphic>
        </wp:anchor>
      </w:drawing>
    </w:r>
    <w:r>
      <w:rPr>
        <w:lang w:val="pt-BR" w:eastAsia="pt-BR"/>
      </w:rPr>
      <w:drawing>
        <wp:anchor distT="0" distB="0" distL="114300" distR="114300" simplePos="0" relativeHeight="251663360" behindDoc="0" locked="0" layoutInCell="1" allowOverlap="1">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7140" name="Imagem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285" cy="335280"/>
                  </a:xfrm>
                  <a:prstGeom prst="rect">
                    <a:avLst/>
                  </a:prstGeom>
                  <a:noFill/>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FA2B">
    <w:pPr>
      <w:pStyle w:val="7"/>
      <w:jc w:val="center"/>
    </w:pPr>
    <w:r>
      <w:rPr>
        <w:lang w:val="pt-BR" w:eastAsia="pt-BR"/>
      </w:rPr>
      <w:drawing>
        <wp:inline distT="0" distB="0" distL="0" distR="0">
          <wp:extent cx="1447800" cy="1447800"/>
          <wp:effectExtent l="0" t="0" r="0" b="0"/>
          <wp:docPr id="14373853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385373"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4780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6D68A2"/>
    <w:multiLevelType w:val="singleLevel"/>
    <w:tmpl w:val="5F6D68A2"/>
    <w:lvl w:ilvl="0" w:tentative="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onta da Microsoft">
    <w15:presenceInfo w15:providerId="Windows Live" w15:userId="9898acd9d25186f7"/>
  </w15:person>
  <w15:person w15:author="Rafael">
    <w15:presenceInfo w15:providerId="None" w15:userId="Rafa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9D3"/>
    <w:rsid w:val="000029A1"/>
    <w:rsid w:val="00051265"/>
    <w:rsid w:val="000C0D82"/>
    <w:rsid w:val="00132D30"/>
    <w:rsid w:val="00160777"/>
    <w:rsid w:val="00172A27"/>
    <w:rsid w:val="001846E6"/>
    <w:rsid w:val="001B65C7"/>
    <w:rsid w:val="001C4206"/>
    <w:rsid w:val="002658E5"/>
    <w:rsid w:val="002801DA"/>
    <w:rsid w:val="00291FDF"/>
    <w:rsid w:val="002933F6"/>
    <w:rsid w:val="002C4AD4"/>
    <w:rsid w:val="002F07A4"/>
    <w:rsid w:val="0031571D"/>
    <w:rsid w:val="003949CE"/>
    <w:rsid w:val="00440B68"/>
    <w:rsid w:val="004B0C17"/>
    <w:rsid w:val="004B3806"/>
    <w:rsid w:val="004E409D"/>
    <w:rsid w:val="004E7358"/>
    <w:rsid w:val="00585209"/>
    <w:rsid w:val="005A1575"/>
    <w:rsid w:val="005F016F"/>
    <w:rsid w:val="006132A3"/>
    <w:rsid w:val="006458BF"/>
    <w:rsid w:val="00694E4B"/>
    <w:rsid w:val="00703B8B"/>
    <w:rsid w:val="007113F4"/>
    <w:rsid w:val="007B00E2"/>
    <w:rsid w:val="007B20B5"/>
    <w:rsid w:val="007F472B"/>
    <w:rsid w:val="00836259"/>
    <w:rsid w:val="008655CB"/>
    <w:rsid w:val="008A3A38"/>
    <w:rsid w:val="008B092A"/>
    <w:rsid w:val="008B5DD3"/>
    <w:rsid w:val="008B7562"/>
    <w:rsid w:val="008E33E9"/>
    <w:rsid w:val="00920754"/>
    <w:rsid w:val="009438D6"/>
    <w:rsid w:val="009B24A9"/>
    <w:rsid w:val="00A52233"/>
    <w:rsid w:val="00A84BDE"/>
    <w:rsid w:val="00AB1F39"/>
    <w:rsid w:val="00B13EDB"/>
    <w:rsid w:val="00B2699B"/>
    <w:rsid w:val="00B50874"/>
    <w:rsid w:val="00B75D4C"/>
    <w:rsid w:val="00BD261C"/>
    <w:rsid w:val="00BE653A"/>
    <w:rsid w:val="00C36ABF"/>
    <w:rsid w:val="00CB5DA0"/>
    <w:rsid w:val="00D2357A"/>
    <w:rsid w:val="00D26AB4"/>
    <w:rsid w:val="00D4107B"/>
    <w:rsid w:val="00D66857"/>
    <w:rsid w:val="00D80D64"/>
    <w:rsid w:val="00D93902"/>
    <w:rsid w:val="00DB5854"/>
    <w:rsid w:val="00DD127D"/>
    <w:rsid w:val="00DE714C"/>
    <w:rsid w:val="00DF5CE7"/>
    <w:rsid w:val="00E9478A"/>
    <w:rsid w:val="00EA0CDC"/>
    <w:rsid w:val="00EB6253"/>
    <w:rsid w:val="00F2655C"/>
    <w:rsid w:val="00F46632"/>
    <w:rsid w:val="00F56B3B"/>
    <w:rsid w:val="00F948A7"/>
    <w:rsid w:val="00FE62E6"/>
    <w:rsid w:val="00FF60F1"/>
    <w:rsid w:val="02B80922"/>
    <w:rsid w:val="06AD13A2"/>
    <w:rsid w:val="0DFA25AC"/>
    <w:rsid w:val="19604A2E"/>
    <w:rsid w:val="1A4F2BE6"/>
    <w:rsid w:val="1E020247"/>
    <w:rsid w:val="357317D3"/>
    <w:rsid w:val="408C2FAC"/>
    <w:rsid w:val="4687696D"/>
    <w:rsid w:val="4EEF5CCD"/>
    <w:rsid w:val="517B2C76"/>
    <w:rsid w:val="5B611BC9"/>
    <w:rsid w:val="5EA451AE"/>
    <w:rsid w:val="5F6F6220"/>
    <w:rsid w:val="68C64A8B"/>
    <w:rsid w:val="694B2DCD"/>
    <w:rsid w:val="75767F53"/>
    <w:rsid w:val="79572AE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PT"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paragraph" w:styleId="5">
    <w:name w:val="Body Text"/>
    <w:basedOn w:val="1"/>
    <w:qFormat/>
    <w:uiPriority w:val="1"/>
    <w:rPr>
      <w:sz w:val="24"/>
      <w:szCs w:val="24"/>
    </w:rPr>
  </w:style>
  <w:style w:type="paragraph" w:styleId="6">
    <w:name w:val="annotation text"/>
    <w:basedOn w:val="1"/>
    <w:link w:val="19"/>
    <w:unhideWhenUsed/>
    <w:qFormat/>
    <w:uiPriority w:val="99"/>
    <w:rPr>
      <w:sz w:val="20"/>
      <w:szCs w:val="20"/>
    </w:rPr>
  </w:style>
  <w:style w:type="paragraph" w:styleId="7">
    <w:name w:val="header"/>
    <w:basedOn w:val="1"/>
    <w:link w:val="15"/>
    <w:unhideWhenUsed/>
    <w:qFormat/>
    <w:uiPriority w:val="99"/>
    <w:pPr>
      <w:tabs>
        <w:tab w:val="center" w:pos="4252"/>
        <w:tab w:val="right" w:pos="8504"/>
      </w:tabs>
    </w:pPr>
  </w:style>
  <w:style w:type="paragraph" w:styleId="8">
    <w:name w:val="annotation subject"/>
    <w:basedOn w:val="6"/>
    <w:next w:val="6"/>
    <w:link w:val="20"/>
    <w:semiHidden/>
    <w:unhideWhenUsed/>
    <w:qFormat/>
    <w:uiPriority w:val="99"/>
    <w:rPr>
      <w:b/>
      <w:bCs/>
    </w:rPr>
  </w:style>
  <w:style w:type="paragraph" w:styleId="9">
    <w:name w:val="footer"/>
    <w:basedOn w:val="1"/>
    <w:link w:val="16"/>
    <w:unhideWhenUsed/>
    <w:qFormat/>
    <w:uiPriority w:val="99"/>
    <w:pPr>
      <w:tabs>
        <w:tab w:val="center" w:pos="4252"/>
        <w:tab w:val="right" w:pos="8504"/>
      </w:tabs>
    </w:pPr>
  </w:style>
  <w:style w:type="paragraph" w:styleId="10">
    <w:name w:val="Balloon Text"/>
    <w:basedOn w:val="1"/>
    <w:link w:val="24"/>
    <w:semiHidden/>
    <w:unhideWhenUsed/>
    <w:qFormat/>
    <w:uiPriority w:val="99"/>
    <w:rPr>
      <w:rFonts w:ascii="Segoe UI" w:hAnsi="Segoe UI" w:cs="Segoe UI"/>
      <w:sz w:val="18"/>
      <w:szCs w:val="18"/>
    </w:rPr>
  </w:style>
  <w:style w:type="table" w:styleId="11">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120"/>
      <w:ind w:left="821" w:right="115" w:hanging="360"/>
      <w:jc w:val="both"/>
    </w:pPr>
  </w:style>
  <w:style w:type="paragraph" w:customStyle="1" w:styleId="14">
    <w:name w:val="Table Paragraph"/>
    <w:basedOn w:val="1"/>
    <w:qFormat/>
    <w:uiPriority w:val="1"/>
  </w:style>
  <w:style w:type="character" w:customStyle="1" w:styleId="15">
    <w:name w:val="Cabeçalho Char"/>
    <w:basedOn w:val="2"/>
    <w:link w:val="7"/>
    <w:qFormat/>
    <w:uiPriority w:val="99"/>
    <w:rPr>
      <w:rFonts w:ascii="Times New Roman" w:hAnsi="Times New Roman" w:eastAsia="Times New Roman" w:cs="Times New Roman"/>
      <w:lang w:val="pt-PT"/>
    </w:rPr>
  </w:style>
  <w:style w:type="character" w:customStyle="1" w:styleId="16">
    <w:name w:val="Rodapé Char"/>
    <w:basedOn w:val="2"/>
    <w:link w:val="9"/>
    <w:qFormat/>
    <w:uiPriority w:val="99"/>
    <w:rPr>
      <w:rFonts w:ascii="Times New Roman" w:hAnsi="Times New Roman" w:eastAsia="Times New Roman" w:cs="Times New Roman"/>
      <w:lang w:val="pt-PT"/>
    </w:rPr>
  </w:style>
  <w:style w:type="paragraph" w:customStyle="1" w:styleId="17">
    <w:name w:val="Default"/>
    <w:unhideWhenUsed/>
    <w:qFormat/>
    <w:uiPriority w:val="99"/>
    <w:pPr>
      <w:widowControl w:val="0"/>
      <w:autoSpaceDE w:val="0"/>
      <w:autoSpaceDN w:val="0"/>
      <w:adjustRightInd w:val="0"/>
    </w:pPr>
    <w:rPr>
      <w:rFonts w:ascii="Times New Roman" w:hAnsi="Times New Roman" w:eastAsia="Times New Roman" w:cstheme="minorBidi"/>
      <w:color w:val="000000"/>
      <w:sz w:val="24"/>
      <w:szCs w:val="24"/>
      <w:lang w:val="pt-BR" w:eastAsia="pt-BR" w:bidi="ar-SA"/>
    </w:rPr>
  </w:style>
  <w:style w:type="paragraph" w:customStyle="1" w:styleId="18">
    <w:name w:val="Revisão1"/>
    <w:hidden/>
    <w:semiHidden/>
    <w:qFormat/>
    <w:uiPriority w:val="99"/>
    <w:rPr>
      <w:rFonts w:ascii="Times New Roman" w:hAnsi="Times New Roman" w:eastAsia="Times New Roman" w:cs="Times New Roman"/>
      <w:sz w:val="22"/>
      <w:szCs w:val="22"/>
      <w:lang w:val="pt-PT" w:eastAsia="en-US" w:bidi="ar-SA"/>
    </w:rPr>
  </w:style>
  <w:style w:type="character" w:customStyle="1" w:styleId="19">
    <w:name w:val="Texto de comentário Char"/>
    <w:basedOn w:val="2"/>
    <w:link w:val="6"/>
    <w:qFormat/>
    <w:uiPriority w:val="99"/>
    <w:rPr>
      <w:rFonts w:eastAsia="Times New Roman"/>
      <w:lang w:val="pt-PT" w:eastAsia="en-US"/>
    </w:rPr>
  </w:style>
  <w:style w:type="character" w:customStyle="1" w:styleId="20">
    <w:name w:val="Assunto do comentário Char"/>
    <w:basedOn w:val="19"/>
    <w:link w:val="8"/>
    <w:semiHidden/>
    <w:qFormat/>
    <w:uiPriority w:val="99"/>
    <w:rPr>
      <w:rFonts w:eastAsia="Times New Roman"/>
      <w:b/>
      <w:bCs/>
      <w:lang w:val="pt-PT" w:eastAsia="en-US"/>
    </w:rPr>
  </w:style>
  <w:style w:type="paragraph" w:customStyle="1" w:styleId="21">
    <w:name w:val="Revisão2"/>
    <w:hidden/>
    <w:unhideWhenUsed/>
    <w:qFormat/>
    <w:uiPriority w:val="99"/>
    <w:rPr>
      <w:rFonts w:ascii="Times New Roman" w:hAnsi="Times New Roman" w:eastAsia="Times New Roman" w:cs="Times New Roman"/>
      <w:sz w:val="22"/>
      <w:szCs w:val="22"/>
      <w:lang w:val="pt-PT" w:eastAsia="en-US" w:bidi="ar-SA"/>
    </w:rPr>
  </w:style>
  <w:style w:type="paragraph" w:customStyle="1" w:styleId="22">
    <w:name w:val="Revisão3"/>
    <w:hidden/>
    <w:unhideWhenUsed/>
    <w:qFormat/>
    <w:uiPriority w:val="99"/>
    <w:rPr>
      <w:rFonts w:ascii="Times New Roman" w:hAnsi="Times New Roman" w:eastAsia="Times New Roman" w:cs="Times New Roman"/>
      <w:sz w:val="22"/>
      <w:szCs w:val="22"/>
      <w:lang w:val="pt-PT" w:eastAsia="en-US" w:bidi="ar-SA"/>
    </w:rPr>
  </w:style>
  <w:style w:type="paragraph" w:customStyle="1" w:styleId="23">
    <w:name w:val="Revisão4"/>
    <w:hidden/>
    <w:unhideWhenUsed/>
    <w:qFormat/>
    <w:uiPriority w:val="99"/>
    <w:rPr>
      <w:rFonts w:ascii="Times New Roman" w:hAnsi="Times New Roman" w:eastAsia="Times New Roman" w:cs="Times New Roman"/>
      <w:sz w:val="22"/>
      <w:szCs w:val="22"/>
      <w:lang w:val="pt-PT" w:eastAsia="en-US" w:bidi="ar-SA"/>
    </w:rPr>
  </w:style>
  <w:style w:type="character" w:customStyle="1" w:styleId="24">
    <w:name w:val="Texto de balão Char"/>
    <w:basedOn w:val="2"/>
    <w:link w:val="10"/>
    <w:semiHidden/>
    <w:qFormat/>
    <w:uiPriority w:val="99"/>
    <w:rPr>
      <w:rFonts w:ascii="Segoe UI" w:hAnsi="Segoe UI" w:eastAsia="Times New Roman" w:cs="Segoe UI"/>
      <w:sz w:val="18"/>
      <w:szCs w:val="18"/>
      <w:lang w:val="pt-PT"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2319</Words>
  <Characters>12527</Characters>
  <Lines>104</Lines>
  <Paragraphs>29</Paragraphs>
  <TotalTime>0</TotalTime>
  <ScaleCrop>false</ScaleCrop>
  <LinksUpToDate>false</LinksUpToDate>
  <CharactersWithSpaces>14817</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lastModifiedBy>Rafael</cp:lastModifiedBy>
  <dcterms:modified xsi:type="dcterms:W3CDTF">2024-11-30T23:00:57Z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KSOProductBuildVer">
    <vt:lpwstr>1046-12.2.0.18911</vt:lpwstr>
  </property>
  <property fmtid="{D5CDD505-2E9C-101B-9397-08002B2CF9AE}" pid="6" name="ICV">
    <vt:lpwstr>E6D3855CC8C94BF7A673B269EC63A4B5_12</vt:lpwstr>
  </property>
</Properties>
</file>