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8E5B" w14:textId="77777777" w:rsidR="00047138" w:rsidRDefault="00047138">
      <w:pPr>
        <w:pStyle w:val="Corpodetexto"/>
      </w:pPr>
    </w:p>
    <w:p w14:paraId="6E62F659" w14:textId="77777777" w:rsidR="00047138" w:rsidRDefault="00047138">
      <w:pPr>
        <w:pStyle w:val="Corpodetexto"/>
        <w:spacing w:before="116"/>
      </w:pPr>
    </w:p>
    <w:p w14:paraId="4D4D958B" w14:textId="77777777" w:rsidR="00047138" w:rsidRDefault="00047138">
      <w:pPr>
        <w:pStyle w:val="Corpodetexto"/>
        <w:spacing w:before="121"/>
      </w:pPr>
    </w:p>
    <w:p w14:paraId="52349BEE" w14:textId="6B56F867" w:rsidR="00447988" w:rsidRPr="00447988" w:rsidRDefault="005E616E" w:rsidP="00447988">
      <w:pPr>
        <w:pStyle w:val="Ttulo1"/>
        <w:ind w:left="0" w:right="4"/>
        <w:jc w:val="center"/>
      </w:pPr>
      <w:r>
        <w:t>ANEXO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rPr>
          <w:spacing w:val="-2"/>
        </w:rPr>
        <w:t>CIENTÍFICO</w:t>
      </w: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36477677" w14:textId="6E989323" w:rsidR="00FA5A52" w:rsidRDefault="009A12D2" w:rsidP="00FA5A52">
      <w:pPr>
        <w:pStyle w:val="Corpodetexto"/>
        <w:spacing w:before="243"/>
        <w:ind w:left="184" w:right="191"/>
        <w:jc w:val="center"/>
        <w:rPr>
          <w:b/>
          <w:spacing w:val="-2"/>
          <w:szCs w:val="22"/>
        </w:rPr>
      </w:pPr>
      <w:r w:rsidRPr="009A12D2">
        <w:rPr>
          <w:b/>
          <w:spacing w:val="-2"/>
          <w:szCs w:val="22"/>
        </w:rPr>
        <w:t>AVALIAÇÃO COMPARATIVA DA ALTERAÇÃO DIMENSIONAL DE RESINA UTILIZADA EM IMPRESSÕES 3D DE GUIAS CIRÚRGICOS APÓS ESTERILIZAÇÃO: Estudo in vitro</w:t>
      </w:r>
    </w:p>
    <w:p w14:paraId="6D91F9CD" w14:textId="6EAB7A9A" w:rsidR="00047138" w:rsidRDefault="005E616E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r w:rsidR="009A12D2">
        <w:t>Maria Carolina de Lima Gomes</w:t>
      </w:r>
      <w:r>
        <w:t>;</w:t>
      </w:r>
      <w:r>
        <w:rPr>
          <w:spacing w:val="-2"/>
        </w:rPr>
        <w:t xml:space="preserve"> </w:t>
      </w:r>
      <w:r w:rsidR="00FA5A52">
        <w:t>¹</w:t>
      </w:r>
      <w:r w:rsidR="00FA5A52">
        <w:rPr>
          <w:spacing w:val="-15"/>
        </w:rPr>
        <w:t xml:space="preserve"> </w:t>
      </w:r>
      <w:r>
        <w:rPr>
          <w:spacing w:val="1"/>
        </w:rPr>
        <w:t xml:space="preserve"> </w:t>
      </w:r>
      <w:r w:rsidR="009A12D2">
        <w:t>Amanda Alice Rodrigues Merlim</w:t>
      </w:r>
      <w:r>
        <w:t>;</w:t>
      </w:r>
      <w:r>
        <w:rPr>
          <w:spacing w:val="-2"/>
        </w:rPr>
        <w:t xml:space="preserve"> </w:t>
      </w:r>
      <w:r w:rsidR="00FA5A52">
        <w:t>²</w:t>
      </w:r>
      <w:r>
        <w:rPr>
          <w:spacing w:val="-5"/>
        </w:rPr>
        <w:t xml:space="preserve"> </w:t>
      </w:r>
      <w:r w:rsidR="009A12D2">
        <w:t>Joel Motta Junior</w:t>
      </w:r>
      <w:r>
        <w:t>.</w:t>
      </w:r>
      <w:r>
        <w:rPr>
          <w:spacing w:val="4"/>
        </w:rPr>
        <w:t xml:space="preserve"> </w:t>
      </w:r>
    </w:p>
    <w:p w14:paraId="379CA29F" w14:textId="69AB9E93" w:rsidR="00210D62" w:rsidRDefault="005E616E" w:rsidP="00210D62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>
        <w:t>Graduand</w:t>
      </w:r>
      <w:r w:rsidR="00FA5A52">
        <w:t>a</w:t>
      </w:r>
      <w:r>
        <w:t xml:space="preserve"> em</w:t>
      </w:r>
      <w:r>
        <w:rPr>
          <w:spacing w:val="-11"/>
        </w:rPr>
        <w:t xml:space="preserve"> </w:t>
      </w:r>
      <w:r w:rsidR="00FA5A52">
        <w:t>Odontologia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FA5A52">
        <w:t>do Estado do Amazonas</w:t>
      </w:r>
      <w:r>
        <w:t xml:space="preserve"> –</w:t>
      </w:r>
      <w:r>
        <w:rPr>
          <w:spacing w:val="-3"/>
        </w:rPr>
        <w:t xml:space="preserve"> </w:t>
      </w:r>
      <w:r>
        <w:t>U</w:t>
      </w:r>
      <w:r w:rsidR="00FA5A52">
        <w:t>EA</w:t>
      </w:r>
      <w:r>
        <w:t>;</w:t>
      </w:r>
    </w:p>
    <w:p w14:paraId="40064D62" w14:textId="5306E73F" w:rsidR="00210D62" w:rsidRDefault="00210D62" w:rsidP="00210D62">
      <w:pPr>
        <w:pStyle w:val="Corpodetexto"/>
        <w:spacing w:before="237" w:line="242" w:lineRule="auto"/>
        <w:ind w:left="184" w:right="174"/>
        <w:jc w:val="center"/>
        <w:rPr>
          <w:spacing w:val="40"/>
        </w:rPr>
      </w:pPr>
      <w:r>
        <w:t>2</w:t>
      </w:r>
      <w:r>
        <w:rPr>
          <w:spacing w:val="-3"/>
        </w:rPr>
        <w:t xml:space="preserve"> </w:t>
      </w:r>
      <w:r>
        <w:t>Cirurgião Bucomaxilofacial e Prof. Dr. na Universidade do Universidade do Estado Amazonas</w:t>
      </w:r>
      <w:r>
        <w:rPr>
          <w:spacing w:val="-11"/>
        </w:rPr>
        <w:t xml:space="preserve">. </w:t>
      </w:r>
    </w:p>
    <w:p w14:paraId="3D470350" w14:textId="77777777" w:rsidR="00047138" w:rsidRDefault="00047138">
      <w:pPr>
        <w:pStyle w:val="Corpodetexto"/>
        <w:spacing w:before="211"/>
      </w:pPr>
    </w:p>
    <w:p w14:paraId="6856E44F" w14:textId="4B5F94FA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9A12D2">
        <w:rPr>
          <w:sz w:val="24"/>
        </w:rPr>
        <w:t>Cirurgia e Traumatologia Bucomaxilofacial</w:t>
      </w:r>
    </w:p>
    <w:p w14:paraId="68819924" w14:textId="338144F8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 w:rsidR="009A12D2">
        <w:rPr>
          <w:sz w:val="24"/>
        </w:rPr>
        <w:t>Pesquisa Científica</w:t>
      </w:r>
    </w:p>
    <w:p w14:paraId="4EDCF03D" w14:textId="6FFF169A" w:rsidR="00047138" w:rsidRPr="00FA5A52" w:rsidRDefault="005E616E" w:rsidP="00FA5A52">
      <w:pPr>
        <w:spacing w:before="243"/>
        <w:ind w:left="130"/>
        <w:rPr>
          <w:u w:val="single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 w:rsidR="009A12D2">
        <w:rPr>
          <w:b/>
          <w:spacing w:val="64"/>
          <w:sz w:val="24"/>
        </w:rPr>
        <w:t xml:space="preserve"> </w:t>
      </w:r>
      <w:hyperlink r:id="rId7" w:history="1">
        <w:r w:rsidR="00210D62" w:rsidRPr="00BB0E4B">
          <w:rPr>
            <w:rStyle w:val="Hyperlink"/>
            <w:sz w:val="24"/>
          </w:rPr>
          <w:t>mariacarolinadlg@gmail.com</w:t>
        </w:r>
      </w:hyperlink>
      <w:r w:rsidR="00210D62">
        <w:rPr>
          <w:color w:val="467885"/>
          <w:spacing w:val="-7"/>
          <w:sz w:val="24"/>
        </w:rPr>
        <w:t xml:space="preserve"> </w:t>
      </w:r>
      <w:r>
        <w:rPr>
          <w:sz w:val="24"/>
        </w:rPr>
        <w:t xml:space="preserve">¹; </w:t>
      </w:r>
      <w:hyperlink r:id="rId8" w:history="1">
        <w:r w:rsidR="00FA5A52" w:rsidRPr="00BB0E4B">
          <w:rPr>
            <w:rStyle w:val="Hyperlink"/>
            <w:sz w:val="24"/>
          </w:rPr>
          <w:t>aarm.odo20@uea.edu.br</w:t>
        </w:r>
      </w:hyperlink>
      <w:r>
        <w:rPr>
          <w:color w:val="467885"/>
          <w:spacing w:val="-7"/>
          <w:sz w:val="24"/>
        </w:rPr>
        <w:t xml:space="preserve"> </w:t>
      </w:r>
      <w:r w:rsidR="00FA5A52">
        <w:t>¹</w:t>
      </w:r>
      <w:r>
        <w:rPr>
          <w:sz w:val="24"/>
        </w:rPr>
        <w:t>;</w:t>
      </w:r>
      <w:r>
        <w:rPr>
          <w:spacing w:val="-4"/>
          <w:sz w:val="24"/>
        </w:rPr>
        <w:t xml:space="preserve"> </w:t>
      </w:r>
      <w:hyperlink r:id="rId9" w:history="1">
        <w:r w:rsidR="00210D62" w:rsidRPr="00BB0E4B">
          <w:rPr>
            <w:rStyle w:val="Hyperlink"/>
          </w:rPr>
          <w:t>jmotta@uea.edu.br</w:t>
        </w:r>
      </w:hyperlink>
      <w:r w:rsidR="00210D62">
        <w:rPr>
          <w:u w:val="single"/>
        </w:rPr>
        <w:t xml:space="preserve"> </w:t>
      </w:r>
      <w:r w:rsidR="00FA5A52">
        <w:t>²</w:t>
      </w:r>
    </w:p>
    <w:p w14:paraId="0CF93F29" w14:textId="77777777" w:rsidR="00047138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57B674A2" w14:textId="4126B8F2" w:rsidR="004600BD" w:rsidRDefault="005E616E" w:rsidP="00FA5A52">
      <w:pPr>
        <w:pStyle w:val="Corpodetexto"/>
        <w:spacing w:before="237"/>
        <w:ind w:left="130" w:right="137"/>
        <w:jc w:val="both"/>
        <w:rPr>
          <w:spacing w:val="-2"/>
        </w:rPr>
      </w:pPr>
      <w:r>
        <w:rPr>
          <w:b/>
          <w:spacing w:val="-2"/>
        </w:rPr>
        <w:t>INTRODUÇÃO</w:t>
      </w:r>
      <w:r>
        <w:rPr>
          <w:spacing w:val="-2"/>
        </w:rPr>
        <w:t>:</w:t>
      </w:r>
      <w:r w:rsidR="00FA5A52" w:rsidRPr="00FA5A52">
        <w:rPr>
          <w:sz w:val="22"/>
          <w:szCs w:val="22"/>
        </w:rPr>
        <w:t xml:space="preserve"> </w:t>
      </w:r>
      <w:r w:rsidR="00FA5A52" w:rsidRPr="00FA5A52">
        <w:rPr>
          <w:spacing w:val="-2"/>
        </w:rPr>
        <w:t>A cirurgia e traumatologia bucomaxilofacial (CTBMF), a implantodontia e outras especialidades odontológicas têm se beneficiado do uso de tecnologias digitais, como a impressão 3D, para a confecção de guias cirúrgicos personalizados. Esses dispositivos aumentam a precisão, reduzem o tempo operatório e minimizam complicações intraoperatórias. No entanto, a esterilização desses guias é essencial para garantir a segurança, mas pode afetar a estabilidade dimensional das resinas, comprometendo sua eficácia clínica</w:t>
      </w:r>
      <w:r>
        <w:rPr>
          <w:spacing w:val="-2"/>
        </w:rPr>
        <w:t>.</w:t>
      </w:r>
      <w:r>
        <w:rPr>
          <w:b/>
          <w:spacing w:val="-2"/>
        </w:rPr>
        <w:t>OBJETIVO</w:t>
      </w:r>
      <w:r>
        <w:rPr>
          <w:spacing w:val="-2"/>
        </w:rPr>
        <w:t>:</w:t>
      </w:r>
      <w:r w:rsidR="00FA5A52" w:rsidRPr="00FA5A52">
        <w:rPr>
          <w:sz w:val="22"/>
          <w:szCs w:val="22"/>
        </w:rPr>
        <w:t xml:space="preserve"> </w:t>
      </w:r>
      <w:r w:rsidR="00FA5A52" w:rsidRPr="00FA5A52">
        <w:rPr>
          <w:spacing w:val="-2"/>
        </w:rPr>
        <w:t>Este estudo in vitro teve como objetivo avaliar as alterações dimensionais de uma resina biocompatível (Placa-Yeller), amplamente empregada na confecção de guias cirúrgicos, após esterilização a vapor a 121°C. Foram realizadas comparações com outras resinas</w:t>
      </w:r>
      <w:r w:rsidR="00FA5A52">
        <w:rPr>
          <w:spacing w:val="-2"/>
        </w:rPr>
        <w:t>:</w:t>
      </w:r>
      <w:r w:rsidR="00FA5A52" w:rsidRPr="00FA5A52">
        <w:rPr>
          <w:spacing w:val="-2"/>
        </w:rPr>
        <w:t xml:space="preserve"> Marfim-Yeller e</w:t>
      </w:r>
      <w:r w:rsidR="00FA5A52">
        <w:rPr>
          <w:spacing w:val="-2"/>
        </w:rPr>
        <w:t xml:space="preserve"> </w:t>
      </w:r>
      <w:r w:rsidR="00FA5A52" w:rsidRPr="00FA5A52">
        <w:rPr>
          <w:spacing w:val="-2"/>
        </w:rPr>
        <w:t>Calcinável-Smartdent.</w:t>
      </w:r>
      <w:r>
        <w:t xml:space="preserve">. </w:t>
      </w:r>
      <w:r>
        <w:rPr>
          <w:b/>
        </w:rPr>
        <w:t xml:space="preserve">MÉTODOS: </w:t>
      </w:r>
      <w:r w:rsidR="004600BD">
        <w:rPr>
          <w:spacing w:val="-2"/>
        </w:rPr>
        <w:t>C</w:t>
      </w:r>
      <w:r w:rsidR="00FA5A52" w:rsidRPr="00FA5A52">
        <w:rPr>
          <w:spacing w:val="-2"/>
        </w:rPr>
        <w:t>orpos de prova cuboides foram fabricados e medidos</w:t>
      </w:r>
      <w:r w:rsidR="00FA5A52">
        <w:rPr>
          <w:spacing w:val="-2"/>
        </w:rPr>
        <w:t xml:space="preserve"> com um paquímetro digital de alta precisão</w:t>
      </w:r>
      <w:r w:rsidR="004600BD">
        <w:rPr>
          <w:spacing w:val="-2"/>
        </w:rPr>
        <w:t xml:space="preserve"> </w:t>
      </w:r>
      <w:r w:rsidR="00FA5A52" w:rsidRPr="00FA5A52">
        <w:rPr>
          <w:spacing w:val="-2"/>
        </w:rPr>
        <w:t xml:space="preserve">antes e após a esterilização para análise das variações dimensionais. </w:t>
      </w:r>
      <w:r>
        <w:rPr>
          <w:b/>
          <w:spacing w:val="-2"/>
        </w:rPr>
        <w:t>RESULTADOS</w:t>
      </w:r>
      <w:r w:rsidR="00FA5A52">
        <w:rPr>
          <w:b/>
          <w:spacing w:val="-2"/>
        </w:rPr>
        <w:t xml:space="preserve">: </w:t>
      </w:r>
      <w:r w:rsidR="00FA5A52" w:rsidRPr="00FA5A52">
        <w:rPr>
          <w:spacing w:val="-2"/>
        </w:rPr>
        <w:t>Os resultados mostraram que as resinas Placa e Marfim apresentaram maior estabilidade, enquanto a Resina Calcinável teve variações mais expressivas, sugerindo maior sensibilidade ao processo.</w:t>
      </w:r>
      <w:r w:rsidR="00FA5A52">
        <w:rPr>
          <w:spacing w:val="-2"/>
        </w:rPr>
        <w:t xml:space="preserve"> </w:t>
      </w:r>
      <w:r>
        <w:rPr>
          <w:b/>
          <w:spacing w:val="-2"/>
        </w:rPr>
        <w:t>CONCLUSÃO</w:t>
      </w:r>
      <w:r>
        <w:rPr>
          <w:spacing w:val="-2"/>
        </w:rPr>
        <w:t>:</w:t>
      </w:r>
      <w:r w:rsidR="00FA5A52" w:rsidRPr="00FA5A52">
        <w:rPr>
          <w:sz w:val="22"/>
          <w:szCs w:val="22"/>
        </w:rPr>
        <w:t xml:space="preserve"> </w:t>
      </w:r>
      <w:r w:rsidR="00FA5A52" w:rsidRPr="00FA5A52">
        <w:rPr>
          <w:spacing w:val="-2"/>
        </w:rPr>
        <w:t xml:space="preserve">Esses achados ressaltam a importância da escolha adequada da resina para garantir a precisão e eficácia clínica, especialmente em procedimentos que exigem esterilização. A pesquisa reforça a </w:t>
      </w:r>
      <w:r w:rsidR="00FA5A52" w:rsidRPr="00FA5A52">
        <w:rPr>
          <w:spacing w:val="-2"/>
        </w:rPr>
        <w:lastRenderedPageBreak/>
        <w:t>necessidade de diretrizes clínicas mais robustas e destaca a importância de estudos adicionais sobre materiais e métodos de esterilização.</w:t>
      </w:r>
      <w:r w:rsidR="004600BD">
        <w:rPr>
          <w:spacing w:val="-2"/>
        </w:rPr>
        <w:t xml:space="preserve">  </w:t>
      </w:r>
    </w:p>
    <w:p w14:paraId="27258446" w14:textId="2EBBA9EE" w:rsidR="00047138" w:rsidRDefault="005E616E" w:rsidP="00FA5A52">
      <w:pPr>
        <w:pStyle w:val="Corpodetexto"/>
        <w:spacing w:before="237"/>
        <w:ind w:left="130" w:right="137"/>
        <w:jc w:val="both"/>
      </w:pPr>
      <w:r>
        <w:rPr>
          <w:b/>
        </w:rPr>
        <w:t>Palavras-chave:</w:t>
      </w:r>
      <w:r>
        <w:rPr>
          <w:b/>
          <w:spacing w:val="-2"/>
        </w:rPr>
        <w:t xml:space="preserve"> </w:t>
      </w:r>
      <w:r w:rsidR="00FA5A52" w:rsidRPr="00FA5A52">
        <w:t>Guias cirúrgicos</w:t>
      </w:r>
      <w:r w:rsidR="006A3577">
        <w:t>,</w:t>
      </w:r>
      <w:r w:rsidR="00FA5A52">
        <w:t xml:space="preserve"> I</w:t>
      </w:r>
      <w:r w:rsidR="00FA5A52" w:rsidRPr="00FA5A52">
        <w:t>mpressão 3D</w:t>
      </w:r>
      <w:r w:rsidR="006A3577">
        <w:t>,</w:t>
      </w:r>
      <w:r w:rsidR="00FA5A52" w:rsidRPr="00FA5A52">
        <w:t xml:space="preserve"> </w:t>
      </w:r>
      <w:r w:rsidR="00FA5A52">
        <w:t>E</w:t>
      </w:r>
      <w:r w:rsidR="00FA5A52" w:rsidRPr="00FA5A52">
        <w:t>sterilização.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77E4F2FF" w14:textId="77777777" w:rsidR="00047138" w:rsidRDefault="005E616E">
      <w:pPr>
        <w:pStyle w:val="Ttulo1"/>
        <w:ind w:left="130"/>
        <w:jc w:val="both"/>
      </w:pPr>
      <w:r>
        <w:t>REFERÊNCIAS:</w:t>
      </w:r>
      <w:r>
        <w:rPr>
          <w:spacing w:val="-6"/>
        </w:rPr>
        <w:t xml:space="preserve"> </w:t>
      </w:r>
      <w:r>
        <w:t>(Formato</w:t>
      </w:r>
      <w:r>
        <w:rPr>
          <w:spacing w:val="-10"/>
        </w:rPr>
        <w:t xml:space="preserve"> </w:t>
      </w:r>
      <w:r>
        <w:t>Vancouver</w:t>
      </w:r>
      <w:r>
        <w:rPr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referências)</w:t>
      </w:r>
    </w:p>
    <w:p w14:paraId="7F650F22" w14:textId="7EEF52CE" w:rsidR="009A12D2" w:rsidRPr="009A12D2" w:rsidRDefault="009A12D2" w:rsidP="009A12D2">
      <w:pPr>
        <w:tabs>
          <w:tab w:val="left" w:pos="374"/>
        </w:tabs>
        <w:spacing w:before="243"/>
        <w:ind w:right="66"/>
        <w:jc w:val="both"/>
        <w:rPr>
          <w:sz w:val="24"/>
        </w:rPr>
      </w:pPr>
      <w:r w:rsidRPr="009A12D2">
        <w:rPr>
          <w:sz w:val="24"/>
        </w:rPr>
        <w:t>1. Sharma N, Cao S, Msallem B, Kunz C, Brantner P, Honigmann P, et al. Effects</w:t>
      </w:r>
      <w:r>
        <w:rPr>
          <w:sz w:val="24"/>
        </w:rPr>
        <w:t xml:space="preserve"> </w:t>
      </w:r>
      <w:r w:rsidRPr="009A12D2">
        <w:rPr>
          <w:sz w:val="24"/>
        </w:rPr>
        <w:t>of steam sterilization on 3D printed biocompatible resin materials for surgical guides—</w:t>
      </w:r>
      <w:r>
        <w:rPr>
          <w:sz w:val="24"/>
        </w:rPr>
        <w:t xml:space="preserve"> </w:t>
      </w:r>
      <w:r w:rsidRPr="009A12D2">
        <w:rPr>
          <w:sz w:val="24"/>
        </w:rPr>
        <w:t>an accuracy assessment study. J Clin Med. 2020 May 1;9(5).</w:t>
      </w:r>
    </w:p>
    <w:p w14:paraId="01235297" w14:textId="7509A2DD" w:rsidR="009A12D2" w:rsidRPr="009A12D2" w:rsidRDefault="009A12D2" w:rsidP="009A12D2">
      <w:pPr>
        <w:tabs>
          <w:tab w:val="left" w:pos="374"/>
        </w:tabs>
        <w:spacing w:before="243"/>
        <w:ind w:right="66"/>
        <w:jc w:val="both"/>
        <w:rPr>
          <w:sz w:val="24"/>
        </w:rPr>
      </w:pPr>
      <w:r w:rsidRPr="009A12D2">
        <w:rPr>
          <w:sz w:val="24"/>
        </w:rPr>
        <w:t>2. Goulart MEP, Biegelmeyer TC, Moreira-Souza L, Adami CR, Deon F, Flores</w:t>
      </w:r>
      <w:r>
        <w:rPr>
          <w:sz w:val="24"/>
        </w:rPr>
        <w:t xml:space="preserve"> </w:t>
      </w:r>
      <w:r w:rsidRPr="009A12D2">
        <w:rPr>
          <w:sz w:val="24"/>
        </w:rPr>
        <w:t>IL, et al. What is the accuracy of the surgical guide in the planning of orthognathic</w:t>
      </w:r>
      <w:r>
        <w:rPr>
          <w:sz w:val="24"/>
        </w:rPr>
        <w:t xml:space="preserve"> </w:t>
      </w:r>
      <w:r w:rsidRPr="009A12D2">
        <w:rPr>
          <w:sz w:val="24"/>
        </w:rPr>
        <w:t>surgeries? A systematic review. Med Oral Patol Oral Cir Bucal [Internet]. 2022 Mar 1</w:t>
      </w:r>
      <w:r>
        <w:rPr>
          <w:sz w:val="24"/>
        </w:rPr>
        <w:t xml:space="preserve"> </w:t>
      </w:r>
      <w:r w:rsidRPr="009A12D2">
        <w:rPr>
          <w:sz w:val="24"/>
        </w:rPr>
        <w:t>[cited 2024 Sep 19];27(2):e125–34.</w:t>
      </w:r>
    </w:p>
    <w:p w14:paraId="23E9C98E" w14:textId="22403E4E" w:rsidR="009A12D2" w:rsidRPr="009A12D2" w:rsidRDefault="009A12D2" w:rsidP="009A12D2">
      <w:pPr>
        <w:tabs>
          <w:tab w:val="left" w:pos="374"/>
        </w:tabs>
        <w:spacing w:before="243"/>
        <w:ind w:right="66"/>
        <w:jc w:val="both"/>
        <w:rPr>
          <w:sz w:val="24"/>
        </w:rPr>
      </w:pPr>
      <w:r w:rsidRPr="009A12D2">
        <w:rPr>
          <w:sz w:val="24"/>
        </w:rPr>
        <w:t>3. Chen L, Lin WS, Polido WD, Eckert GJ, Morton D. Accuracy, reproducibility,</w:t>
      </w:r>
      <w:r>
        <w:rPr>
          <w:sz w:val="24"/>
        </w:rPr>
        <w:t xml:space="preserve"> </w:t>
      </w:r>
      <w:r w:rsidRPr="009A12D2">
        <w:rPr>
          <w:sz w:val="24"/>
        </w:rPr>
        <w:t>and dimensional stability of additively manufactured surgical templates. Journal of</w:t>
      </w:r>
      <w:r>
        <w:rPr>
          <w:sz w:val="24"/>
        </w:rPr>
        <w:t xml:space="preserve"> </w:t>
      </w:r>
      <w:r w:rsidRPr="009A12D2">
        <w:rPr>
          <w:sz w:val="24"/>
        </w:rPr>
        <w:t>Prosthetic Dentistry. 2019 Sep 1;122(3):309–14.</w:t>
      </w:r>
    </w:p>
    <w:p w14:paraId="52617F85" w14:textId="7425B393" w:rsidR="009A12D2" w:rsidRPr="009A12D2" w:rsidRDefault="009A12D2" w:rsidP="009A12D2">
      <w:pPr>
        <w:tabs>
          <w:tab w:val="left" w:pos="374"/>
        </w:tabs>
        <w:spacing w:before="243"/>
        <w:ind w:right="66"/>
        <w:jc w:val="both"/>
        <w:rPr>
          <w:sz w:val="24"/>
        </w:rPr>
      </w:pPr>
      <w:r w:rsidRPr="009A12D2">
        <w:rPr>
          <w:sz w:val="24"/>
        </w:rPr>
        <w:t>4. Lin HH, Lonic D, Lo LJ. 3D printing in orthognathic surgery − A literature</w:t>
      </w:r>
      <w:r>
        <w:rPr>
          <w:sz w:val="24"/>
        </w:rPr>
        <w:t xml:space="preserve"> </w:t>
      </w:r>
      <w:r w:rsidRPr="009A12D2">
        <w:rPr>
          <w:sz w:val="24"/>
        </w:rPr>
        <w:t>review. Journal of the Formosan Medical Association [Internet]. 2018 Jul 1 [cited 2024</w:t>
      </w:r>
      <w:r>
        <w:rPr>
          <w:sz w:val="24"/>
        </w:rPr>
        <w:t xml:space="preserve"> </w:t>
      </w:r>
      <w:r w:rsidRPr="009A12D2">
        <w:rPr>
          <w:sz w:val="24"/>
        </w:rPr>
        <w:t>Sep 19];117(7):547–58.</w:t>
      </w:r>
    </w:p>
    <w:p w14:paraId="5AC0409E" w14:textId="405FDFC8" w:rsidR="009A12D2" w:rsidRPr="009A12D2" w:rsidRDefault="009A12D2" w:rsidP="009A12D2">
      <w:pPr>
        <w:tabs>
          <w:tab w:val="left" w:pos="374"/>
        </w:tabs>
        <w:spacing w:before="243"/>
        <w:ind w:right="66"/>
        <w:jc w:val="both"/>
        <w:rPr>
          <w:sz w:val="24"/>
        </w:rPr>
      </w:pPr>
      <w:r w:rsidRPr="009A12D2">
        <w:rPr>
          <w:sz w:val="24"/>
        </w:rPr>
        <w:t>5. Hüfner M, David S, Brunello G, Kerberger R, Rauch N, Busch CV, et al.</w:t>
      </w:r>
      <w:r>
        <w:rPr>
          <w:sz w:val="24"/>
        </w:rPr>
        <w:t xml:space="preserve"> </w:t>
      </w:r>
      <w:r w:rsidRPr="009A12D2">
        <w:rPr>
          <w:sz w:val="24"/>
        </w:rPr>
        <w:t>Autoclaving-induced dimensional changes of three-dimensional printed surgical</w:t>
      </w:r>
      <w:r>
        <w:rPr>
          <w:sz w:val="24"/>
        </w:rPr>
        <w:t xml:space="preserve"> </w:t>
      </w:r>
      <w:r w:rsidRPr="009A12D2">
        <w:rPr>
          <w:sz w:val="24"/>
        </w:rPr>
        <w:t>guides: An in vitro study. Clin Oral Implants Res. 2024 Aug 1;35(8):821–9.</w:t>
      </w:r>
    </w:p>
    <w:p w14:paraId="58378B8C" w14:textId="057340F7" w:rsidR="009A12D2" w:rsidRPr="009A12D2" w:rsidRDefault="009A12D2" w:rsidP="009A12D2">
      <w:pPr>
        <w:tabs>
          <w:tab w:val="left" w:pos="374"/>
        </w:tabs>
        <w:spacing w:before="243"/>
        <w:ind w:right="66"/>
        <w:jc w:val="both"/>
        <w:rPr>
          <w:sz w:val="24"/>
        </w:rPr>
      </w:pPr>
      <w:r w:rsidRPr="009A12D2">
        <w:rPr>
          <w:sz w:val="24"/>
        </w:rPr>
        <w:t>6. Yazigi C, Chaar MS, Busch R, Kern M. The Effect of Sterilization on the</w:t>
      </w:r>
      <w:r>
        <w:rPr>
          <w:sz w:val="24"/>
        </w:rPr>
        <w:t xml:space="preserve"> </w:t>
      </w:r>
      <w:r w:rsidRPr="009A12D2">
        <w:rPr>
          <w:sz w:val="24"/>
        </w:rPr>
        <w:t>Accuracy and Fit of 3D-Printed Surgical Guides. Materials. 2023 Aug 1;16(15).</w:t>
      </w:r>
    </w:p>
    <w:p w14:paraId="0F4DE202" w14:textId="4A4E7D61" w:rsidR="009A12D2" w:rsidRPr="009A12D2" w:rsidRDefault="009A12D2" w:rsidP="009A12D2">
      <w:pPr>
        <w:tabs>
          <w:tab w:val="left" w:pos="374"/>
        </w:tabs>
        <w:spacing w:before="243"/>
        <w:ind w:right="66"/>
        <w:jc w:val="both"/>
        <w:rPr>
          <w:sz w:val="24"/>
        </w:rPr>
      </w:pPr>
      <w:r w:rsidRPr="009A12D2">
        <w:rPr>
          <w:sz w:val="24"/>
        </w:rPr>
        <w:t>7. Liu Z, Zhong Y, Lyu X, Zhang J, Huang M, Liu S, et al. Accuracy of the modified</w:t>
      </w:r>
      <w:r>
        <w:rPr>
          <w:sz w:val="24"/>
        </w:rPr>
        <w:t xml:space="preserve"> </w:t>
      </w:r>
      <w:r w:rsidRPr="009A12D2">
        <w:rPr>
          <w:sz w:val="24"/>
        </w:rPr>
        <w:t>tooth-supported 3D printing surgical guides based on CT, CBCT, and intraoral</w:t>
      </w:r>
      <w:r>
        <w:rPr>
          <w:sz w:val="24"/>
        </w:rPr>
        <w:t xml:space="preserve"> </w:t>
      </w:r>
      <w:r w:rsidRPr="009A12D2">
        <w:rPr>
          <w:sz w:val="24"/>
        </w:rPr>
        <w:t>scanning in maxillofacial region: A comparison study. J Stomatol Oral Maxillofac Surg.</w:t>
      </w:r>
      <w:r>
        <w:rPr>
          <w:sz w:val="24"/>
        </w:rPr>
        <w:t xml:space="preserve"> </w:t>
      </w:r>
      <w:r w:rsidRPr="009A12D2">
        <w:rPr>
          <w:sz w:val="24"/>
        </w:rPr>
        <w:t>2024 Oct 1;</w:t>
      </w:r>
    </w:p>
    <w:p w14:paraId="6397C0B3" w14:textId="4A4A3096" w:rsidR="009A12D2" w:rsidRPr="009A12D2" w:rsidRDefault="009A12D2" w:rsidP="009A12D2">
      <w:pPr>
        <w:tabs>
          <w:tab w:val="left" w:pos="374"/>
        </w:tabs>
        <w:spacing w:before="243"/>
        <w:ind w:right="66"/>
        <w:jc w:val="both"/>
        <w:rPr>
          <w:sz w:val="24"/>
        </w:rPr>
      </w:pPr>
      <w:r w:rsidRPr="009A12D2">
        <w:rPr>
          <w:sz w:val="24"/>
        </w:rPr>
        <w:t>8. Burkhardt F, Handermann L, Rothlauf S, Gintaute A, Vach K, Spies BC, et al.</w:t>
      </w:r>
      <w:r>
        <w:rPr>
          <w:sz w:val="24"/>
        </w:rPr>
        <w:t xml:space="preserve"> </w:t>
      </w:r>
      <w:r w:rsidRPr="009A12D2">
        <w:rPr>
          <w:sz w:val="24"/>
        </w:rPr>
        <w:t>Accuracy of additively manufactured and steam sterilized surgical guides by means</w:t>
      </w:r>
      <w:r>
        <w:rPr>
          <w:sz w:val="24"/>
        </w:rPr>
        <w:t xml:space="preserve"> </w:t>
      </w:r>
      <w:r w:rsidRPr="009A12D2">
        <w:rPr>
          <w:sz w:val="24"/>
        </w:rPr>
        <w:t>of continuous liquid interface production, stereolithography, digital light processing,</w:t>
      </w:r>
      <w:r>
        <w:rPr>
          <w:sz w:val="24"/>
        </w:rPr>
        <w:t xml:space="preserve"> </w:t>
      </w:r>
      <w:r w:rsidRPr="009A12D2">
        <w:rPr>
          <w:sz w:val="24"/>
        </w:rPr>
        <w:t>and fused filament fabrication. J Mech Behav Biomed Mater. 2024 Apr 1;152.</w:t>
      </w:r>
    </w:p>
    <w:p w14:paraId="15A44BC2" w14:textId="4B9BD732" w:rsidR="009A12D2" w:rsidRPr="009A12D2" w:rsidRDefault="009A12D2" w:rsidP="009A12D2">
      <w:pPr>
        <w:tabs>
          <w:tab w:val="left" w:pos="374"/>
        </w:tabs>
        <w:spacing w:before="243"/>
        <w:ind w:right="66"/>
        <w:jc w:val="both"/>
        <w:rPr>
          <w:sz w:val="24"/>
        </w:rPr>
      </w:pPr>
      <w:r w:rsidRPr="009A12D2">
        <w:rPr>
          <w:sz w:val="24"/>
        </w:rPr>
        <w:t>9. Wang X, Shujaat S, Shaheen E, Jacobs R. Accuracy of desktop versus</w:t>
      </w:r>
      <w:r>
        <w:rPr>
          <w:sz w:val="24"/>
        </w:rPr>
        <w:t xml:space="preserve"> </w:t>
      </w:r>
      <w:r w:rsidRPr="009A12D2">
        <w:rPr>
          <w:sz w:val="24"/>
        </w:rPr>
        <w:t>professional 3D printers for maxillofacial model production. A systematic review and</w:t>
      </w:r>
      <w:r>
        <w:rPr>
          <w:sz w:val="24"/>
        </w:rPr>
        <w:t xml:space="preserve"> </w:t>
      </w:r>
      <w:r w:rsidRPr="009A12D2">
        <w:rPr>
          <w:sz w:val="24"/>
        </w:rPr>
        <w:t>meta-analysis. Vol. 112, Journal of Dentistry. Elsevier Ltd; 2021.</w:t>
      </w:r>
    </w:p>
    <w:p w14:paraId="11876745" w14:textId="10977A51" w:rsidR="00047138" w:rsidRPr="009A12D2" w:rsidRDefault="009A12D2" w:rsidP="009A12D2">
      <w:pPr>
        <w:tabs>
          <w:tab w:val="left" w:pos="374"/>
        </w:tabs>
        <w:spacing w:before="243"/>
        <w:ind w:right="66"/>
        <w:jc w:val="both"/>
        <w:rPr>
          <w:sz w:val="24"/>
        </w:rPr>
      </w:pPr>
      <w:r w:rsidRPr="009A12D2">
        <w:rPr>
          <w:sz w:val="24"/>
        </w:rPr>
        <w:t>10. Zhang Y, Yong CW, Lim RSK, Lim AAT. Surgical cutting guide and single plate</w:t>
      </w:r>
      <w:r>
        <w:rPr>
          <w:sz w:val="24"/>
        </w:rPr>
        <w:t xml:space="preserve"> </w:t>
      </w:r>
      <w:r w:rsidRPr="009A12D2">
        <w:rPr>
          <w:sz w:val="24"/>
        </w:rPr>
        <w:t>fixation for intraoral vertical ramus osteotomy. Int J Oral Maxillofac Surg. 2023 Sep</w:t>
      </w:r>
      <w:r>
        <w:rPr>
          <w:sz w:val="24"/>
        </w:rPr>
        <w:t xml:space="preserve"> </w:t>
      </w:r>
      <w:r w:rsidRPr="009A12D2">
        <w:rPr>
          <w:sz w:val="24"/>
        </w:rPr>
        <w:t>1;52(9):964–70.</w:t>
      </w:r>
    </w:p>
    <w:sectPr w:rsidR="00047138" w:rsidRPr="009A12D2">
      <w:headerReference w:type="default" r:id="rId10"/>
      <w:footerReference w:type="default" r:id="rId11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E80D" w14:textId="77777777" w:rsidR="00F279E0" w:rsidRDefault="00F279E0">
      <w:r>
        <w:separator/>
      </w:r>
    </w:p>
  </w:endnote>
  <w:endnote w:type="continuationSeparator" w:id="0">
    <w:p w14:paraId="4E58604D" w14:textId="77777777" w:rsidR="00F279E0" w:rsidRDefault="00F2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EA5352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4CE76" w14:textId="77777777" w:rsidR="00F279E0" w:rsidRDefault="00F279E0">
      <w:r>
        <w:separator/>
      </w:r>
    </w:p>
  </w:footnote>
  <w:footnote w:type="continuationSeparator" w:id="0">
    <w:p w14:paraId="332024E0" w14:textId="77777777" w:rsidR="00F279E0" w:rsidRDefault="00F2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08FB0D7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3"/>
  </w:num>
  <w:num w:numId="4" w16cid:durableId="129532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138"/>
    <w:rsid w:val="00005B83"/>
    <w:rsid w:val="00047138"/>
    <w:rsid w:val="00210D62"/>
    <w:rsid w:val="003440DF"/>
    <w:rsid w:val="00447988"/>
    <w:rsid w:val="004600BD"/>
    <w:rsid w:val="0058363C"/>
    <w:rsid w:val="005E616E"/>
    <w:rsid w:val="006A3577"/>
    <w:rsid w:val="006B673F"/>
    <w:rsid w:val="00815093"/>
    <w:rsid w:val="009A12D2"/>
    <w:rsid w:val="00D80094"/>
    <w:rsid w:val="00F279E0"/>
    <w:rsid w:val="00F41E00"/>
    <w:rsid w:val="00FA5A52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9A12D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12D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10D6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rm.odo20@uea.edu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acarolinadlg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motta@uea.edu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736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claudomiro bittencourt dos reis</cp:lastModifiedBy>
  <cp:revision>3</cp:revision>
  <cp:lastPrinted>2024-11-25T04:04:00Z</cp:lastPrinted>
  <dcterms:created xsi:type="dcterms:W3CDTF">2024-11-03T16:31:00Z</dcterms:created>
  <dcterms:modified xsi:type="dcterms:W3CDTF">2024-11-25T04:06:00Z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