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9847F" w14:textId="4CE1E37E" w:rsidR="003949CE" w:rsidRDefault="003D334B" w:rsidP="003949CE">
      <w:pPr>
        <w:pBdr>
          <w:bottom w:val="none" w:sz="0" w:space="8" w:color="000000"/>
        </w:pBdr>
        <w:shd w:val="clear" w:color="auto" w:fill="FFFFFF"/>
        <w:tabs>
          <w:tab w:val="left" w:pos="2500"/>
        </w:tabs>
        <w:jc w:val="center"/>
        <w:rPr>
          <w:b/>
          <w:sz w:val="24"/>
          <w:szCs w:val="24"/>
        </w:rPr>
      </w:pPr>
      <w:r>
        <w:rPr>
          <w:b/>
          <w:sz w:val="24"/>
          <w:szCs w:val="24"/>
        </w:rPr>
        <w:t>VARIABILIDADE DE HÁBITAT E ÁREAS COMPARTILHADAS ENTRE TARTARUGAS MARINHAS DO NORTE BRASILEIRO</w:t>
      </w:r>
    </w:p>
    <w:p w14:paraId="148CF062" w14:textId="3A23BF37" w:rsidR="00442E1F" w:rsidRDefault="00442E1F" w:rsidP="00B348C8">
      <w:pPr>
        <w:shd w:val="clear" w:color="auto" w:fill="FFFFFF"/>
        <w:tabs>
          <w:tab w:val="left" w:pos="2500"/>
        </w:tabs>
        <w:jc w:val="center"/>
        <w:rPr>
          <w:sz w:val="24"/>
          <w:szCs w:val="24"/>
          <w:vertAlign w:val="superscript"/>
        </w:rPr>
      </w:pPr>
      <w:r>
        <w:rPr>
          <w:sz w:val="24"/>
          <w:szCs w:val="24"/>
        </w:rPr>
        <w:t>Lucas Garcia Martins</w:t>
      </w:r>
      <w:r>
        <w:rPr>
          <w:sz w:val="24"/>
          <w:szCs w:val="24"/>
          <w:vertAlign w:val="superscript"/>
        </w:rPr>
        <w:t>1</w:t>
      </w:r>
      <w:r>
        <w:rPr>
          <w:sz w:val="24"/>
          <w:szCs w:val="24"/>
        </w:rPr>
        <w:t>; Arthur Felipe Diniz Sousa</w:t>
      </w:r>
      <w:r>
        <w:rPr>
          <w:sz w:val="24"/>
          <w:szCs w:val="24"/>
          <w:vertAlign w:val="superscript"/>
        </w:rPr>
        <w:t>2</w:t>
      </w:r>
      <w:r>
        <w:rPr>
          <w:sz w:val="24"/>
          <w:szCs w:val="24"/>
        </w:rPr>
        <w:t>; Andrea Bezerra Magalhães</w:t>
      </w:r>
      <w:r>
        <w:rPr>
          <w:sz w:val="24"/>
          <w:szCs w:val="24"/>
          <w:vertAlign w:val="superscript"/>
        </w:rPr>
        <w:t>3</w:t>
      </w:r>
      <w:r>
        <w:rPr>
          <w:sz w:val="24"/>
          <w:szCs w:val="24"/>
        </w:rPr>
        <w:t>; Marcela Guimarães Moreira Lima</w:t>
      </w:r>
      <w:r>
        <w:rPr>
          <w:sz w:val="24"/>
          <w:szCs w:val="24"/>
          <w:vertAlign w:val="superscript"/>
        </w:rPr>
        <w:t>4</w:t>
      </w:r>
    </w:p>
    <w:p w14:paraId="2E111F8F" w14:textId="77777777" w:rsidR="00B348C8" w:rsidRPr="00E46A0B" w:rsidRDefault="00B348C8" w:rsidP="00B348C8">
      <w:pPr>
        <w:shd w:val="clear" w:color="auto" w:fill="FFFFFF"/>
        <w:tabs>
          <w:tab w:val="left" w:pos="2500"/>
        </w:tabs>
        <w:jc w:val="center"/>
        <w:rPr>
          <w:color w:val="FF0000"/>
          <w:sz w:val="24"/>
          <w:szCs w:val="24"/>
        </w:rPr>
      </w:pPr>
    </w:p>
    <w:p w14:paraId="26F0B0D2" w14:textId="044EFBE5" w:rsidR="00642BB0" w:rsidRDefault="00642BB0" w:rsidP="00642BB0">
      <w:pPr>
        <w:keepLines/>
        <w:shd w:val="clear" w:color="auto" w:fill="FFFFFF"/>
        <w:tabs>
          <w:tab w:val="left" w:pos="2500"/>
        </w:tabs>
        <w:jc w:val="center"/>
        <w:rPr>
          <w:sz w:val="24"/>
          <w:szCs w:val="24"/>
        </w:rPr>
      </w:pPr>
      <w:r>
        <w:rPr>
          <w:sz w:val="24"/>
          <w:szCs w:val="24"/>
          <w:vertAlign w:val="superscript"/>
        </w:rPr>
        <w:t xml:space="preserve">1 </w:t>
      </w:r>
      <w:r>
        <w:rPr>
          <w:sz w:val="24"/>
          <w:szCs w:val="24"/>
        </w:rPr>
        <w:t xml:space="preserve">Mestrando no programa de pós-graduação em Ecologia (PPGECO). Universidade Federal do Pará (UFPA). </w:t>
      </w:r>
      <w:r w:rsidRPr="00642BB0">
        <w:rPr>
          <w:sz w:val="24"/>
          <w:szCs w:val="24"/>
        </w:rPr>
        <w:t>lgm98192@gmail.com</w:t>
      </w:r>
      <w:r>
        <w:rPr>
          <w:sz w:val="24"/>
          <w:szCs w:val="24"/>
        </w:rPr>
        <w:t>.</w:t>
      </w:r>
    </w:p>
    <w:p w14:paraId="7ABC2A4C" w14:textId="3AEEE769" w:rsidR="00642BB0" w:rsidRDefault="00642BB0" w:rsidP="00642BB0">
      <w:pPr>
        <w:keepLines/>
        <w:shd w:val="clear" w:color="auto" w:fill="FFFFFF"/>
        <w:tabs>
          <w:tab w:val="left" w:pos="2500"/>
        </w:tabs>
        <w:jc w:val="center"/>
        <w:rPr>
          <w:sz w:val="24"/>
          <w:szCs w:val="24"/>
        </w:rPr>
      </w:pPr>
      <w:r>
        <w:rPr>
          <w:sz w:val="24"/>
          <w:szCs w:val="24"/>
          <w:vertAlign w:val="superscript"/>
        </w:rPr>
        <w:t xml:space="preserve">2 </w:t>
      </w:r>
      <w:r w:rsidRPr="00442E1F">
        <w:rPr>
          <w:sz w:val="24"/>
          <w:szCs w:val="24"/>
        </w:rPr>
        <w:t xml:space="preserve">Mestrando no programa de pós-graduação em </w:t>
      </w:r>
      <w:r>
        <w:rPr>
          <w:sz w:val="24"/>
          <w:szCs w:val="24"/>
        </w:rPr>
        <w:t>Zoologia</w:t>
      </w:r>
      <w:r w:rsidRPr="00442E1F">
        <w:rPr>
          <w:sz w:val="24"/>
          <w:szCs w:val="24"/>
        </w:rPr>
        <w:t xml:space="preserve"> (PPG</w:t>
      </w:r>
      <w:r>
        <w:rPr>
          <w:sz w:val="24"/>
          <w:szCs w:val="24"/>
        </w:rPr>
        <w:t>ZOO</w:t>
      </w:r>
      <w:r w:rsidRPr="00442E1F">
        <w:rPr>
          <w:sz w:val="24"/>
          <w:szCs w:val="24"/>
        </w:rPr>
        <w:t>). Universidade Federal do Pará (UFPA)</w:t>
      </w:r>
      <w:r>
        <w:rPr>
          <w:sz w:val="24"/>
          <w:szCs w:val="24"/>
        </w:rPr>
        <w:t xml:space="preserve">. </w:t>
      </w:r>
      <w:r w:rsidRPr="00642BB0">
        <w:rPr>
          <w:sz w:val="24"/>
          <w:szCs w:val="24"/>
        </w:rPr>
        <w:t>arthurdisousa@gmail.com</w:t>
      </w:r>
      <w:r>
        <w:rPr>
          <w:sz w:val="24"/>
          <w:szCs w:val="24"/>
        </w:rPr>
        <w:t>.</w:t>
      </w:r>
    </w:p>
    <w:p w14:paraId="1FAFA6CA" w14:textId="1D949B0C" w:rsidR="00642BB0" w:rsidRDefault="00642BB0" w:rsidP="00642BB0">
      <w:pPr>
        <w:keepLines/>
        <w:shd w:val="clear" w:color="auto" w:fill="FFFFFF"/>
        <w:tabs>
          <w:tab w:val="left" w:pos="2500"/>
        </w:tabs>
        <w:jc w:val="center"/>
        <w:rPr>
          <w:sz w:val="24"/>
          <w:szCs w:val="24"/>
        </w:rPr>
      </w:pPr>
      <w:r>
        <w:rPr>
          <w:sz w:val="24"/>
          <w:szCs w:val="24"/>
          <w:vertAlign w:val="superscript"/>
        </w:rPr>
        <w:t xml:space="preserve">3 </w:t>
      </w:r>
      <w:r>
        <w:rPr>
          <w:sz w:val="24"/>
          <w:szCs w:val="24"/>
        </w:rPr>
        <w:t xml:space="preserve">Doutora em Saúde e Produção Animal. Universidade Federal Rural da Amazônia (UFRA). </w:t>
      </w:r>
      <w:r w:rsidRPr="00642BB0">
        <w:rPr>
          <w:sz w:val="24"/>
          <w:szCs w:val="24"/>
        </w:rPr>
        <w:t>andrea.bezerra@ufra.edu.br</w:t>
      </w:r>
      <w:r>
        <w:rPr>
          <w:sz w:val="24"/>
          <w:szCs w:val="24"/>
        </w:rPr>
        <w:t>.</w:t>
      </w:r>
    </w:p>
    <w:p w14:paraId="309E4C8E" w14:textId="4D1D54C0" w:rsidR="00642BB0" w:rsidRDefault="00642BB0" w:rsidP="00642BB0">
      <w:pPr>
        <w:keepLines/>
        <w:shd w:val="clear" w:color="auto" w:fill="FFFFFF"/>
        <w:tabs>
          <w:tab w:val="left" w:pos="2500"/>
        </w:tabs>
        <w:jc w:val="center"/>
        <w:rPr>
          <w:sz w:val="24"/>
          <w:szCs w:val="24"/>
        </w:rPr>
      </w:pPr>
      <w:r>
        <w:rPr>
          <w:sz w:val="24"/>
          <w:szCs w:val="24"/>
          <w:vertAlign w:val="superscript"/>
        </w:rPr>
        <w:t xml:space="preserve">4 </w:t>
      </w:r>
      <w:r w:rsidRPr="00642BB0">
        <w:rPr>
          <w:sz w:val="24"/>
          <w:szCs w:val="24"/>
        </w:rPr>
        <w:t>Doutora em Zoologia. Universidade Federal do Pará (UFPA).</w:t>
      </w:r>
      <w:r>
        <w:rPr>
          <w:sz w:val="24"/>
          <w:szCs w:val="24"/>
        </w:rPr>
        <w:t xml:space="preserve"> </w:t>
      </w:r>
      <w:r w:rsidRPr="00642BB0">
        <w:rPr>
          <w:sz w:val="24"/>
          <w:szCs w:val="24"/>
        </w:rPr>
        <w:t>marcela.gml@gmail.com</w:t>
      </w:r>
      <w:r>
        <w:rPr>
          <w:sz w:val="24"/>
          <w:szCs w:val="24"/>
        </w:rPr>
        <w:t>.</w:t>
      </w:r>
    </w:p>
    <w:p w14:paraId="6562E980" w14:textId="77777777" w:rsidR="003949CE" w:rsidRDefault="003949CE" w:rsidP="003949CE">
      <w:pPr>
        <w:keepLines/>
        <w:pBdr>
          <w:bottom w:val="none" w:sz="0" w:space="8" w:color="000000"/>
        </w:pBdr>
        <w:shd w:val="clear" w:color="auto" w:fill="FFFFFF"/>
        <w:tabs>
          <w:tab w:val="left" w:pos="2500"/>
        </w:tabs>
        <w:spacing w:line="310" w:lineRule="auto"/>
        <w:jc w:val="center"/>
        <w:rPr>
          <w:sz w:val="24"/>
          <w:szCs w:val="24"/>
        </w:rPr>
      </w:pPr>
    </w:p>
    <w:p w14:paraId="1EA4B476" w14:textId="77777777" w:rsidR="003949CE" w:rsidRDefault="003949CE" w:rsidP="003949CE">
      <w:pPr>
        <w:pBdr>
          <w:bottom w:val="none" w:sz="0" w:space="8" w:color="000000"/>
        </w:pBdr>
        <w:shd w:val="clear" w:color="auto" w:fill="FFFFFF"/>
        <w:tabs>
          <w:tab w:val="left" w:pos="2500"/>
        </w:tabs>
        <w:jc w:val="center"/>
        <w:rPr>
          <w:b/>
          <w:sz w:val="24"/>
          <w:szCs w:val="24"/>
          <w:u w:val="single"/>
        </w:rPr>
      </w:pPr>
      <w:r>
        <w:rPr>
          <w:b/>
          <w:sz w:val="24"/>
          <w:szCs w:val="24"/>
          <w:u w:val="single"/>
        </w:rPr>
        <w:t>RESUMO</w:t>
      </w:r>
    </w:p>
    <w:p w14:paraId="42D75990" w14:textId="01A7069B" w:rsidR="003949CE" w:rsidRDefault="00B348C8" w:rsidP="00B348C8">
      <w:pPr>
        <w:pBdr>
          <w:bottom w:val="none" w:sz="0" w:space="8" w:color="000000"/>
        </w:pBdr>
        <w:shd w:val="clear" w:color="auto" w:fill="FFFFFF"/>
        <w:tabs>
          <w:tab w:val="left" w:pos="2500"/>
        </w:tabs>
        <w:jc w:val="both"/>
        <w:rPr>
          <w:sz w:val="24"/>
          <w:szCs w:val="24"/>
        </w:rPr>
      </w:pPr>
      <w:r w:rsidRPr="00B348C8">
        <w:rPr>
          <w:sz w:val="24"/>
          <w:szCs w:val="24"/>
        </w:rPr>
        <w:t>As tartarugas marinhas da superfamília Chelonioidea incluem sete espécies, sendo cinco encontradas ao longo da costa brasileira. Apesar de sua ampla distribuição, seus ciclos reprodutivos, migrações e uso de habitat variam, e há lacunas sobre os efeitos do ambiente na movimentação dessas espécies. Este estudo visa investigar a distribuição espacial e os padrões de uso de habitat de quatro espécies de tartarugas marinhas (</w:t>
      </w:r>
      <w:r w:rsidRPr="00B348C8">
        <w:rPr>
          <w:i/>
          <w:iCs/>
          <w:sz w:val="24"/>
          <w:szCs w:val="24"/>
        </w:rPr>
        <w:t>Chelonia mydas</w:t>
      </w:r>
      <w:r w:rsidRPr="00B348C8">
        <w:rPr>
          <w:sz w:val="24"/>
          <w:szCs w:val="24"/>
        </w:rPr>
        <w:t xml:space="preserve">, </w:t>
      </w:r>
      <w:r w:rsidRPr="00B348C8">
        <w:rPr>
          <w:i/>
          <w:iCs/>
          <w:sz w:val="24"/>
          <w:szCs w:val="24"/>
        </w:rPr>
        <w:t>Eretmochelys imbricata, Caretta caretta e Lepidochelys olivacea</w:t>
      </w:r>
      <w:r w:rsidRPr="00B348C8">
        <w:rPr>
          <w:sz w:val="24"/>
          <w:szCs w:val="24"/>
        </w:rPr>
        <w:t>) na costa do Pará e Maranhão, usando dados de telemetria satelital. As coordenadas obtidas da literatura foram analisadas por meio de densidade de kernel para estimar as áreas de vida (home range), considerando percentis 100 (área de distribuição) e 50 (áreas de maior uso). Intersecções e sobreposições foram calculadas para identificar habitats compartilhados. Variáveis ambientais, como temperatura do mar, distância da costa, profundidade e velocidade de correntes, foram extraídas e analisadas com componentes principais e correlação multidimensional de procrustes. Os resultados revelaram hotspots associados à alimentação e desova, além de corredores ecológicos nas áreas de sobreposição. A análise destacou que Caretta caretta percorre distâncias significativamente diferentes das outras espécies. A correlação multidimensional demonstrou que as variáveis ambientais explicam bem a movimentação das tartarugas.</w:t>
      </w:r>
    </w:p>
    <w:p w14:paraId="5A93BFDA" w14:textId="36A7BE01" w:rsidR="003949CE" w:rsidRDefault="003949CE" w:rsidP="003949CE">
      <w:pPr>
        <w:shd w:val="clear" w:color="auto" w:fill="FFFFFF"/>
        <w:tabs>
          <w:tab w:val="left" w:pos="2500"/>
        </w:tabs>
        <w:rPr>
          <w:color w:val="FF0000"/>
          <w:sz w:val="24"/>
          <w:szCs w:val="24"/>
        </w:rPr>
      </w:pPr>
      <w:r>
        <w:rPr>
          <w:b/>
          <w:sz w:val="24"/>
          <w:szCs w:val="24"/>
        </w:rPr>
        <w:t xml:space="preserve">Palavras-chave: </w:t>
      </w:r>
      <w:r w:rsidR="00B348C8">
        <w:rPr>
          <w:sz w:val="24"/>
          <w:szCs w:val="24"/>
        </w:rPr>
        <w:t xml:space="preserve">Geoprocessamento. Quelônios. Multivariada. </w:t>
      </w:r>
    </w:p>
    <w:p w14:paraId="71340687" w14:textId="77777777" w:rsidR="003949CE" w:rsidRDefault="003949CE" w:rsidP="003949CE">
      <w:pPr>
        <w:shd w:val="clear" w:color="auto" w:fill="FFFFFF"/>
        <w:tabs>
          <w:tab w:val="left" w:pos="2500"/>
        </w:tabs>
        <w:jc w:val="center"/>
        <w:rPr>
          <w:sz w:val="24"/>
          <w:szCs w:val="24"/>
        </w:rPr>
      </w:pPr>
    </w:p>
    <w:p w14:paraId="5F17E0CC" w14:textId="0BDBA487" w:rsidR="00B348C8" w:rsidRDefault="003949CE" w:rsidP="00B348C8">
      <w:pPr>
        <w:shd w:val="clear" w:color="auto" w:fill="FFFFFF"/>
        <w:tabs>
          <w:tab w:val="left" w:pos="2500"/>
        </w:tabs>
        <w:rPr>
          <w:b/>
          <w:color w:val="0000FF"/>
          <w:sz w:val="24"/>
          <w:szCs w:val="24"/>
          <w:u w:val="single"/>
        </w:rPr>
      </w:pPr>
      <w:r>
        <w:rPr>
          <w:b/>
          <w:sz w:val="24"/>
          <w:szCs w:val="24"/>
        </w:rPr>
        <w:t>Área de Interesse do Simpósio</w:t>
      </w:r>
      <w:r>
        <w:rPr>
          <w:sz w:val="24"/>
          <w:szCs w:val="24"/>
        </w:rPr>
        <w:t xml:space="preserve">: </w:t>
      </w:r>
      <w:r w:rsidR="00B025A7">
        <w:rPr>
          <w:sz w:val="24"/>
          <w:szCs w:val="24"/>
        </w:rPr>
        <w:t>Geoprocessamento e sensoriamento remoto</w:t>
      </w:r>
    </w:p>
    <w:p w14:paraId="2C82317F" w14:textId="77777777" w:rsidR="00B348C8" w:rsidRPr="00B348C8" w:rsidRDefault="00B348C8" w:rsidP="00B348C8">
      <w:pPr>
        <w:shd w:val="clear" w:color="auto" w:fill="FFFFFF"/>
        <w:tabs>
          <w:tab w:val="left" w:pos="2500"/>
        </w:tabs>
        <w:rPr>
          <w:b/>
          <w:color w:val="0000FF"/>
          <w:sz w:val="24"/>
          <w:szCs w:val="24"/>
          <w:u w:val="single"/>
        </w:rPr>
      </w:pPr>
    </w:p>
    <w:p w14:paraId="67E05C3D" w14:textId="1780A7DA" w:rsidR="00A83645" w:rsidRDefault="003949CE" w:rsidP="00A83645">
      <w:pPr>
        <w:pBdr>
          <w:bottom w:val="none" w:sz="0" w:space="18" w:color="000000"/>
        </w:pBdr>
        <w:shd w:val="clear" w:color="auto" w:fill="FFFFFF"/>
        <w:tabs>
          <w:tab w:val="left" w:pos="2500"/>
        </w:tabs>
        <w:spacing w:line="360" w:lineRule="auto"/>
        <w:jc w:val="both"/>
        <w:rPr>
          <w:color w:val="FF0000"/>
          <w:sz w:val="24"/>
          <w:szCs w:val="24"/>
        </w:rPr>
      </w:pPr>
      <w:r>
        <w:rPr>
          <w:b/>
          <w:sz w:val="24"/>
          <w:szCs w:val="24"/>
        </w:rPr>
        <w:t xml:space="preserve">1. INTRODUÇÃO </w:t>
      </w:r>
    </w:p>
    <w:p w14:paraId="0530E156" w14:textId="340DA290" w:rsidR="00A83645" w:rsidRDefault="00A83645" w:rsidP="00A83645">
      <w:pPr>
        <w:pBdr>
          <w:bottom w:val="none" w:sz="0" w:space="18" w:color="000000"/>
        </w:pBdr>
        <w:shd w:val="clear" w:color="auto" w:fill="FFFFFF"/>
        <w:tabs>
          <w:tab w:val="left" w:pos="2500"/>
        </w:tabs>
        <w:spacing w:line="360" w:lineRule="auto"/>
        <w:jc w:val="both"/>
        <w:rPr>
          <w:color w:val="FF0000"/>
          <w:sz w:val="24"/>
          <w:szCs w:val="24"/>
        </w:rPr>
      </w:pPr>
      <w:r>
        <w:rPr>
          <w:color w:val="FF0000"/>
          <w:sz w:val="24"/>
          <w:szCs w:val="24"/>
        </w:rPr>
        <w:t xml:space="preserve">           </w:t>
      </w:r>
      <w:r w:rsidR="00442E1F" w:rsidRPr="00442E1F">
        <w:rPr>
          <w:sz w:val="24"/>
          <w:szCs w:val="24"/>
        </w:rPr>
        <w:t xml:space="preserve">Na costa norte do Brasil, </w:t>
      </w:r>
      <w:r w:rsidR="00056A5F">
        <w:rPr>
          <w:sz w:val="24"/>
          <w:szCs w:val="24"/>
        </w:rPr>
        <w:t>cinco</w:t>
      </w:r>
      <w:r w:rsidR="00442E1F" w:rsidRPr="00442E1F">
        <w:rPr>
          <w:sz w:val="24"/>
          <w:szCs w:val="24"/>
        </w:rPr>
        <w:t xml:space="preserve"> espécies </w:t>
      </w:r>
      <w:r>
        <w:rPr>
          <w:sz w:val="24"/>
          <w:szCs w:val="24"/>
        </w:rPr>
        <w:t xml:space="preserve">espécies de tartarugas </w:t>
      </w:r>
      <w:r w:rsidR="00442E1F" w:rsidRPr="00442E1F">
        <w:rPr>
          <w:sz w:val="24"/>
          <w:szCs w:val="24"/>
        </w:rPr>
        <w:t>são avistadas</w:t>
      </w:r>
      <w:r w:rsidR="00056A5F">
        <w:rPr>
          <w:sz w:val="24"/>
          <w:szCs w:val="24"/>
        </w:rPr>
        <w:t xml:space="preserve"> - </w:t>
      </w:r>
      <w:r w:rsidR="00056A5F" w:rsidRPr="00886548">
        <w:rPr>
          <w:i/>
          <w:iCs/>
          <w:sz w:val="24"/>
          <w:szCs w:val="24"/>
        </w:rPr>
        <w:t>Chelonia mydas</w:t>
      </w:r>
      <w:r w:rsidR="00056A5F" w:rsidRPr="00442E1F">
        <w:rPr>
          <w:sz w:val="24"/>
          <w:szCs w:val="24"/>
        </w:rPr>
        <w:t xml:space="preserve">, </w:t>
      </w:r>
      <w:r w:rsidR="00056A5F" w:rsidRPr="00886548">
        <w:rPr>
          <w:i/>
          <w:iCs/>
          <w:sz w:val="24"/>
          <w:szCs w:val="24"/>
        </w:rPr>
        <w:t>Eretmochelys imbricata</w:t>
      </w:r>
      <w:r w:rsidR="00056A5F" w:rsidRPr="00442E1F">
        <w:rPr>
          <w:sz w:val="24"/>
          <w:szCs w:val="24"/>
        </w:rPr>
        <w:t xml:space="preserve">, </w:t>
      </w:r>
      <w:r w:rsidR="00056A5F" w:rsidRPr="00886548">
        <w:rPr>
          <w:i/>
          <w:iCs/>
          <w:sz w:val="24"/>
          <w:szCs w:val="24"/>
        </w:rPr>
        <w:t>Dermochelys coriacea</w:t>
      </w:r>
      <w:r w:rsidR="00056A5F" w:rsidRPr="00442E1F">
        <w:rPr>
          <w:sz w:val="24"/>
          <w:szCs w:val="24"/>
        </w:rPr>
        <w:t xml:space="preserve">, </w:t>
      </w:r>
      <w:r w:rsidR="00056A5F" w:rsidRPr="00886548">
        <w:rPr>
          <w:i/>
          <w:iCs/>
          <w:sz w:val="24"/>
          <w:szCs w:val="24"/>
        </w:rPr>
        <w:t>Caretta caretta</w:t>
      </w:r>
      <w:r w:rsidR="00056A5F" w:rsidRPr="00442E1F">
        <w:rPr>
          <w:sz w:val="24"/>
          <w:szCs w:val="24"/>
        </w:rPr>
        <w:t xml:space="preserve"> e </w:t>
      </w:r>
      <w:r w:rsidR="00056A5F" w:rsidRPr="00886548">
        <w:rPr>
          <w:i/>
          <w:iCs/>
          <w:sz w:val="24"/>
          <w:szCs w:val="24"/>
        </w:rPr>
        <w:t>Lepidochelys olivacea</w:t>
      </w:r>
      <w:r w:rsidR="00056A5F">
        <w:rPr>
          <w:sz w:val="24"/>
          <w:szCs w:val="24"/>
        </w:rPr>
        <w:t xml:space="preserve"> -</w:t>
      </w:r>
      <w:r w:rsidR="00442E1F" w:rsidRPr="00442E1F">
        <w:rPr>
          <w:sz w:val="24"/>
          <w:szCs w:val="24"/>
        </w:rPr>
        <w:t xml:space="preserve"> devido em grande parte à presença de uma ampla zona estuarina e à complexa composição de manguezais e habitats de mesoescala</w:t>
      </w:r>
      <w:r w:rsidR="008C77ED">
        <w:rPr>
          <w:sz w:val="24"/>
          <w:szCs w:val="24"/>
        </w:rPr>
        <w:t xml:space="preserve"> </w:t>
      </w:r>
      <w:r w:rsidR="00FB6DAE">
        <w:rPr>
          <w:sz w:val="24"/>
          <w:szCs w:val="24"/>
        </w:rPr>
        <w:fldChar w:fldCharType="begin"/>
      </w:r>
      <w:r w:rsidR="00B025A7">
        <w:rPr>
          <w:sz w:val="24"/>
          <w:szCs w:val="24"/>
        </w:rPr>
        <w:instrText xml:space="preserve"> ADDIN ZOTERO_ITEM CSL_CITATION {"citationID":"EegtcLV7","properties":{"formattedCitation":"(MARCENIUK {\\i{}et al.}, 2013; WOLFF {\\i{}et al.}, 2000)","plainCitation":"(MARCENIUK et al., 2013; WOLFF et al., 2000)","noteIndex":0},"citationItems":[{"id":219,"uris":["http://zotero.org/users/local/qNA1rS9J/items/3A4XFFM5"],"itemData":{"id":219,"type":"article-journal","abstract":"The tropical western South Atlantic, which includes a substantial portion of the Brazilian Exclusive Economic Zone, is a region of endemism broadly recognized as being of prime importance for the conservation of the marine biodiversity. The north coast of Brazil, which comprises the states of Amapá, Pará and Maranhão from the mouth of the rio Oiapoque to the mouth of the rio Parnaíba, harbors the largest continuous mangrove in the world, with approximately 8,900 km2. The high discharge of freshwater and continental sediments in the delta of the Amazonas affects the regime of tides, ocean currents, and several oceanographic processes of the north coast, with direct impact on the composition of the biota found in the region. Despite its economic value and intrinsic biological relevance, several aspects of the diversity of the marine and estuarine fishes of the region are poorly known. This situation results mainly from a historical imbalance in terms of the number of studies devoted to increasing the knowledge of the marine biota along the Brazilian coast, such as those dealing with species inventory and taxonomic revisions, which are typically concentrated in the south and southwestern portions of the country. The scientific production focused on marine organisms of the north coast is also imbalanced, and reflects the relatively small number of taxonomists and research groups working on that subject. The insufficient knowledge of the biodiversity of the marine and estuarine fishes of the north coast is an impediment to the implementation of adequate public policies aimed at the management of natural resources in the region. In the long term, that situation is potentially harmful in terms of conservation of a still poorly known biota. A better understanding of the marine fish fauna of the north coast of Brazil will be achieved only through the investment in scientific research and personnel training in systematics and biogeography, coupled with the modernization of the current infrastructure and expansion of scientific collections of the region.\n          , \n            A região tropical do Atlântico Sul ocidental, que inclui uma porção substancial da Zona Econômica Exclusiva brasileira, é uma região de endemismo amplamente reconhecida como sendo de importância primária para a conservação da biodiversidade marinha. A costa norte do Brasil, que inclui os Estados do Amapá, Pará, e Maranhão, desde a foz do rio Oiapoque até a foz do rio Parnaíba, abriga o maior manguezal contínuo do mundo, com aproximadamente 8.900 km2. A alta descarga de água doce e sedimentos continentais no delta do Amazonas afeta o regime das marés, correntes oceânicas, e uma série de processos oceanográficos da costa norte, com impactos diretos na composição da biota encontrada na região. Apesar de seu valor econômico e relevância biológica intrínseca, diversos aspectos da diversidade de peixes marinhos e estuarinos da região são pouco conhecidos. Esta situação resulta principalmente de um desequilíbrio histórico em termos do número de estudos voltados ao conhecimento da biota marinha ao longo da costa brasileira, como aqueles que tratam do inventariamento de espécies e revisões taxonômicas, que são tipicamente concentrados nas porções sul e sudeste do país. A produção científica focalizada nos organismos marinhos da costa norte também é desequilibrada e reflete o número relativamente baixo de taxonomistas e grupos de pesquisa trabalhando com o tema. O conhecimento insuficiente da biodiversidade dos peixes marinhos e estuarinos da costa norte é um impedimento à implantação de políticas públicas adequadas voltadas para o manejo dos recursos naturais na região. À longo prazo, essa situação é potencialmente prejudicial em termos da conservação de uma biota ainda pouco conhecida. Um melhor conhecimento da fauna de peixes marinhos da costa norte do Brasil será atingido apenas através do investimento em pesquisas científicas e formação de pessoal em sistemática e biogeografia, acoplado à modernização da infra-estrutura e expansão das coleções científicas da região.","container-title":"Biota Neotropica","DOI":"10.1590/S1676-06032013000400022","ISSN":"1676-0603","issue":"4","journalAbbreviation":"Biota Neotrop.","page":"251-259","source":"DOI.org (Crossref)","title":"Conhecimento e conservação dos peixes marinhos e estuarinos (Chondrichthyes e Teleostei) da costa norte do Brasil","volume":"13","author":[{"family":"Marceniuk","given":"Alexandre Pires"},{"family":"Caires","given":"Rodrigo Antunes"},{"family":"Wosiacki","given":"Wolmar Benjamin"},{"family":"Dario","given":"Fabio Di"}],"issued":{"date-parts":[["2013",12]]}}},{"id":221,"uris":["http://zotero.org/users/local/qNA1rS9J/items/X8DBSNUU"],"itemData":{"id":221,"type":"article-journal","container-title":"Estuarine, Coastal and Shelf Science","DOI":"10.1006/ecss.2000.0611","ISSN":"02727714","issue":"6","journalAbbreviation":"Estuarine, Coastal and Shelf Science","language":"en","license":"https://www.elsevier.com/tdm/userlicense/1.0/","page":"789-803","source":"DOI.org (Crossref)","title":"A Trophic Flow Model of the Caeté Mangrove Estuary (North Brazil) with Considerations for the Sustainable Use of its Resources","volume":"50","author":[{"family":"Wolff","given":"M."},{"family":"Koch","given":"V."},{"family":"Isaac","given":"V."}],"issued":{"date-parts":[["2000",6]]}}}],"schema":"https://github.com/citation-style-language/schema/raw/master/csl-citation.json"} </w:instrText>
      </w:r>
      <w:r w:rsidR="00FB6DAE">
        <w:rPr>
          <w:sz w:val="24"/>
          <w:szCs w:val="24"/>
        </w:rPr>
        <w:fldChar w:fldCharType="separate"/>
      </w:r>
      <w:r w:rsidR="00B025A7" w:rsidRPr="00B025A7">
        <w:rPr>
          <w:sz w:val="24"/>
        </w:rPr>
        <w:t xml:space="preserve">(MARCENIUK </w:t>
      </w:r>
      <w:r w:rsidR="00B025A7" w:rsidRPr="00B025A7">
        <w:rPr>
          <w:i/>
          <w:iCs/>
          <w:sz w:val="24"/>
        </w:rPr>
        <w:t>et al.</w:t>
      </w:r>
      <w:r w:rsidR="00B025A7" w:rsidRPr="00B025A7">
        <w:rPr>
          <w:sz w:val="24"/>
        </w:rPr>
        <w:t xml:space="preserve">, 2013; WOLFF </w:t>
      </w:r>
      <w:r w:rsidR="00B025A7" w:rsidRPr="00B025A7">
        <w:rPr>
          <w:i/>
          <w:iCs/>
          <w:sz w:val="24"/>
        </w:rPr>
        <w:t>et al.</w:t>
      </w:r>
      <w:r w:rsidR="00B025A7" w:rsidRPr="00B025A7">
        <w:rPr>
          <w:sz w:val="24"/>
        </w:rPr>
        <w:t>, 2000)</w:t>
      </w:r>
      <w:r w:rsidR="00FB6DAE">
        <w:rPr>
          <w:sz w:val="24"/>
          <w:szCs w:val="24"/>
        </w:rPr>
        <w:fldChar w:fldCharType="end"/>
      </w:r>
      <w:r w:rsidR="00442E1F" w:rsidRPr="00FB6DAE">
        <w:rPr>
          <w:sz w:val="24"/>
          <w:szCs w:val="24"/>
          <w:lang w:val="pt-BR"/>
        </w:rPr>
        <w:t xml:space="preserve">. </w:t>
      </w:r>
      <w:r w:rsidR="00442E1F" w:rsidRPr="00442E1F">
        <w:rPr>
          <w:sz w:val="24"/>
          <w:szCs w:val="24"/>
        </w:rPr>
        <w:t xml:space="preserve">Esses ambientes oferecem condições favoráveis tanto para a reprodução, especialmente devido às áreas de desova, quanto para a alimentação, especialmente para as </w:t>
      </w:r>
      <w:r w:rsidR="00442E1F" w:rsidRPr="00442E1F">
        <w:rPr>
          <w:sz w:val="24"/>
          <w:szCs w:val="24"/>
        </w:rPr>
        <w:lastRenderedPageBreak/>
        <w:t>tartarugas jovens</w:t>
      </w:r>
      <w:r w:rsidR="00FB6DAE">
        <w:rPr>
          <w:sz w:val="24"/>
          <w:szCs w:val="24"/>
        </w:rPr>
        <w:t xml:space="preserve"> </w:t>
      </w:r>
      <w:r w:rsidR="00FB6DAE">
        <w:rPr>
          <w:sz w:val="24"/>
          <w:szCs w:val="24"/>
        </w:rPr>
        <w:fldChar w:fldCharType="begin"/>
      </w:r>
      <w:r w:rsidR="00B025A7">
        <w:rPr>
          <w:sz w:val="24"/>
          <w:szCs w:val="24"/>
        </w:rPr>
        <w:instrText xml:space="preserve"> ADDIN ZOTERO_ITEM CSL_CITATION {"citationID":"LD4aWZRe","properties":{"formattedCitation":"(ARAUJO {\\i{}et al.}, 2021)","plainCitation":"(ARAUJO et al., 2021)","noteIndex":0},"citationItems":[{"id":222,"uris":["http://zotero.org/users/local/qNA1rS9J/items/DDW897HK"],"itemData":{"id":222,"type":"article-journal","container-title":"Marine Policy","DOI":"10.1016/j.marpol.2021.104465","ISSN":"0308597X","journalAbbreviation":"Marine Policy","language":"en","page":"104465","source":"DOI.org (Crossref)","title":"Growing industrialization and poor conservation planning challenge natural resources' management in the Amazon Shelf off Brazil","volume":"128","author":[{"family":"Araujo","given":"Laís S."},{"family":"Magdalena","given":"Ulises Rodrigo"},{"family":"Louzada","given":"Tayana S."},{"family":"Salomon","given":"Paulo S."},{"family":"Moraes","given":"Fernando C."},{"family":"Ferreira","given":"Beatrice P."},{"family":"Paes","given":"Eduardo T.C."},{"family":"Bastos","given":"Alex C."},{"family":"Pereira","given":"Renato C."},{"family":"Salgado","given":"Leonardo T."},{"family":"Lorini","given":"Maria Lucia"},{"family":"Yager","given":"Patricia"},{"family":"Moura","given":"Rodrigo L."}],"issued":{"date-parts":[["2021",6]]}}}],"schema":"https://github.com/citation-style-language/schema/raw/master/csl-citation.json"} </w:instrText>
      </w:r>
      <w:r w:rsidR="00FB6DAE">
        <w:rPr>
          <w:sz w:val="24"/>
          <w:szCs w:val="24"/>
        </w:rPr>
        <w:fldChar w:fldCharType="separate"/>
      </w:r>
      <w:r w:rsidR="00B025A7" w:rsidRPr="00B025A7">
        <w:rPr>
          <w:sz w:val="24"/>
        </w:rPr>
        <w:t xml:space="preserve">(ARAUJO </w:t>
      </w:r>
      <w:r w:rsidR="00B025A7" w:rsidRPr="00B025A7">
        <w:rPr>
          <w:i/>
          <w:iCs/>
          <w:sz w:val="24"/>
        </w:rPr>
        <w:t>et al.</w:t>
      </w:r>
      <w:r w:rsidR="00B025A7" w:rsidRPr="00B025A7">
        <w:rPr>
          <w:sz w:val="24"/>
        </w:rPr>
        <w:t>, 2021)</w:t>
      </w:r>
      <w:r w:rsidR="00FB6DAE">
        <w:rPr>
          <w:sz w:val="24"/>
          <w:szCs w:val="24"/>
        </w:rPr>
        <w:fldChar w:fldCharType="end"/>
      </w:r>
      <w:r w:rsidR="00442E1F" w:rsidRPr="00442E1F">
        <w:rPr>
          <w:sz w:val="24"/>
          <w:szCs w:val="24"/>
        </w:rPr>
        <w:t>. A região costeira que engloba os estados do Pará e Maranhão abriga uma diversidade rica de ecossistemas marinhos, incluindo áreas de reprodução, alimentação e migração para várias espécies de tartarugas marinhas</w:t>
      </w:r>
      <w:r w:rsidR="00FB6DAE">
        <w:rPr>
          <w:sz w:val="24"/>
          <w:szCs w:val="24"/>
        </w:rPr>
        <w:t xml:space="preserve"> </w:t>
      </w:r>
      <w:r w:rsidR="00FB6DAE">
        <w:rPr>
          <w:sz w:val="24"/>
          <w:szCs w:val="24"/>
        </w:rPr>
        <w:fldChar w:fldCharType="begin"/>
      </w:r>
      <w:r w:rsidR="00B025A7">
        <w:rPr>
          <w:sz w:val="24"/>
          <w:szCs w:val="24"/>
        </w:rPr>
        <w:instrText xml:space="preserve"> ADDIN ZOTERO_ITEM CSL_CITATION {"citationID":"V33Vp1Om","properties":{"formattedCitation":"(BARATA {\\i{}et al.}, 2004; PRITCHARD, 1979)","plainCitation":"(BARATA et al., 2004; PRITCHARD, 1979)","noteIndex":0},"citationItems":[{"id":223,"uris":["http://zotero.org/users/local/qNA1rS9J/items/3CFK65QW"],"itemData":{"id":223,"type":"article-journal","abstract":"Data from several sources and original data are presented regarding sightings, strandings and incidental captures of leatherback sea turtles (\n              Dermochelys coriacea\n              ) on the Brazilian coast in a 33 year period, from 1969 to 2001. Two of the turtles were small juveniles (curved carapace length=40 cm and approximately 85 cm) and the remaining animals with known carapace size were large juveniles or adults. The origin of leatherbacks observed in Brazil is unknown. Several colonies in South America, including a Brazilian one, in the Caribbean, in western Africa and even in eastern South Africa could be the source of these turtles. The data presented here suggest that more effort should be directed to the assessment of the impact of fishing gear and marine pollution on leatherbacks and that systematic surveys on beaches should be maintained in order to monitor long term fluctuations in stranding levels and spatial stranding patterns. Genetic studies and satellite telemetry would be helpful in clarifying the origin of leatherbacks stranded or incidentally captured on the Brazilian coast.","container-title":"Journal of the Marine Biological Association of the United Kingdom","DOI":"10.1017/S0025315404010720h","ISSN":"0025-3154, 1469-7769","issue":"6","journalAbbreviation":"J. Mar. Biol. Ass.","language":"en","license":"https://www.cambridge.org/core/terms","page":"1233-1240","source":"DOI.org (Crossref)","title":"Records of the leatherback sea turtle Dermochelys coriacea on the Brazilian coast, 1969–2001","volume":"84","author":[{"family":"Barata","given":"Paulo C.R."},{"family":"Lima","given":"Eduardo H.S.M."},{"family":"Borges-Martins","given":"Márcio"},{"family":"Scalfoni","given":"Juarez T."},{"family":"Bellini","given":"Claudio"},{"family":"Siciliano","given":"Salvatore"}],"issued":{"date-parts":[["2004",12]]}}},{"id":224,"uris":["http://zotero.org/users/local/qNA1rS9J/items/B9F2YS45"],"itemData":{"id":224,"type":"book","publisher":"TFH ^ eNew Jersey New Jersey","source":"Google Scholar","title":"Encyclopedia of turtles","URL":"http://www.seaturtle.org/mtn/archives/mtn13/mtn13p17a.shtml?nocount","author":[{"family":"Pritchard","given":"Peter Charles Howard"}],"accessed":{"date-parts":[["2024",10,18]]},"issued":{"date-parts":[["1979"]]}}}],"schema":"https://github.com/citation-style-language/schema/raw/master/csl-citation.json"} </w:instrText>
      </w:r>
      <w:r w:rsidR="00FB6DAE">
        <w:rPr>
          <w:sz w:val="24"/>
          <w:szCs w:val="24"/>
        </w:rPr>
        <w:fldChar w:fldCharType="separate"/>
      </w:r>
      <w:r w:rsidR="00B025A7" w:rsidRPr="00B025A7">
        <w:rPr>
          <w:sz w:val="24"/>
        </w:rPr>
        <w:t xml:space="preserve">(BARATA </w:t>
      </w:r>
      <w:r w:rsidR="00B025A7" w:rsidRPr="00B025A7">
        <w:rPr>
          <w:i/>
          <w:iCs/>
          <w:sz w:val="24"/>
        </w:rPr>
        <w:t>et al.</w:t>
      </w:r>
      <w:r w:rsidR="00B025A7" w:rsidRPr="00B025A7">
        <w:rPr>
          <w:sz w:val="24"/>
        </w:rPr>
        <w:t>, 2004; PRITCHARD, 1979)</w:t>
      </w:r>
      <w:r w:rsidR="00FB6DAE">
        <w:rPr>
          <w:sz w:val="24"/>
          <w:szCs w:val="24"/>
        </w:rPr>
        <w:fldChar w:fldCharType="end"/>
      </w:r>
      <w:r w:rsidR="00442E1F" w:rsidRPr="00442E1F">
        <w:rPr>
          <w:sz w:val="24"/>
          <w:szCs w:val="24"/>
        </w:rPr>
        <w:t>.</w:t>
      </w:r>
    </w:p>
    <w:p w14:paraId="31396315" w14:textId="3819B982" w:rsidR="00A83645" w:rsidRDefault="00A83645" w:rsidP="00A83645">
      <w:pPr>
        <w:pBdr>
          <w:bottom w:val="none" w:sz="0" w:space="18" w:color="000000"/>
        </w:pBdr>
        <w:shd w:val="clear" w:color="auto" w:fill="FFFFFF"/>
        <w:tabs>
          <w:tab w:val="left" w:pos="2500"/>
        </w:tabs>
        <w:spacing w:line="360" w:lineRule="auto"/>
        <w:jc w:val="both"/>
        <w:rPr>
          <w:color w:val="FF0000"/>
          <w:sz w:val="24"/>
          <w:szCs w:val="24"/>
        </w:rPr>
      </w:pPr>
      <w:r>
        <w:rPr>
          <w:color w:val="FF0000"/>
          <w:sz w:val="24"/>
          <w:szCs w:val="24"/>
        </w:rPr>
        <w:t xml:space="preserve">          </w:t>
      </w:r>
      <w:r w:rsidR="00442E1F" w:rsidRPr="00442E1F">
        <w:rPr>
          <w:sz w:val="24"/>
          <w:szCs w:val="24"/>
        </w:rPr>
        <w:t>Dadas as constantes transformações nos ambientes costeiros e a crescente pressão humana sobre essas áreas, é fundamental compreender como as tartarugas marinhas utilizam e se movem dentro de seus habitats naturais</w:t>
      </w:r>
      <w:r w:rsidR="005144B8">
        <w:rPr>
          <w:sz w:val="24"/>
          <w:szCs w:val="24"/>
        </w:rPr>
        <w:t xml:space="preserve"> </w:t>
      </w:r>
      <w:r w:rsidR="005144B8">
        <w:rPr>
          <w:sz w:val="24"/>
          <w:szCs w:val="24"/>
        </w:rPr>
        <w:fldChar w:fldCharType="begin"/>
      </w:r>
      <w:r w:rsidR="00B025A7">
        <w:rPr>
          <w:sz w:val="24"/>
          <w:szCs w:val="24"/>
        </w:rPr>
        <w:instrText xml:space="preserve"> ADDIN ZOTERO_ITEM CSL_CITATION {"citationID":"q5kTL7ES","properties":{"formattedCitation":"(CHAMBAULT {\\i{}et al.}, 2015; COLLARD; OGREN, 1990)","plainCitation":"(CHAMBAULT et al., 2015; COLLARD; OGREN, 1990)","noteIndex":0},"citationItems":[{"id":225,"uris":["http://zotero.org/users/local/qNA1rS9J/items/465X8HUL"],"itemData":{"id":225,"type":"article-journal","container-title":"PLOS ONE","DOI":"10.1371/journal.pone.0137340","ISSN":"1932-6203","issue":"9","journalAbbreviation":"PLoS ONE","language":"en","page":"e0137340","source":"DOI.org (Crossref)","title":"Dispersal and Diving Adjustments of the Green Turtle Chelonia mydas in Response to Dynamic Environmental Conditions during Post-Nesting Migration","volume":"10","author":[{"family":"Chambault","given":"Philippine"},{"family":"Pinaud","given":"David"},{"family":"Vantrepotte","given":"Vincent"},{"family":"Kelle","given":"Laurent"},{"family":"Entraygues","given":"Mathieu"},{"family":"Guinet","given":"Christophe"},{"family":"Berzins","given":"Rachel"},{"family":"Bilo","given":"Karin"},{"family":"Gaspar","given":"Philippe"},{"family":"De Thoisy","given":"Benoît"},{"family":"Le Maho","given":"Yvon"},{"family":"Chevallier","given":"Damien"}],"editor":[{"family":"Crocker","given":"Daniel E"}],"issued":{"date-parts":[["2015",9,23]]}}},{"id":216,"uris":["http://zotero.org/users/local/qNA1rS9J/items/HN5XDWKP"],"itemData":{"id":216,"type":"article-journal","container-title":"Bulletin of Marine Science","issue":"1","note":"publisher: University of Miami-Rosenstiel School of Marine, Atmospheric &amp; Earth Science","page":"233–243","source":"Google Scholar","title":"Dispersal scenarios for pelagic post-hatchling sea turtles","volume":"47","author":[{"family":"Collard","given":"Sneed B."},{"family":"Ogren","given":"Larry H."}],"issued":{"date-parts":[["1990"]]}}}],"schema":"https://github.com/citation-style-language/schema/raw/master/csl-citation.json"} </w:instrText>
      </w:r>
      <w:r w:rsidR="005144B8">
        <w:rPr>
          <w:sz w:val="24"/>
          <w:szCs w:val="24"/>
        </w:rPr>
        <w:fldChar w:fldCharType="separate"/>
      </w:r>
      <w:r w:rsidR="00B025A7" w:rsidRPr="00B025A7">
        <w:rPr>
          <w:sz w:val="24"/>
        </w:rPr>
        <w:t xml:space="preserve">(CHAMBAULT </w:t>
      </w:r>
      <w:r w:rsidR="00B025A7" w:rsidRPr="00B025A7">
        <w:rPr>
          <w:i/>
          <w:iCs/>
          <w:sz w:val="24"/>
        </w:rPr>
        <w:t>et al.</w:t>
      </w:r>
      <w:r w:rsidR="00B025A7" w:rsidRPr="00B025A7">
        <w:rPr>
          <w:sz w:val="24"/>
        </w:rPr>
        <w:t>, 2015; COLLARD; OGREN, 1990)</w:t>
      </w:r>
      <w:r w:rsidR="005144B8">
        <w:rPr>
          <w:sz w:val="24"/>
          <w:szCs w:val="24"/>
        </w:rPr>
        <w:fldChar w:fldCharType="end"/>
      </w:r>
      <w:r w:rsidR="00442E1F" w:rsidRPr="00442E1F">
        <w:rPr>
          <w:sz w:val="24"/>
          <w:szCs w:val="24"/>
        </w:rPr>
        <w:t>. A falta de conhecimento detalhado sobre as rotas de movimentação e a relação dessas espécies com variáveis ambientais específicas na região do Pará e Maranhão cria uma lacuna crítica em nossa compreensão dos padrões de uso de habitat desses animais.</w:t>
      </w:r>
    </w:p>
    <w:p w14:paraId="0ED8DCE2" w14:textId="236DB906" w:rsidR="003949CE" w:rsidRPr="00A83645" w:rsidRDefault="00A83645" w:rsidP="00A83645">
      <w:pPr>
        <w:pBdr>
          <w:bottom w:val="none" w:sz="0" w:space="18" w:color="000000"/>
        </w:pBdr>
        <w:shd w:val="clear" w:color="auto" w:fill="FFFFFF"/>
        <w:tabs>
          <w:tab w:val="left" w:pos="2500"/>
        </w:tabs>
        <w:spacing w:line="360" w:lineRule="auto"/>
        <w:jc w:val="both"/>
        <w:rPr>
          <w:color w:val="FF0000"/>
          <w:sz w:val="24"/>
          <w:szCs w:val="24"/>
        </w:rPr>
      </w:pPr>
      <w:r>
        <w:rPr>
          <w:color w:val="FF0000"/>
          <w:sz w:val="24"/>
          <w:szCs w:val="24"/>
        </w:rPr>
        <w:t xml:space="preserve">        </w:t>
      </w:r>
      <w:r w:rsidR="00442E1F" w:rsidRPr="00442E1F">
        <w:rPr>
          <w:sz w:val="24"/>
          <w:szCs w:val="24"/>
        </w:rPr>
        <w:t xml:space="preserve"> Este estudo é de suma importância devido ao seu potencial para contribuir com a conservação das espécies de tartarugas marinhas na região. Compreender como esses animais interagem com o ambiente ao seu redor, especialmente diante das mudanças climáticas e das pressões humanas, possibilitará o desenvolvimento de estratégias mais eficazes para a proteção dessas espécies vulneráveis.</w:t>
      </w:r>
      <w:r w:rsidR="00886548">
        <w:rPr>
          <w:sz w:val="24"/>
          <w:szCs w:val="24"/>
        </w:rPr>
        <w:t xml:space="preserve"> Portanto, temos como objetivo</w:t>
      </w:r>
      <w:r w:rsidR="00442E1F" w:rsidRPr="00442E1F">
        <w:rPr>
          <w:sz w:val="24"/>
          <w:szCs w:val="24"/>
        </w:rPr>
        <w:t xml:space="preserve"> investigar a distribuição espacial e os padrões de uso de hábitat de quatro espécies de tartarugas marinhas na região costeira dos estados do Pará e Maranhão, utilizando dados de telemetria satelital, visando a sua conservação.</w:t>
      </w:r>
    </w:p>
    <w:p w14:paraId="06BDC008" w14:textId="77777777" w:rsidR="006C1C9D" w:rsidRDefault="003949CE" w:rsidP="006C1C9D">
      <w:pPr>
        <w:pBdr>
          <w:bottom w:val="none" w:sz="0" w:space="18" w:color="000000"/>
        </w:pBdr>
        <w:shd w:val="clear" w:color="auto" w:fill="FFFFFF"/>
        <w:tabs>
          <w:tab w:val="left" w:pos="2500"/>
        </w:tabs>
        <w:spacing w:line="310" w:lineRule="auto"/>
        <w:jc w:val="both"/>
        <w:rPr>
          <w:color w:val="FF0000"/>
          <w:sz w:val="24"/>
          <w:szCs w:val="24"/>
        </w:rPr>
      </w:pPr>
      <w:r>
        <w:rPr>
          <w:b/>
          <w:sz w:val="24"/>
          <w:szCs w:val="24"/>
        </w:rPr>
        <w:t>2. METODOLOGIA</w:t>
      </w:r>
      <w:r>
        <w:rPr>
          <w:b/>
          <w:sz w:val="28"/>
          <w:szCs w:val="28"/>
        </w:rPr>
        <w:t xml:space="preserve"> </w:t>
      </w:r>
    </w:p>
    <w:p w14:paraId="45FFA8A3" w14:textId="47BEF7A5" w:rsidR="00A83645" w:rsidRDefault="006C1C9D" w:rsidP="00A83645">
      <w:pPr>
        <w:pBdr>
          <w:bottom w:val="none" w:sz="0" w:space="18" w:color="000000"/>
        </w:pBdr>
        <w:shd w:val="clear" w:color="auto" w:fill="FFFFFF"/>
        <w:tabs>
          <w:tab w:val="left" w:pos="2500"/>
        </w:tabs>
        <w:spacing w:line="360" w:lineRule="auto"/>
        <w:jc w:val="both"/>
        <w:rPr>
          <w:color w:val="FF0000"/>
          <w:sz w:val="24"/>
          <w:szCs w:val="24"/>
        </w:rPr>
      </w:pPr>
      <w:r>
        <w:rPr>
          <w:color w:val="FF0000"/>
          <w:sz w:val="24"/>
          <w:szCs w:val="24"/>
        </w:rPr>
        <w:t xml:space="preserve">              </w:t>
      </w:r>
      <w:r w:rsidRPr="006C1C9D">
        <w:rPr>
          <w:sz w:val="24"/>
          <w:szCs w:val="24"/>
        </w:rPr>
        <w:t xml:space="preserve">A região do estuário do rio Pará, no Pará, e a zona costeira do Maranhão (Figura 1) são impactadas pela descarga dos rios Pará e Mearim, apresentando um clima tropical chuvoso </w:t>
      </w:r>
      <w:r w:rsidR="005144B8">
        <w:rPr>
          <w:sz w:val="24"/>
          <w:szCs w:val="24"/>
        </w:rPr>
        <w:fldChar w:fldCharType="begin"/>
      </w:r>
      <w:r w:rsidR="00B025A7">
        <w:rPr>
          <w:sz w:val="24"/>
          <w:szCs w:val="24"/>
        </w:rPr>
        <w:instrText xml:space="preserve"> ADDIN ZOTERO_ITEM CSL_CITATION {"citationID":"2VvIGqdB","properties":{"formattedCitation":"(ALVARES {\\i{}et al.}, 2013)","plainCitation":"(ALVARES et al., 2013)","noteIndex":0},"citationItems":[{"id":227,"uris":["http://zotero.org/users/local/qNA1rS9J/items/TAX34MGB"],"itemData":{"id":227,"type":"article-journal","container-title":"Meteorologische zeitschrift","issue":"6","note":"publisher: Stuttgart","page":"711–728","source":"Google Scholar","title":"Köppen’s climate classification map for Brazil","volume":"22","author":[{"family":"Alvares","given":"Clayton Alcarde"},{"family":"Stape","given":"José Luiz"},{"family":"Sentelhas","given":"Paulo Cesar"},{"family":"Gonçalves","given":"JL de M."},{"family":"Sparovek","given":"Gerd"}],"issued":{"date-parts":[["2013"]]}}}],"schema":"https://github.com/citation-style-language/schema/raw/master/csl-citation.json"} </w:instrText>
      </w:r>
      <w:r w:rsidR="005144B8">
        <w:rPr>
          <w:sz w:val="24"/>
          <w:szCs w:val="24"/>
        </w:rPr>
        <w:fldChar w:fldCharType="separate"/>
      </w:r>
      <w:r w:rsidR="00B025A7" w:rsidRPr="00B025A7">
        <w:rPr>
          <w:sz w:val="24"/>
        </w:rPr>
        <w:t xml:space="preserve">(ALVARES </w:t>
      </w:r>
      <w:r w:rsidR="00B025A7" w:rsidRPr="00B025A7">
        <w:rPr>
          <w:i/>
          <w:iCs/>
          <w:sz w:val="24"/>
        </w:rPr>
        <w:t>et al.</w:t>
      </w:r>
      <w:r w:rsidR="00B025A7" w:rsidRPr="00B025A7">
        <w:rPr>
          <w:sz w:val="24"/>
        </w:rPr>
        <w:t>, 2013)</w:t>
      </w:r>
      <w:r w:rsidR="005144B8">
        <w:rPr>
          <w:sz w:val="24"/>
          <w:szCs w:val="24"/>
        </w:rPr>
        <w:fldChar w:fldCharType="end"/>
      </w:r>
      <w:r w:rsidRPr="006C1C9D">
        <w:rPr>
          <w:sz w:val="24"/>
          <w:szCs w:val="24"/>
        </w:rPr>
        <w:t>. Para avaliar as áreas de vida das espécies, foi utilizado o método de Densidade de Kernel, que representa de forma contínua a distribuição espacial a partir de pontos de ocorrência</w:t>
      </w:r>
      <w:r w:rsidR="00B55E8D">
        <w:rPr>
          <w:sz w:val="24"/>
          <w:szCs w:val="24"/>
        </w:rPr>
        <w:t xml:space="preserve"> </w:t>
      </w:r>
      <w:r w:rsidR="00B55E8D">
        <w:rPr>
          <w:sz w:val="24"/>
          <w:szCs w:val="24"/>
        </w:rPr>
        <w:fldChar w:fldCharType="begin"/>
      </w:r>
      <w:r w:rsidR="00B025A7">
        <w:rPr>
          <w:sz w:val="24"/>
          <w:szCs w:val="24"/>
        </w:rPr>
        <w:instrText xml:space="preserve"> ADDIN ZOTERO_ITEM CSL_CITATION {"citationID":"uxyS7dHQ","properties":{"formattedCitation":"(LUCAMBIO, 2008)","plainCitation":"(LUCAMBIO, 2008)","noteIndex":0},"citationItems":[{"id":229,"uris":["http://zotero.org/users/local/qNA1rS9J/items/4GEX2G8F"],"itemData":{"id":229,"type":"article-journal","container-title":"Universidade Federal do Paraná, Departamento de Estatística. 12f","source":"Google Scholar","title":"Estimador Kernel da função de densidade","author":[{"family":"Lucambio","given":"Fernando"}],"issued":{"date-parts":[["2008"]]}}}],"schema":"https://github.com/citation-style-language/schema/raw/master/csl-citation.json"} </w:instrText>
      </w:r>
      <w:r w:rsidR="00B55E8D">
        <w:rPr>
          <w:sz w:val="24"/>
          <w:szCs w:val="24"/>
        </w:rPr>
        <w:fldChar w:fldCharType="separate"/>
      </w:r>
      <w:r w:rsidR="00B025A7" w:rsidRPr="00B025A7">
        <w:rPr>
          <w:sz w:val="24"/>
        </w:rPr>
        <w:t>(LUCAMBIO, 2008)</w:t>
      </w:r>
      <w:r w:rsidR="00B55E8D">
        <w:rPr>
          <w:sz w:val="24"/>
          <w:szCs w:val="24"/>
        </w:rPr>
        <w:fldChar w:fldCharType="end"/>
      </w:r>
      <w:r w:rsidRPr="006C1C9D">
        <w:rPr>
          <w:sz w:val="24"/>
          <w:szCs w:val="24"/>
        </w:rPr>
        <w:t>. O cálculo do raio do kernel</w:t>
      </w:r>
      <w:r w:rsidR="00886548">
        <w:rPr>
          <w:sz w:val="24"/>
          <w:szCs w:val="24"/>
        </w:rPr>
        <w:t xml:space="preserve"> foi realizado</w:t>
      </w:r>
      <w:r w:rsidRPr="006C1C9D">
        <w:rPr>
          <w:sz w:val="24"/>
          <w:szCs w:val="24"/>
        </w:rPr>
        <w:t xml:space="preserve"> </w:t>
      </w:r>
      <w:r w:rsidR="00886548">
        <w:rPr>
          <w:sz w:val="24"/>
          <w:szCs w:val="24"/>
        </w:rPr>
        <w:t>a partir de uma</w:t>
      </w:r>
      <w:r w:rsidRPr="006C1C9D">
        <w:rPr>
          <w:sz w:val="24"/>
          <w:szCs w:val="24"/>
        </w:rPr>
        <w:t xml:space="preserve"> matriz de distância</w:t>
      </w:r>
      <w:r w:rsidR="00886548">
        <w:rPr>
          <w:sz w:val="24"/>
          <w:szCs w:val="24"/>
        </w:rPr>
        <w:t xml:space="preserve"> que </w:t>
      </w:r>
      <w:r w:rsidRPr="006C1C9D">
        <w:rPr>
          <w:sz w:val="24"/>
          <w:szCs w:val="24"/>
        </w:rPr>
        <w:t>permite determinar a suavização adequada das superfícies de densidade</w:t>
      </w:r>
      <w:r w:rsidR="00B55E8D">
        <w:rPr>
          <w:sz w:val="24"/>
          <w:szCs w:val="24"/>
        </w:rPr>
        <w:t xml:space="preserve"> </w:t>
      </w:r>
      <w:r w:rsidR="00E06716">
        <w:rPr>
          <w:sz w:val="24"/>
          <w:szCs w:val="24"/>
        </w:rPr>
        <w:fldChar w:fldCharType="begin"/>
      </w:r>
      <w:r w:rsidR="00B025A7">
        <w:rPr>
          <w:sz w:val="24"/>
          <w:szCs w:val="24"/>
        </w:rPr>
        <w:instrText xml:space="preserve"> ADDIN ZOTERO_ITEM CSL_CITATION {"citationID":"eg9m7Emv","properties":{"formattedCitation":"(RIZZATTI {\\i{}et al.}, 2020)","plainCitation":"(RIZZATTI et al., 2020)","noteIndex":0},"citationItems":[{"id":230,"uris":["http://zotero.org/users/local/qNA1rS9J/items/AX2NUC87"],"itemData":{"id":230,"type":"article-journal","abstract":"A densidade de Kernel consiste em quantificar as relações dos pontos dentro de um raio (R) de influência, com base em determinada função estatística, analisando os padrões traçados por determinado conjunto de dados pontuais, estimando a sua densidade na área de estudo (BERGAMASCHI, 2010). De acordo com Kawamoto (2012, p. 16-17), a técnica de Kernel “[...] consiste num estimador probabilístico de intensidade do processo pontual não-paramétrico através de função Kernel\". Dentro dessa perspectiva metodológica, o objetivo deste trabalho é apresentar um mapa de densidade de Kernel da incidência de COVID-19 para área urbana de Santa Maria, RS, utilizando os dados do dia 05 de junho de 2020 (n = 282). Os procedimentos metodológicos se dividiram em cinco etapas: (1) definição do raio (R); (2) função k escolhida; (3) procedimentos realizados no QGIS para a geração da densidade de Kernel; (4) determinação do número de classes e intervalo; e (5) finalização do mapa. Os dados levaram a observar uma maior densidade de casos na área central da cidade, especificamente nas proximidades dos bairros Centro, Bonfim, Nossa Senhora de Fátima e Nonoai, com uma maior circulação de pessoas, serviços e residentes. Contudo, é possível identificar a dispersão da COVID-19 para áreas periféricas da cidade, como já ressaltado em Rizzatti et al (2020). O bairro Camobi, na região leste da cidade, demonstra comportamento semelhante ao bairro Centro, porém em menor densidade, formando o que poderíamos chamar de cluster secundário, além da zona Oeste da cidade, que demonstra a formação de um novo cluster.","container-title":"Metodologias e Aprendizado","DOI":"10.21166/metapre.v3i0.1312","ISSN":"2674-9009","journalAbbreviation":"MetodoAprendi","license":"https://creativecommons.org/licenses/by-nc-sa/4.0","page":"44-53","source":"DOI.org (Crossref)","title":"Mapeamento da COVID-19 por meio da densidade de Kernel","volume":"3","author":[{"family":"Rizzatti","given":"Maurício"},{"family":"Lampert Batista","given":"Natália"},{"family":"Cezar Spode","given":"Pedro Leonardo"},{"family":"Bouvier Erthal","given":"Douglas"},{"family":"Mauro De Faria","given":"Rivaldo"},{"family":"Volpato Scotti","given":"Anderson Augusto"},{"family":"Trentin","given":"Romario"},{"family":"Petsch","given":"Carina"},{"family":"Turba Costa","given":"Iago"},{"family":"Quoos","given":"João Henrique"}],"issued":{"date-parts":[["2020",6,12]]}}}],"schema":"https://github.com/citation-style-language/schema/raw/master/csl-citation.json"} </w:instrText>
      </w:r>
      <w:r w:rsidR="00E06716">
        <w:rPr>
          <w:sz w:val="24"/>
          <w:szCs w:val="24"/>
        </w:rPr>
        <w:fldChar w:fldCharType="separate"/>
      </w:r>
      <w:r w:rsidR="00B025A7" w:rsidRPr="00B025A7">
        <w:rPr>
          <w:sz w:val="24"/>
        </w:rPr>
        <w:t xml:space="preserve">(RIZZATTI </w:t>
      </w:r>
      <w:r w:rsidR="00B025A7" w:rsidRPr="00B025A7">
        <w:rPr>
          <w:i/>
          <w:iCs/>
          <w:sz w:val="24"/>
        </w:rPr>
        <w:t>et al.</w:t>
      </w:r>
      <w:r w:rsidR="00B025A7" w:rsidRPr="00B025A7">
        <w:rPr>
          <w:sz w:val="24"/>
        </w:rPr>
        <w:t>, 2020)</w:t>
      </w:r>
      <w:r w:rsidR="00E06716">
        <w:rPr>
          <w:sz w:val="24"/>
          <w:szCs w:val="24"/>
        </w:rPr>
        <w:fldChar w:fldCharType="end"/>
      </w:r>
      <w:r w:rsidRPr="006C1C9D">
        <w:rPr>
          <w:sz w:val="24"/>
          <w:szCs w:val="24"/>
        </w:rPr>
        <w:t>. A partir disso, foram geradas superfícies de densidade que destacam as regiões de maior utilização do habitat, permitindo identificar áreas de uso preferencial das espécies.</w:t>
      </w:r>
      <w:r w:rsidR="00642BB0">
        <w:rPr>
          <w:sz w:val="24"/>
          <w:szCs w:val="24"/>
        </w:rPr>
        <w:t xml:space="preserve"> </w:t>
      </w:r>
      <w:r w:rsidRPr="006C1C9D">
        <w:rPr>
          <w:sz w:val="24"/>
          <w:szCs w:val="24"/>
        </w:rPr>
        <w:t xml:space="preserve">Os cálculos também incluíram a determinação do kernel para as áreas de movimentação e preferências de habitat, utilizando percentis </w:t>
      </w:r>
      <w:r w:rsidR="00570D37">
        <w:rPr>
          <w:sz w:val="24"/>
          <w:szCs w:val="24"/>
        </w:rPr>
        <w:t>100</w:t>
      </w:r>
      <w:r w:rsidRPr="006C1C9D">
        <w:rPr>
          <w:sz w:val="24"/>
          <w:szCs w:val="24"/>
        </w:rPr>
        <w:t xml:space="preserve"> e 50, respectivamente</w:t>
      </w:r>
      <w:r w:rsidR="00E06716">
        <w:rPr>
          <w:sz w:val="24"/>
          <w:szCs w:val="24"/>
        </w:rPr>
        <w:t xml:space="preserve"> </w:t>
      </w:r>
      <w:r w:rsidR="00E06716">
        <w:rPr>
          <w:sz w:val="24"/>
          <w:szCs w:val="24"/>
        </w:rPr>
        <w:fldChar w:fldCharType="begin"/>
      </w:r>
      <w:r w:rsidR="00B025A7">
        <w:rPr>
          <w:sz w:val="24"/>
          <w:szCs w:val="24"/>
        </w:rPr>
        <w:instrText xml:space="preserve"> ADDIN ZOTERO_ITEM CSL_CITATION {"citationID":"zKNSuH64","properties":{"formattedCitation":"(SCHULER {\\i{}et al.}, 2014)","plainCitation":"(SCHULER et al., 2014)","noteIndex":0},"citationItems":[{"id":232,"uris":["http://zotero.org/users/local/qNA1rS9J/items/UF7UDX7M"],"itemData":{"id":232,"type":"article-journal","abstract":"Accuracy of home‐range estimates in animals is influenced by a variety of factors, such as method of analysis and number of locations, but animal space use is less often considered and frequently over‐generalized through simulations. Our objective was to assess effect of an ad hoc\n              (h_ad hoc)\n              smoothing parameter in kernel analysis from two species that were predicted to have different patterns of utilization distributions across a range of sample sizes. We evaluated variation in home‐range estimates with location data collected from GPS collars on two species: mule deer\n              Odocoileus hemionus\n              and coyotes\n              Canis latrans.\n              We calculated home ranges using 95% and 50% kernel contours using reference\n              (h_ref\n              and\n              h ad hoc\n              smoothing parameters. To evaluate the influence of sample size, we calculated home ranges using both smoothing parameters for random subsamples of 5, 10, 25 and 50% of GPS locations and compared area estimates to estimates for 100% of GPS locations. On mule deer, we also conducted visual relocations using conventional radiotelemetry, which resulted in fewer locations than GPS collars. Area was overestimated at smaller sample sizes, but an interesting pattern was noted with higher relative bias at 60–100 locations than at sample sizes &lt; 50 locations. Relative bias was most likely due to increased smoothing of outer data points. Subsampling allowed us to examine relative bias across a range of samples sizes for the two smoothing parameters. Minimum number of points to obtain a consistent home range estimates varied by smoothing method, species, study duration, and volume contour (95% or 50%). While\n              h_ad hoc\n              performed consistently better over most sample sizes, there may not be a universal recommendation for all studies and species. Behavioral traits resulting in concentrated or disparate space use complicates comparisons among and between species. We suggest researchers examine their point distribution, justify their choice of smoothing parameter, and report their choices for home‐range analysis based on their study objectives.","container-title":"Wildlife Biology","DOI":"10.2981/wlb.12117","ISSN":"1903-220X, 1903-220X","issue":"5","journalAbbreviation":"Wildlife Biology","language":"en","license":"http://onlinelibrary.wiley.com/termsAndConditions#vor","page":"259-266","source":"DOI.org (Crossref)","title":"Ad hoc smoothing parameter performance in kernel estimates of GPS‐derived home ranges","volume":"20","author":[{"family":"Schuler","given":"Krysten L."},{"family":"Schroeder","given":"Greg M."},{"family":"Jenks","given":"Jonathan A."},{"family":"Kie","given":"John G."}],"issued":{"date-parts":[["2014",10]]}}}],"schema":"https://github.com/citation-style-language/schema/raw/master/csl-citation.json"} </w:instrText>
      </w:r>
      <w:r w:rsidR="00E06716">
        <w:rPr>
          <w:sz w:val="24"/>
          <w:szCs w:val="24"/>
        </w:rPr>
        <w:fldChar w:fldCharType="separate"/>
      </w:r>
      <w:r w:rsidR="00B025A7" w:rsidRPr="00B025A7">
        <w:rPr>
          <w:sz w:val="24"/>
        </w:rPr>
        <w:t xml:space="preserve">(SCHULER </w:t>
      </w:r>
      <w:r w:rsidR="00B025A7" w:rsidRPr="00B025A7">
        <w:rPr>
          <w:i/>
          <w:iCs/>
          <w:sz w:val="24"/>
        </w:rPr>
        <w:t>et al.</w:t>
      </w:r>
      <w:r w:rsidR="00B025A7" w:rsidRPr="00B025A7">
        <w:rPr>
          <w:sz w:val="24"/>
        </w:rPr>
        <w:t>, 2014)</w:t>
      </w:r>
      <w:r w:rsidR="00E06716">
        <w:rPr>
          <w:sz w:val="24"/>
          <w:szCs w:val="24"/>
        </w:rPr>
        <w:fldChar w:fldCharType="end"/>
      </w:r>
      <w:r w:rsidRPr="006C1C9D">
        <w:rPr>
          <w:sz w:val="24"/>
          <w:szCs w:val="24"/>
        </w:rPr>
        <w:t>. Além disso, foram realizados cálculos de intersecção e sobreposição das áreas de vida para verificar regiões compartilhadas pelas quatro espécies estudadas, permitindo uma análise espacial detalhada das suas interações no habitat</w:t>
      </w:r>
      <w:r w:rsidR="00E06716">
        <w:rPr>
          <w:sz w:val="24"/>
          <w:szCs w:val="24"/>
        </w:rPr>
        <w:t xml:space="preserve"> </w:t>
      </w:r>
      <w:r w:rsidR="00E06716">
        <w:rPr>
          <w:sz w:val="24"/>
          <w:szCs w:val="24"/>
        </w:rPr>
        <w:fldChar w:fldCharType="begin"/>
      </w:r>
      <w:r w:rsidR="00B025A7">
        <w:rPr>
          <w:sz w:val="24"/>
          <w:szCs w:val="24"/>
        </w:rPr>
        <w:instrText xml:space="preserve"> ADDIN ZOTERO_ITEM CSL_CITATION {"citationID":"5qQuhP9k","properties":{"formattedCitation":"(REDDY, 2018)","plainCitation":"(REDDY, 2018)","noteIndex":0},"citationItems":[{"id":234,"uris":["http://zotero.org/users/local/qNA1rS9J/items/ACA24RUE"],"itemData":{"id":234,"type":"book","publisher":"Springer","source":"Google Scholar","title":"Geospatial technologies in land resources mapping, monitoring, and management: an overview","title-short":"Geospatial technologies in land resources mapping, monitoring, and management","URL":"https://link.springer.com/chapter/10.1007/978-3-319-78711-4_1","author":[{"family":"Reddy","given":"GP Obi"}],"accessed":{"date-parts":[["2024",10,18]]},"issued":{"date-parts":[["2018"]]}}}],"schema":"https://github.com/citation-style-language/schema/raw/master/csl-citation.json"} </w:instrText>
      </w:r>
      <w:r w:rsidR="00E06716">
        <w:rPr>
          <w:sz w:val="24"/>
          <w:szCs w:val="24"/>
        </w:rPr>
        <w:fldChar w:fldCharType="separate"/>
      </w:r>
      <w:r w:rsidR="00B025A7" w:rsidRPr="00B025A7">
        <w:rPr>
          <w:sz w:val="24"/>
        </w:rPr>
        <w:t>(REDDY, 2018)</w:t>
      </w:r>
      <w:r w:rsidR="00E06716">
        <w:rPr>
          <w:sz w:val="24"/>
          <w:szCs w:val="24"/>
        </w:rPr>
        <w:fldChar w:fldCharType="end"/>
      </w:r>
      <w:r w:rsidRPr="006C1C9D">
        <w:rPr>
          <w:sz w:val="24"/>
          <w:szCs w:val="24"/>
        </w:rPr>
        <w:t>.</w:t>
      </w:r>
    </w:p>
    <w:p w14:paraId="50B61C25" w14:textId="5F7BC7B6" w:rsidR="00A83645" w:rsidRDefault="00A83645" w:rsidP="00A83645">
      <w:pPr>
        <w:pBdr>
          <w:bottom w:val="none" w:sz="0" w:space="18" w:color="000000"/>
        </w:pBdr>
        <w:shd w:val="clear" w:color="auto" w:fill="FFFFFF"/>
        <w:tabs>
          <w:tab w:val="left" w:pos="2500"/>
        </w:tabs>
        <w:spacing w:line="360" w:lineRule="auto"/>
        <w:jc w:val="both"/>
        <w:rPr>
          <w:color w:val="FF0000"/>
          <w:sz w:val="24"/>
          <w:szCs w:val="24"/>
        </w:rPr>
      </w:pPr>
      <w:r>
        <w:rPr>
          <w:color w:val="FF0000"/>
          <w:sz w:val="24"/>
          <w:szCs w:val="24"/>
        </w:rPr>
        <w:lastRenderedPageBreak/>
        <w:t xml:space="preserve">            </w:t>
      </w:r>
      <w:r w:rsidR="00814D9C">
        <w:rPr>
          <w:sz w:val="24"/>
          <w:szCs w:val="24"/>
        </w:rPr>
        <w:t>Para analisar a variabilidade ambiental entre as espécies, foram utilizados rasters das variáveis ambientais de temperatura da superficie do mar, distancia da costa, profundidade, velocidade da corrente e salinidade obtidos a partir da plataforma Bio-oracle. Utilizando a função Point Sampling Tools no software Qgis, extraimos os valores das variáveis ambientais em cada ponto de ocorrência das tartarugas. As variáveis classificadas de acordo com a espécie foram submetidas a uma Análise de Componentes Principais (PCA) com agrupamento elipsoidal</w:t>
      </w:r>
      <w:r w:rsidR="00E06716">
        <w:rPr>
          <w:sz w:val="24"/>
          <w:szCs w:val="24"/>
        </w:rPr>
        <w:t xml:space="preserve"> </w:t>
      </w:r>
      <w:r w:rsidR="00E06716">
        <w:rPr>
          <w:sz w:val="24"/>
          <w:szCs w:val="24"/>
        </w:rPr>
        <w:fldChar w:fldCharType="begin"/>
      </w:r>
      <w:r w:rsidR="00B025A7">
        <w:rPr>
          <w:sz w:val="24"/>
          <w:szCs w:val="24"/>
        </w:rPr>
        <w:instrText xml:space="preserve"> ADDIN ZOTERO_ITEM CSL_CITATION {"citationID":"VeITCJ4y","properties":{"formattedCitation":"(HONGYU {\\i{}et al.}, 2016)","plainCitation":"(HONGYU et al., 2016)","noteIndex":0},"citationItems":[{"id":236,"uris":["http://zotero.org/users/local/qNA1rS9J/items/W92CUQX6"],"itemData":{"id":236,"type":"article-journal","abstract":"A análise multivariada de uma forma bem geral refere-se aos métodos estatísticos que analisam simultaneamente múltiplas medidas em cada indivíduo ou objeto sob investigação. Nesse contexto, entre as técnicas de multivariadas, a análise de componentes principais (ACP) é umas das técnicas estatísticas mais utilizadas na análise de dados em diversas áreas do conhecimento, como agronomia, zootecnia, ecologia, florestal, medicina, etc. Assim, discute-se neste artigo a aplicabilidade e a interpretação da análise de componentes principais e com utilização do gráfico biplot. Também, faz-se uma discussão quanto à escolha da metodologia mais adequada, levando em consideração a informação requerida e os objetivos do pesquisador.","container-title":"E&amp;S Engineering and Science","DOI":"10.18607/ES201653398","ISSN":"2358-5390","issue":"1","journalAbbreviation":"ES","page":"83-90","source":"DOI.org (Crossref)","title":"Análise de Componentes Principais: Resumo Teórico, Aplicação e Interpretação","title-short":"Análise de Componentes Principais","volume":"5","author":[{"family":"Hongyu","given":"Kuang"},{"family":"Sandanielo","given":"Vera Lúcia Martins"},{"family":"Junior","given":"Gilmar Jorge De Oliveira"}],"issued":{"date-parts":[["2016",6,29]]}}}],"schema":"https://github.com/citation-style-language/schema/raw/master/csl-citation.json"} </w:instrText>
      </w:r>
      <w:r w:rsidR="00E06716">
        <w:rPr>
          <w:sz w:val="24"/>
          <w:szCs w:val="24"/>
        </w:rPr>
        <w:fldChar w:fldCharType="separate"/>
      </w:r>
      <w:r w:rsidR="00B025A7" w:rsidRPr="00B025A7">
        <w:rPr>
          <w:sz w:val="24"/>
        </w:rPr>
        <w:t xml:space="preserve">(HONGYU </w:t>
      </w:r>
      <w:r w:rsidR="00B025A7" w:rsidRPr="00B025A7">
        <w:rPr>
          <w:i/>
          <w:iCs/>
          <w:sz w:val="24"/>
        </w:rPr>
        <w:t>et al.</w:t>
      </w:r>
      <w:r w:rsidR="00B025A7" w:rsidRPr="00B025A7">
        <w:rPr>
          <w:sz w:val="24"/>
        </w:rPr>
        <w:t>, 2016)</w:t>
      </w:r>
      <w:r w:rsidR="00E06716">
        <w:rPr>
          <w:sz w:val="24"/>
          <w:szCs w:val="24"/>
        </w:rPr>
        <w:fldChar w:fldCharType="end"/>
      </w:r>
      <w:r w:rsidR="00814D9C">
        <w:rPr>
          <w:sz w:val="24"/>
          <w:szCs w:val="24"/>
        </w:rPr>
        <w:t xml:space="preserve">. </w:t>
      </w:r>
    </w:p>
    <w:p w14:paraId="45570972" w14:textId="17D33E1B" w:rsidR="003949CE" w:rsidRPr="00A83645" w:rsidRDefault="00A83645" w:rsidP="00A83645">
      <w:pPr>
        <w:pBdr>
          <w:bottom w:val="none" w:sz="0" w:space="18" w:color="000000"/>
        </w:pBdr>
        <w:shd w:val="clear" w:color="auto" w:fill="FFFFFF"/>
        <w:tabs>
          <w:tab w:val="left" w:pos="2500"/>
        </w:tabs>
        <w:spacing w:line="360" w:lineRule="auto"/>
        <w:jc w:val="both"/>
        <w:rPr>
          <w:color w:val="FF0000"/>
          <w:sz w:val="24"/>
          <w:szCs w:val="24"/>
        </w:rPr>
      </w:pPr>
      <w:r>
        <w:rPr>
          <w:color w:val="FF0000"/>
          <w:sz w:val="24"/>
          <w:szCs w:val="24"/>
        </w:rPr>
        <w:t xml:space="preserve">           </w:t>
      </w:r>
      <w:r w:rsidR="0032621E" w:rsidRPr="0032621E">
        <w:rPr>
          <w:sz w:val="24"/>
          <w:szCs w:val="24"/>
        </w:rPr>
        <w:t xml:space="preserve">Para testar a congruência entre as localizações das tartarugas e as variáveis ambientais, estes dados foram convertidos matrizes de espaço contendo as posições onde as tartarugas passaram e a matriz ambiental. Por conseguinte, aplicamos a análise de Procrustes resultando em uma estatística R², derivada da estatística de correlação r, demonstrando sua maior robustez matemática e sensibilidade aos dados </w:t>
      </w:r>
      <w:r w:rsidR="00E06716">
        <w:rPr>
          <w:sz w:val="24"/>
          <w:szCs w:val="24"/>
        </w:rPr>
        <w:fldChar w:fldCharType="begin"/>
      </w:r>
      <w:r w:rsidR="00B025A7">
        <w:rPr>
          <w:sz w:val="24"/>
          <w:szCs w:val="24"/>
        </w:rPr>
        <w:instrText xml:space="preserve"> ADDIN ZOTERO_ITEM CSL_CITATION {"citationID":"nPdEtTaJ","properties":{"formattedCitation":"(PERES-NETO; JACKSON, 2001)","plainCitation":"(PERES-NETO; JACKSON, 2001)","noteIndex":0},"citationItems":[{"id":238,"uris":["http://zotero.org/users/local/qNA1rS9J/items/UVG93PJX"],"itemData":{"id":238,"type":"article-journal","container-title":"Oecologia","DOI":"10.1007/s004420100720","ISSN":"0029-8549, 1432-1939","issue":"2","journalAbbreviation":"Oecologia","language":"en","license":"http://www.springer.com/tdm","page":"169-178","source":"DOI.org (Crossref)","title":"How well do multivariate data sets match? The advantages of a Procrustean superimposition approach over the Mantel test","title-short":"How well do multivariate data sets match?","volume":"129","author":[{"family":"Peres-Neto","given":"Pedro R."},{"family":"Jackson","given":"Donald A."}],"issued":{"date-parts":[["2001",10]]}}}],"schema":"https://github.com/citation-style-language/schema/raw/master/csl-citation.json"} </w:instrText>
      </w:r>
      <w:r w:rsidR="00E06716">
        <w:rPr>
          <w:sz w:val="24"/>
          <w:szCs w:val="24"/>
        </w:rPr>
        <w:fldChar w:fldCharType="separate"/>
      </w:r>
      <w:r w:rsidR="00B025A7" w:rsidRPr="00B025A7">
        <w:rPr>
          <w:sz w:val="24"/>
        </w:rPr>
        <w:t>(PERES-NETO; JACKSON, 2001)</w:t>
      </w:r>
      <w:r w:rsidR="00E06716">
        <w:rPr>
          <w:sz w:val="24"/>
          <w:szCs w:val="24"/>
        </w:rPr>
        <w:fldChar w:fldCharType="end"/>
      </w:r>
      <w:r w:rsidR="0032621E" w:rsidRPr="0032621E">
        <w:rPr>
          <w:sz w:val="24"/>
          <w:szCs w:val="24"/>
        </w:rPr>
        <w:t xml:space="preserve">. A significância da estatística de Procrustes </w:t>
      </w:r>
      <w:r>
        <w:rPr>
          <w:sz w:val="24"/>
          <w:szCs w:val="24"/>
        </w:rPr>
        <w:t>foi</w:t>
      </w:r>
      <w:r w:rsidR="0032621E" w:rsidRPr="0032621E">
        <w:rPr>
          <w:sz w:val="24"/>
          <w:szCs w:val="24"/>
        </w:rPr>
        <w:t xml:space="preserve"> testada por permutação com o teste de randomização de Procrustes - PROTEST (com 9999 permutações) </w:t>
      </w:r>
      <w:r w:rsidR="00E06716">
        <w:rPr>
          <w:sz w:val="24"/>
          <w:szCs w:val="24"/>
        </w:rPr>
        <w:fldChar w:fldCharType="begin"/>
      </w:r>
      <w:r w:rsidR="00B025A7">
        <w:rPr>
          <w:sz w:val="24"/>
          <w:szCs w:val="24"/>
        </w:rPr>
        <w:instrText xml:space="preserve"> ADDIN ZOTERO_ITEM CSL_CITATION {"citationID":"DiRgbTMQ","properties":{"formattedCitation":"(PERES-NETO; JACKSON, 2001)","plainCitation":"(PERES-NETO; JACKSON, 2001)","noteIndex":0},"citationItems":[{"id":238,"uris":["http://zotero.org/users/local/qNA1rS9J/items/UVG93PJX"],"itemData":{"id":238,"type":"article-journal","container-title":"Oecologia","DOI":"10.1007/s004420100720","ISSN":"0029-8549, 1432-1939","issue":"2","journalAbbreviation":"Oecologia","language":"en","license":"http://www.springer.com/tdm","page":"169-178","source":"DOI.org (Crossref)","title":"How well do multivariate data sets match? The advantages of a Procrustean superimposition approach over the Mantel test","title-short":"How well do multivariate data sets match?","volume":"129","author":[{"family":"Peres-Neto","given":"Pedro R."},{"family":"Jackson","given":"Donald A."}],"issued":{"date-parts":[["2001",10]]}}}],"schema":"https://github.com/citation-style-language/schema/raw/master/csl-citation.json"} </w:instrText>
      </w:r>
      <w:r w:rsidR="00E06716">
        <w:rPr>
          <w:sz w:val="24"/>
          <w:szCs w:val="24"/>
        </w:rPr>
        <w:fldChar w:fldCharType="separate"/>
      </w:r>
      <w:r w:rsidR="00B025A7" w:rsidRPr="00B025A7">
        <w:rPr>
          <w:sz w:val="24"/>
        </w:rPr>
        <w:t>(PERES-NETO; JACKSON, 2001)</w:t>
      </w:r>
      <w:r w:rsidR="00E06716">
        <w:rPr>
          <w:sz w:val="24"/>
          <w:szCs w:val="24"/>
        </w:rPr>
        <w:fldChar w:fldCharType="end"/>
      </w:r>
      <w:r w:rsidR="0032621E" w:rsidRPr="0032621E">
        <w:rPr>
          <w:sz w:val="24"/>
          <w:szCs w:val="24"/>
        </w:rPr>
        <w:t xml:space="preserve">. Todas as análises </w:t>
      </w:r>
      <w:r>
        <w:rPr>
          <w:sz w:val="24"/>
          <w:szCs w:val="24"/>
        </w:rPr>
        <w:t>foram</w:t>
      </w:r>
      <w:r w:rsidR="0032621E" w:rsidRPr="0032621E">
        <w:rPr>
          <w:sz w:val="24"/>
          <w:szCs w:val="24"/>
        </w:rPr>
        <w:t xml:space="preserve"> realizadas no software Rstudio, utilizando os pacotes “vegan” e “packfor”.</w:t>
      </w:r>
    </w:p>
    <w:p w14:paraId="6788DC74" w14:textId="75E4BD28" w:rsidR="003949CE" w:rsidRDefault="003949CE" w:rsidP="006C1C9D">
      <w:pPr>
        <w:pBdr>
          <w:bottom w:val="none" w:sz="0" w:space="8" w:color="000000"/>
        </w:pBdr>
        <w:shd w:val="clear" w:color="auto" w:fill="FFFFFF"/>
        <w:tabs>
          <w:tab w:val="left" w:pos="2500"/>
        </w:tabs>
        <w:spacing w:line="310" w:lineRule="auto"/>
        <w:jc w:val="both"/>
      </w:pPr>
      <w:r>
        <w:rPr>
          <w:b/>
          <w:sz w:val="24"/>
          <w:szCs w:val="24"/>
        </w:rPr>
        <w:t>3. RESULTADOS E DISCUSSÃO</w:t>
      </w:r>
      <w:r>
        <w:rPr>
          <w:b/>
          <w:sz w:val="28"/>
          <w:szCs w:val="28"/>
        </w:rPr>
        <w:t xml:space="preserve"> </w:t>
      </w:r>
    </w:p>
    <w:p w14:paraId="380BBF48" w14:textId="75AE0FBA" w:rsidR="00814D9C" w:rsidRDefault="00814D9C" w:rsidP="00814D9C">
      <w:pPr>
        <w:widowControl/>
        <w:tabs>
          <w:tab w:val="left" w:pos="1290"/>
        </w:tabs>
        <w:spacing w:after="160" w:line="360" w:lineRule="auto"/>
        <w:jc w:val="both"/>
        <w:rPr>
          <w:bCs/>
          <w:sz w:val="24"/>
          <w:szCs w:val="24"/>
        </w:rPr>
      </w:pPr>
      <w:r>
        <w:rPr>
          <w:bCs/>
          <w:sz w:val="24"/>
          <w:szCs w:val="24"/>
        </w:rPr>
        <w:t xml:space="preserve">           </w:t>
      </w:r>
      <w:r w:rsidRPr="00814D9C">
        <w:rPr>
          <w:bCs/>
          <w:sz w:val="24"/>
          <w:szCs w:val="24"/>
        </w:rPr>
        <w:t xml:space="preserve">A home range estimada a partir da análise de densidade de kernel (KDE) a </w:t>
      </w:r>
      <w:r w:rsidR="00570D37">
        <w:rPr>
          <w:bCs/>
          <w:sz w:val="24"/>
          <w:szCs w:val="24"/>
        </w:rPr>
        <w:t>100</w:t>
      </w:r>
      <w:r w:rsidRPr="00814D9C">
        <w:rPr>
          <w:bCs/>
          <w:sz w:val="24"/>
          <w:szCs w:val="24"/>
        </w:rPr>
        <w:t xml:space="preserve">% e 50% (Figura </w:t>
      </w:r>
      <w:r>
        <w:rPr>
          <w:bCs/>
          <w:sz w:val="24"/>
          <w:szCs w:val="24"/>
        </w:rPr>
        <w:t>2</w:t>
      </w:r>
      <w:r w:rsidRPr="00814D9C">
        <w:rPr>
          <w:bCs/>
          <w:sz w:val="24"/>
          <w:szCs w:val="24"/>
        </w:rPr>
        <w:t>) destacou várias manchas hotspots, com variações que podem ocorrer devido à estrutura da paisagem submarina, que está relacionada à alimentação e ao estágio de vida dos indivíduos</w:t>
      </w:r>
      <w:r w:rsidR="00E06716">
        <w:rPr>
          <w:bCs/>
          <w:sz w:val="24"/>
          <w:szCs w:val="24"/>
        </w:rPr>
        <w:t xml:space="preserve"> </w:t>
      </w:r>
      <w:r w:rsidR="00E06716">
        <w:rPr>
          <w:bCs/>
          <w:sz w:val="24"/>
          <w:szCs w:val="24"/>
        </w:rPr>
        <w:fldChar w:fldCharType="begin"/>
      </w:r>
      <w:r w:rsidR="00B025A7">
        <w:rPr>
          <w:bCs/>
          <w:sz w:val="24"/>
          <w:szCs w:val="24"/>
        </w:rPr>
        <w:instrText xml:space="preserve"> ADDIN ZOTERO_ITEM CSL_CITATION {"citationID":"9ixt1iy4","properties":{"formattedCitation":"(HAWKES {\\i{}et al.}, 2011)","plainCitation":"(HAWKES et al., 2011)","noteIndex":0},"citationItems":[{"id":239,"uris":["http://zotero.org/users/local/qNA1rS9J/items/DI3L286R"],"itemData":{"id":239,"type":"article-journal","abstract":"Abstract\n            \n              Aim \n              Although satellite tracking has yielded much information regarding the migrations and habitat use of threatened marine species, relatively little has been published about the environmental niche for loggerhead sea turtles\n              Caretta caretta\n              in north‐west Atlantic waters.\n            \n            \n              Location \n              North Carolina, South Carolina and Georgia, USA.\n            \n            \n              Methods \n              We tracked 68 adult female turtles between 1998 and 2008, one of the largest sample sizes to date, for 372.2 ± 210.4 days (mean ± SD).\n            \n            \n              Results \n              We identified two strategies: (1) ‘seasonal’ migrations between summer and winter coastal areas (\n              n\n               = 47), although some turtles made oceanic excursions (\n              n\n               = 4) and (2) occupation of more southerly ‘year‐round’ ranges (\n              n\n               = 18). Seasonal turtles occupied summer home ranges of 645.1 km\n              2\n              (median,\n              n\n              = 42; using α‐hulls) predominantly north of 35 ° latitude and winter home ranges of 339.0 km\n              2\n              (\n              n\n               = 24) in a relatively small area on the narrow shelf off North Carolina. We tracked some of these turtles through successive summer (\n              n\n               = 8) and winter (\n              n\n               = 3) seasons, showing inter‐annual home range repeatability to within 14.5 km of summer areas and 10.3 km of winter areas. For year‐round turtles, home ranges were 1889.9 km\n              2\n              . Turtles should be tracked for at least 80 days to reliably estimate the home range size in seasonal habitats. The equivalent minimum duration for ‘year‐round’ turtles is more complex to derive. We define an environmental envelope of the distribution of North American loggerhead turtles: warm waters (between 18.2 and 29.2 °C) on the coastal shelf (in depths of 3.0–89.0 m).\n            \n            \n              Main conclusions \n              Our findings show that adult female loggerhead turtles show predictable, repeatable home range behaviour and do not generally leave waters of the USA, nor the continental shelf (&lt; 200m depth). These data offer insights for future marine management, particularly if they were combined with those from the other management units in the USA.","container-title":"Diversity and Distributions","DOI":"10.1111/j.1472-4642.2011.00768.x","ISSN":"1366-9516, 1472-4642","issue":"4","journalAbbreviation":"Diversity and Distributions","language":"en","license":"http://onlinelibrary.wiley.com/termsAndConditions#vor","page":"624-640","source":"DOI.org (Crossref)","title":"Home on the range: spatial ecology of loggerhead turtles in Atlantic waters of the USA","title-short":"Home on the range","volume":"17","author":[{"family":"Hawkes","given":"Lucy A."},{"family":"Witt","given":"Matthew J."},{"family":"Broderick","given":"Annette C."},{"family":"Coker","given":"John W."},{"family":"Coyne","given":"Michael S."},{"family":"Dodd","given":"Mark"},{"family":"Frick","given":"Michael G."},{"family":"Godfrey","given":"Matthew H."},{"family":"Griffin","given":"DuBose B."},{"family":"Murphy","given":"Sally R."},{"family":"Murphy","given":"Thomas M."},{"family":"Williams","given":"Kris L."},{"family":"Godley","given":"Brendan J."}],"issued":{"date-parts":[["2011",7]]}}}],"schema":"https://github.com/citation-style-language/schema/raw/master/csl-citation.json"} </w:instrText>
      </w:r>
      <w:r w:rsidR="00E06716">
        <w:rPr>
          <w:bCs/>
          <w:sz w:val="24"/>
          <w:szCs w:val="24"/>
        </w:rPr>
        <w:fldChar w:fldCharType="separate"/>
      </w:r>
      <w:r w:rsidR="00B025A7" w:rsidRPr="00B025A7">
        <w:rPr>
          <w:sz w:val="24"/>
        </w:rPr>
        <w:t xml:space="preserve">(HAWKES </w:t>
      </w:r>
      <w:r w:rsidR="00B025A7" w:rsidRPr="00B025A7">
        <w:rPr>
          <w:i/>
          <w:iCs/>
          <w:sz w:val="24"/>
        </w:rPr>
        <w:t>et al.</w:t>
      </w:r>
      <w:r w:rsidR="00B025A7" w:rsidRPr="00B025A7">
        <w:rPr>
          <w:sz w:val="24"/>
        </w:rPr>
        <w:t>, 2011)</w:t>
      </w:r>
      <w:r w:rsidR="00E06716">
        <w:rPr>
          <w:bCs/>
          <w:sz w:val="24"/>
          <w:szCs w:val="24"/>
        </w:rPr>
        <w:fldChar w:fldCharType="end"/>
      </w:r>
      <w:r w:rsidRPr="00814D9C">
        <w:rPr>
          <w:bCs/>
          <w:sz w:val="24"/>
          <w:szCs w:val="24"/>
        </w:rPr>
        <w:t>. A tartaruga-de-pente (</w:t>
      </w:r>
      <w:r w:rsidRPr="00814D9C">
        <w:rPr>
          <w:bCs/>
          <w:i/>
          <w:iCs/>
          <w:sz w:val="24"/>
          <w:szCs w:val="24"/>
        </w:rPr>
        <w:t>Eretmochelys imbricata</w:t>
      </w:r>
      <w:r w:rsidRPr="00814D9C">
        <w:rPr>
          <w:bCs/>
          <w:sz w:val="24"/>
          <w:szCs w:val="24"/>
        </w:rPr>
        <w:t xml:space="preserve">) apresentou um padrão mais concentrado paralelo à costa, com uma área de concentração próxima a uma área de fundo consolidado, evidenciada tanto na KDE a </w:t>
      </w:r>
      <w:r w:rsidR="00570D37">
        <w:rPr>
          <w:bCs/>
          <w:sz w:val="24"/>
          <w:szCs w:val="24"/>
        </w:rPr>
        <w:t>100</w:t>
      </w:r>
      <w:r w:rsidRPr="00814D9C">
        <w:rPr>
          <w:bCs/>
          <w:sz w:val="24"/>
          <w:szCs w:val="24"/>
        </w:rPr>
        <w:t>% quanto na KDE a 50%. Os substratos da área de estudo são compostos principalmente de areia como substrato inconsolidado. A tartaruga-oliva (</w:t>
      </w:r>
      <w:r w:rsidRPr="00814D9C">
        <w:rPr>
          <w:bCs/>
          <w:i/>
          <w:iCs/>
          <w:sz w:val="24"/>
          <w:szCs w:val="24"/>
        </w:rPr>
        <w:t>Lepidochelys olivacea</w:t>
      </w:r>
      <w:r w:rsidRPr="00814D9C">
        <w:rPr>
          <w:bCs/>
          <w:sz w:val="24"/>
          <w:szCs w:val="24"/>
        </w:rPr>
        <w:t xml:space="preserve">) demonstra um padrão de movimentação muito similar ao de </w:t>
      </w:r>
      <w:r w:rsidRPr="00814D9C">
        <w:rPr>
          <w:bCs/>
          <w:i/>
          <w:iCs/>
          <w:sz w:val="24"/>
          <w:szCs w:val="24"/>
        </w:rPr>
        <w:t>E. imbricata</w:t>
      </w:r>
      <w:r w:rsidRPr="00814D9C">
        <w:rPr>
          <w:bCs/>
          <w:sz w:val="24"/>
          <w:szCs w:val="24"/>
        </w:rPr>
        <w:t>, sendo que as áreas de maior concentração (hotspots na KDE a 50%) provavelmente apresentam grande disponibilidade alimentar.</w:t>
      </w:r>
    </w:p>
    <w:p w14:paraId="5DF9F3B3" w14:textId="4D1BB7EC" w:rsidR="00570D37" w:rsidRPr="00442652" w:rsidRDefault="00570D37" w:rsidP="00442652">
      <w:pPr>
        <w:pStyle w:val="Legenda"/>
        <w:keepNext/>
        <w:jc w:val="center"/>
        <w:rPr>
          <w:i w:val="0"/>
          <w:iCs w:val="0"/>
          <w:color w:val="000000" w:themeColor="text1"/>
          <w:sz w:val="22"/>
          <w:szCs w:val="22"/>
        </w:rPr>
      </w:pPr>
      <w:r w:rsidRPr="00442652">
        <w:rPr>
          <w:i w:val="0"/>
          <w:iCs w:val="0"/>
          <w:color w:val="000000" w:themeColor="text1"/>
          <w:sz w:val="22"/>
          <w:szCs w:val="22"/>
        </w:rPr>
        <w:lastRenderedPageBreak/>
        <w:t xml:space="preserve">Figura </w:t>
      </w:r>
      <w:r w:rsidR="00A83645">
        <w:rPr>
          <w:i w:val="0"/>
          <w:iCs w:val="0"/>
          <w:color w:val="000000" w:themeColor="text1"/>
          <w:sz w:val="22"/>
          <w:szCs w:val="22"/>
        </w:rPr>
        <w:t>1</w:t>
      </w:r>
      <w:r w:rsidRPr="00442652">
        <w:rPr>
          <w:i w:val="0"/>
          <w:iCs w:val="0"/>
          <w:color w:val="000000" w:themeColor="text1"/>
          <w:sz w:val="22"/>
          <w:szCs w:val="22"/>
        </w:rPr>
        <w:t xml:space="preserve"> - Resultados da análise de Kernel para estimar a home range das espécies.</w:t>
      </w:r>
    </w:p>
    <w:p w14:paraId="0250BB6E" w14:textId="77777777" w:rsidR="00570D37" w:rsidRDefault="00570D37" w:rsidP="00442652">
      <w:pPr>
        <w:keepNext/>
        <w:widowControl/>
        <w:tabs>
          <w:tab w:val="left" w:pos="1290"/>
        </w:tabs>
        <w:spacing w:after="160" w:line="360" w:lineRule="auto"/>
        <w:jc w:val="center"/>
      </w:pPr>
      <w:r w:rsidRPr="00570D37">
        <w:rPr>
          <w:bCs/>
          <w:noProof/>
          <w:sz w:val="24"/>
          <w:szCs w:val="24"/>
        </w:rPr>
        <w:drawing>
          <wp:inline distT="0" distB="0" distL="0" distR="0" wp14:anchorId="054297E4" wp14:editId="371C5218">
            <wp:extent cx="3460278" cy="2537460"/>
            <wp:effectExtent l="0" t="0" r="6985" b="0"/>
            <wp:docPr id="9" name="Imagem 8">
              <a:extLst xmlns:a="http://schemas.openxmlformats.org/drawingml/2006/main">
                <a:ext uri="{FF2B5EF4-FFF2-40B4-BE49-F238E27FC236}">
                  <a16:creationId xmlns:a16="http://schemas.microsoft.com/office/drawing/2014/main" id="{505A754D-445D-55D0-0F0B-188DFC40B5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8">
                      <a:extLst>
                        <a:ext uri="{FF2B5EF4-FFF2-40B4-BE49-F238E27FC236}">
                          <a16:creationId xmlns:a16="http://schemas.microsoft.com/office/drawing/2014/main" id="{505A754D-445D-55D0-0F0B-188DFC40B515}"/>
                        </a:ext>
                      </a:extLst>
                    </pic:cNvPr>
                    <pic:cNvPicPr>
                      <a:picLocks noChangeAspect="1"/>
                    </pic:cNvPicPr>
                  </pic:nvPicPr>
                  <pic:blipFill rotWithShape="1">
                    <a:blip r:embed="rId7"/>
                    <a:srcRect t="3003" r="959"/>
                    <a:stretch/>
                  </pic:blipFill>
                  <pic:spPr bwMode="auto">
                    <a:xfrm>
                      <a:off x="0" y="0"/>
                      <a:ext cx="3470184" cy="2544725"/>
                    </a:xfrm>
                    <a:prstGeom prst="rect">
                      <a:avLst/>
                    </a:prstGeom>
                    <a:ln>
                      <a:noFill/>
                    </a:ln>
                    <a:extLst>
                      <a:ext uri="{53640926-AAD7-44D8-BBD7-CCE9431645EC}">
                        <a14:shadowObscured xmlns:a14="http://schemas.microsoft.com/office/drawing/2010/main"/>
                      </a:ext>
                    </a:extLst>
                  </pic:spPr>
                </pic:pic>
              </a:graphicData>
            </a:graphic>
          </wp:inline>
        </w:drawing>
      </w:r>
    </w:p>
    <w:p w14:paraId="0856BBBE" w14:textId="00DD7069" w:rsidR="00570D37" w:rsidRPr="00570D37" w:rsidRDefault="00570D37" w:rsidP="00570D37">
      <w:pPr>
        <w:pStyle w:val="Legenda"/>
        <w:jc w:val="both"/>
        <w:rPr>
          <w:bCs/>
          <w:i w:val="0"/>
          <w:iCs w:val="0"/>
          <w:color w:val="000000" w:themeColor="text1"/>
          <w:sz w:val="28"/>
          <w:szCs w:val="28"/>
        </w:rPr>
      </w:pPr>
      <w:r w:rsidRPr="00570D37">
        <w:rPr>
          <w:i w:val="0"/>
          <w:iCs w:val="0"/>
          <w:color w:val="000000" w:themeColor="text1"/>
          <w:sz w:val="20"/>
          <w:szCs w:val="20"/>
        </w:rPr>
        <w:t>Fonte: O autor (2024).</w:t>
      </w:r>
    </w:p>
    <w:p w14:paraId="2CF96591" w14:textId="3E808BBA" w:rsidR="00570D37" w:rsidRPr="00A83645" w:rsidRDefault="00814D9C" w:rsidP="00814D9C">
      <w:pPr>
        <w:widowControl/>
        <w:tabs>
          <w:tab w:val="left" w:pos="1290"/>
        </w:tabs>
        <w:spacing w:after="160" w:line="360" w:lineRule="auto"/>
        <w:jc w:val="both"/>
        <w:rPr>
          <w:bCs/>
          <w:sz w:val="24"/>
          <w:szCs w:val="24"/>
          <w:lang w:val="pt-BR"/>
        </w:rPr>
      </w:pPr>
      <w:r>
        <w:rPr>
          <w:bCs/>
          <w:sz w:val="24"/>
          <w:szCs w:val="24"/>
        </w:rPr>
        <w:t xml:space="preserve">            </w:t>
      </w:r>
      <w:r w:rsidRPr="00814D9C">
        <w:rPr>
          <w:bCs/>
          <w:sz w:val="24"/>
          <w:szCs w:val="24"/>
        </w:rPr>
        <w:t xml:space="preserve">Por outro lado, </w:t>
      </w:r>
      <w:r w:rsidRPr="00814D9C">
        <w:rPr>
          <w:bCs/>
          <w:i/>
          <w:iCs/>
          <w:sz w:val="24"/>
          <w:szCs w:val="24"/>
        </w:rPr>
        <w:t>Chelonia mydas</w:t>
      </w:r>
      <w:r w:rsidRPr="00814D9C">
        <w:rPr>
          <w:bCs/>
          <w:sz w:val="24"/>
          <w:szCs w:val="24"/>
        </w:rPr>
        <w:t xml:space="preserve"> esteve muito mais concentrada próximo à linha de costa, adentrando estuários, conforme mostrado pelos hotspots na KDE a 50%. A costa norte é conhecida por ser uma área de desova para a espécie, e esse padrão de movimentação pode indicar atividade reprodutiva, embora também seja possível uso alimentar devido às gramíneas e macroalgas marinhas presentes na região</w:t>
      </w:r>
      <w:r w:rsidR="00E06716">
        <w:rPr>
          <w:bCs/>
          <w:sz w:val="24"/>
          <w:szCs w:val="24"/>
        </w:rPr>
        <w:t xml:space="preserve"> </w:t>
      </w:r>
      <w:r w:rsidR="00E06716">
        <w:rPr>
          <w:bCs/>
          <w:sz w:val="24"/>
          <w:szCs w:val="24"/>
        </w:rPr>
        <w:fldChar w:fldCharType="begin"/>
      </w:r>
      <w:r w:rsidR="00B025A7">
        <w:rPr>
          <w:bCs/>
          <w:sz w:val="24"/>
          <w:szCs w:val="24"/>
        </w:rPr>
        <w:instrText xml:space="preserve"> ADDIN ZOTERO_ITEM CSL_CITATION {"citationID":"Guki8bh7","properties":{"formattedCitation":"(BUTARELLI {\\i{}et al.}, 2021; CARRI\\uc0\\u211{}N\\uc0\\u8211{}CORTEZ {\\i{}et al.}, 2011)","plainCitation":"(BUTARELLI et al., 2021; CARRIÓN–CORTEZ et al., 2011)","noteIndex":0},"citationItems":[{"id":240,"uris":["http://zotero.org/users/local/qNA1rS9J/items/VCZ7UWHX"],"itemData":{"id":240,"type":"article-journal","source":"Google Scholar","title":"COLEÇÃO FICOLÓGICA E A IMPORTÂNCIA DO REGISTRO HISTÓRICO DE MACROALGAS PARA A BIODIVERSIDADE MARANHENSE= PHICOLOGICAL COLLECTION AND THE IMPORTANCE OF HISTORICAL RECORD OF BENTHIC MARINE ALGAE FOR THE BIODIVERSITY OF MARANHAO STATE","URL":"https://periodicoseletronicos.ufma.br/index.php/blabohidro/article/view/14457","author":[{"family":"Butarelli","given":"Ana Carolina de Araujo"},{"family":"Arouche","given":"Marlla Maria Barbosa"},{"family":"Almeida","given":"Eduardo Bezerra"}],"accessed":{"date-parts":[["2024",10,18]]},"issued":{"date-parts":[["2021"]]}}},{"id":242,"uris":["http://zotero.org/users/local/qNA1rS9J/items/5VKVGGHL"],"itemData":{"id":242,"type":"article-journal","container-title":"Journal of the Marine Biological Association of the United Kingdom","DOI":"10.1017/S002531541000158X","ISSN":"0025-3154, 1469-7769","issue":"8","journalAbbreviation":"J. Mar. Biol. Ass.","language":"en","license":"https://www.cambridge.org/core/terms","page":"1723-1723","source":"DOI.org (Crossref)","title":"Feeding ecology of the green sea turtle ( &lt;i&gt;Chelonia mydas&lt;/i&gt; ) in the Galapagos Islands—CORRIGENDUM","volume":"91","author":[{"family":"Carrión–Cortez","given":"J."},{"family":"Zárate","given":"P."},{"family":"Seminoff","given":"J.A."}],"issued":{"date-parts":[["2011",12]]}}}],"schema":"https://github.com/citation-style-language/schema/raw/master/csl-citation.json"} </w:instrText>
      </w:r>
      <w:r w:rsidR="00E06716">
        <w:rPr>
          <w:bCs/>
          <w:sz w:val="24"/>
          <w:szCs w:val="24"/>
        </w:rPr>
        <w:fldChar w:fldCharType="separate"/>
      </w:r>
      <w:r w:rsidR="00B025A7" w:rsidRPr="00B025A7">
        <w:rPr>
          <w:sz w:val="24"/>
        </w:rPr>
        <w:t xml:space="preserve">(BUTARELLI </w:t>
      </w:r>
      <w:r w:rsidR="00B025A7" w:rsidRPr="00B025A7">
        <w:rPr>
          <w:i/>
          <w:iCs/>
          <w:sz w:val="24"/>
        </w:rPr>
        <w:t>et al.</w:t>
      </w:r>
      <w:r w:rsidR="00B025A7" w:rsidRPr="00B025A7">
        <w:rPr>
          <w:sz w:val="24"/>
        </w:rPr>
        <w:t xml:space="preserve">, 2021; CARRIÓN–CORTEZ </w:t>
      </w:r>
      <w:r w:rsidR="00B025A7" w:rsidRPr="00B025A7">
        <w:rPr>
          <w:i/>
          <w:iCs/>
          <w:sz w:val="24"/>
        </w:rPr>
        <w:t>et al.</w:t>
      </w:r>
      <w:r w:rsidR="00B025A7" w:rsidRPr="00B025A7">
        <w:rPr>
          <w:sz w:val="24"/>
        </w:rPr>
        <w:t>, 2011)</w:t>
      </w:r>
      <w:r w:rsidR="00E06716">
        <w:rPr>
          <w:bCs/>
          <w:sz w:val="24"/>
          <w:szCs w:val="24"/>
        </w:rPr>
        <w:fldChar w:fldCharType="end"/>
      </w:r>
      <w:r w:rsidRPr="00814D9C">
        <w:rPr>
          <w:bCs/>
          <w:sz w:val="24"/>
          <w:szCs w:val="24"/>
        </w:rPr>
        <w:t xml:space="preserve">. A espécie </w:t>
      </w:r>
      <w:r w:rsidRPr="00570D37">
        <w:rPr>
          <w:bCs/>
          <w:i/>
          <w:iCs/>
          <w:sz w:val="24"/>
          <w:szCs w:val="24"/>
        </w:rPr>
        <w:t>Caretta caretta</w:t>
      </w:r>
      <w:r w:rsidRPr="00814D9C">
        <w:rPr>
          <w:bCs/>
          <w:sz w:val="24"/>
          <w:szCs w:val="24"/>
        </w:rPr>
        <w:t xml:space="preserve"> destaca-se por apresentar maior contraste em relação às áreas de maior concentração, pois estava mais afastada da costa. Seus hotspots, identificados na KDE a 50%, estão em áreas de fundo duro, onde predominam seus itens alimentares preferenciais: os invertebrados bentônicos, sobretudo crustáceos e moluscos secretadores de conchas</w:t>
      </w:r>
      <w:r w:rsidR="00D43C6B">
        <w:rPr>
          <w:bCs/>
          <w:sz w:val="24"/>
          <w:szCs w:val="24"/>
        </w:rPr>
        <w:t xml:space="preserve"> </w:t>
      </w:r>
      <w:r w:rsidR="00D43C6B">
        <w:rPr>
          <w:bCs/>
          <w:sz w:val="24"/>
          <w:szCs w:val="24"/>
        </w:rPr>
        <w:fldChar w:fldCharType="begin"/>
      </w:r>
      <w:r w:rsidR="00B025A7">
        <w:rPr>
          <w:bCs/>
          <w:sz w:val="24"/>
          <w:szCs w:val="24"/>
        </w:rPr>
        <w:instrText xml:space="preserve"> ADDIN ZOTERO_ITEM CSL_CITATION {"citationID":"K7gRnqRK","properties":{"formattedCitation":"(ARAUJO {\\i{}et al.}, 2021; FRICK {\\i{}et al.}, 2009)","plainCitation":"(ARAUJO et al., 2021; FRICK et al., 2009)","noteIndex":0},"citationItems":[{"id":222,"uris":["http://zotero.org/users/local/qNA1rS9J/items/DDW897HK"],"itemData":{"id":222,"type":"article-journal","container-title":"Marine Policy","DOI":"10.1016/j.marpol.2021.104465","ISSN":"0308597X","journalAbbreviation":"Marine Policy","language":"en","page":"104465","source":"DOI.org (Crossref)","title":"Growing industrialization and poor conservation planning challenge natural resources' management in the Amazon Shelf off Brazil","volume":"128","author":[{"family":"Araujo","given":"Laís S."},{"family":"Magdalena","given":"Ulises Rodrigo"},{"family":"Louzada","given":"Tayana S."},{"family":"Salomon","given":"Paulo S."},{"family":"Moraes","given":"Fernando C."},{"family":"Ferreira","given":"Beatrice P."},{"family":"Paes","given":"Eduardo T.C."},{"family":"Bastos","given":"Alex C."},{"family":"Pereira","given":"Renato C."},{"family":"Salgado","given":"Leonardo T."},{"family":"Lorini","given":"Maria Lucia"},{"family":"Yager","given":"Patricia"},{"family":"Moura","given":"Rodrigo L."}],"issued":{"date-parts":[["2021",6]]}}},{"id":244,"uris":["http://zotero.org/users/local/qNA1rS9J/items/P8QD445M"],"itemData":{"id":244,"type":"article-journal","container-title":"Endangered Species Research","DOI":"10.3354/esr00227","ISSN":"1863-5407, 1613-4796","journalAbbreviation":"Endang. Species. Res.","language":"en","page":"91-97","source":"DOI.org (Crossref)","title":"Foraging ecology of oceanic-stage loggerhead turtles Caretta caretta","volume":"9","author":[{"family":"Frick","given":"Mg"},{"family":"Williams","given":"Kl"},{"family":"Bolten","given":"Ab"},{"family":"Bjorndal","given":"Ka"},{"family":"Martins","given":"Hr"}],"issued":{"date-parts":[["2009",12,14]]}}}],"schema":"https://github.com/citation-style-language/schema/raw/master/csl-citation.json"} </w:instrText>
      </w:r>
      <w:r w:rsidR="00D43C6B">
        <w:rPr>
          <w:bCs/>
          <w:sz w:val="24"/>
          <w:szCs w:val="24"/>
        </w:rPr>
        <w:fldChar w:fldCharType="separate"/>
      </w:r>
      <w:r w:rsidR="00B025A7" w:rsidRPr="00B025A7">
        <w:rPr>
          <w:sz w:val="24"/>
        </w:rPr>
        <w:t xml:space="preserve">(ARAUJO </w:t>
      </w:r>
      <w:r w:rsidR="00B025A7" w:rsidRPr="00B025A7">
        <w:rPr>
          <w:i/>
          <w:iCs/>
          <w:sz w:val="24"/>
        </w:rPr>
        <w:t>et al.</w:t>
      </w:r>
      <w:r w:rsidR="00B025A7" w:rsidRPr="00B025A7">
        <w:rPr>
          <w:sz w:val="24"/>
        </w:rPr>
        <w:t xml:space="preserve">, 2021; FRICK </w:t>
      </w:r>
      <w:r w:rsidR="00B025A7" w:rsidRPr="00B025A7">
        <w:rPr>
          <w:i/>
          <w:iCs/>
          <w:sz w:val="24"/>
        </w:rPr>
        <w:t>et al.</w:t>
      </w:r>
      <w:r w:rsidR="00B025A7" w:rsidRPr="00B025A7">
        <w:rPr>
          <w:sz w:val="24"/>
        </w:rPr>
        <w:t>, 2009)</w:t>
      </w:r>
      <w:r w:rsidR="00D43C6B">
        <w:rPr>
          <w:bCs/>
          <w:sz w:val="24"/>
          <w:szCs w:val="24"/>
        </w:rPr>
        <w:fldChar w:fldCharType="end"/>
      </w:r>
      <w:r w:rsidRPr="00A83645">
        <w:rPr>
          <w:bCs/>
          <w:sz w:val="24"/>
          <w:szCs w:val="24"/>
          <w:lang w:val="pt-BR"/>
        </w:rPr>
        <w:t>.</w:t>
      </w:r>
      <w:r w:rsidR="00570D37" w:rsidRPr="00A83645">
        <w:rPr>
          <w:bCs/>
          <w:sz w:val="24"/>
          <w:szCs w:val="24"/>
          <w:lang w:val="pt-BR"/>
        </w:rPr>
        <w:t xml:space="preserve"> </w:t>
      </w:r>
      <w:r w:rsidR="00A83645">
        <w:rPr>
          <w:bCs/>
          <w:sz w:val="24"/>
          <w:szCs w:val="24"/>
          <w:lang w:val="pt-BR"/>
        </w:rPr>
        <w:t xml:space="preserve"> </w:t>
      </w:r>
      <w:r w:rsidR="00570D37" w:rsidRPr="00570D37">
        <w:rPr>
          <w:bCs/>
          <w:sz w:val="24"/>
          <w:szCs w:val="24"/>
        </w:rPr>
        <w:t xml:space="preserve">As análises de intersecção e sobreposição dos rasters (Figura </w:t>
      </w:r>
      <w:r w:rsidR="00570D37">
        <w:rPr>
          <w:bCs/>
          <w:sz w:val="24"/>
          <w:szCs w:val="24"/>
        </w:rPr>
        <w:t>3</w:t>
      </w:r>
      <w:r w:rsidR="00570D37" w:rsidRPr="00570D37">
        <w:rPr>
          <w:bCs/>
          <w:sz w:val="24"/>
          <w:szCs w:val="24"/>
        </w:rPr>
        <w:t xml:space="preserve">) destacaram as áreas compartilhadas entre as 4 espécies, no qual são observados outputs similares A imagem contém dois mapas lado a lado, que representam os cálculos de intersecção e sobreposição com os KDEs de </w:t>
      </w:r>
      <w:r w:rsidR="00570D37">
        <w:rPr>
          <w:bCs/>
          <w:sz w:val="24"/>
          <w:szCs w:val="24"/>
        </w:rPr>
        <w:t>100</w:t>
      </w:r>
      <w:r w:rsidR="00570D37" w:rsidRPr="00570D37">
        <w:rPr>
          <w:bCs/>
          <w:sz w:val="24"/>
          <w:szCs w:val="24"/>
        </w:rPr>
        <w:t>% para verificar as áreas compartilhadas pelas espécies de tartarugas marinhas.</w:t>
      </w:r>
    </w:p>
    <w:p w14:paraId="03A977B5" w14:textId="306903A6" w:rsidR="00570D37" w:rsidRPr="00442652" w:rsidRDefault="00570D37" w:rsidP="00442652">
      <w:pPr>
        <w:pStyle w:val="Legenda"/>
        <w:keepNext/>
        <w:jc w:val="center"/>
        <w:rPr>
          <w:i w:val="0"/>
          <w:iCs w:val="0"/>
          <w:color w:val="000000" w:themeColor="text1"/>
          <w:sz w:val="22"/>
          <w:szCs w:val="22"/>
        </w:rPr>
      </w:pPr>
      <w:r w:rsidRPr="00442652">
        <w:rPr>
          <w:i w:val="0"/>
          <w:iCs w:val="0"/>
          <w:color w:val="000000" w:themeColor="text1"/>
          <w:sz w:val="22"/>
          <w:szCs w:val="22"/>
        </w:rPr>
        <w:t xml:space="preserve">Figura </w:t>
      </w:r>
      <w:r w:rsidR="00A83645">
        <w:rPr>
          <w:i w:val="0"/>
          <w:iCs w:val="0"/>
          <w:color w:val="000000" w:themeColor="text1"/>
          <w:sz w:val="22"/>
          <w:szCs w:val="22"/>
        </w:rPr>
        <w:t>2</w:t>
      </w:r>
      <w:r w:rsidRPr="00442652">
        <w:rPr>
          <w:i w:val="0"/>
          <w:iCs w:val="0"/>
          <w:color w:val="000000" w:themeColor="text1"/>
          <w:sz w:val="22"/>
          <w:szCs w:val="22"/>
        </w:rPr>
        <w:t xml:space="preserve"> - Resultado da intersecção de camadas e o cálculo de sobreposição dos rasters indicando as </w:t>
      </w:r>
      <w:r w:rsidRPr="00442652">
        <w:rPr>
          <w:i w:val="0"/>
          <w:iCs w:val="0"/>
          <w:color w:val="000000" w:themeColor="text1"/>
          <w:sz w:val="22"/>
          <w:szCs w:val="22"/>
        </w:rPr>
        <w:lastRenderedPageBreak/>
        <w:t>áreas compartilhadas pelas 4 espécies.</w:t>
      </w:r>
    </w:p>
    <w:p w14:paraId="21A3D53D" w14:textId="77777777" w:rsidR="00570D37" w:rsidRDefault="00570D37" w:rsidP="00442652">
      <w:pPr>
        <w:keepNext/>
        <w:widowControl/>
        <w:tabs>
          <w:tab w:val="left" w:pos="1290"/>
        </w:tabs>
        <w:spacing w:after="160" w:line="360" w:lineRule="auto"/>
        <w:jc w:val="center"/>
      </w:pPr>
      <w:r>
        <w:rPr>
          <w:noProof/>
          <w:sz w:val="24"/>
          <w:szCs w:val="28"/>
        </w:rPr>
        <w:drawing>
          <wp:inline distT="0" distB="0" distL="0" distR="0" wp14:anchorId="0926AD31" wp14:editId="47BDCCB9">
            <wp:extent cx="4038600" cy="1451713"/>
            <wp:effectExtent l="0" t="0" r="0" b="0"/>
            <wp:docPr id="1350254272" name="Imagem 2"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54272" name="Imagem 2" descr="Interface gráfica do usuário, Aplicativo&#10;&#10;Descrição gerada automaticamente"/>
                    <pic:cNvPicPr>
                      <a:picLocks noChangeAspect="1"/>
                    </pic:cNvPicPr>
                  </pic:nvPicPr>
                  <pic:blipFill>
                    <a:blip r:embed="rId8" cstate="print">
                      <a:extLst>
                        <a:ext uri="{28A0092B-C50C-407E-A947-70E740481C1C}">
                          <a14:useLocalDpi xmlns:a14="http://schemas.microsoft.com/office/drawing/2010/main" val="0"/>
                        </a:ext>
                      </a:extLst>
                    </a:blip>
                    <a:srcRect t="6494" r="2105" b="2592"/>
                    <a:stretch>
                      <a:fillRect/>
                    </a:stretch>
                  </pic:blipFill>
                  <pic:spPr>
                    <a:xfrm>
                      <a:off x="0" y="0"/>
                      <a:ext cx="4069056" cy="1462661"/>
                    </a:xfrm>
                    <a:prstGeom prst="rect">
                      <a:avLst/>
                    </a:prstGeom>
                    <a:ln>
                      <a:noFill/>
                    </a:ln>
                  </pic:spPr>
                </pic:pic>
              </a:graphicData>
            </a:graphic>
          </wp:inline>
        </w:drawing>
      </w:r>
    </w:p>
    <w:p w14:paraId="7CEAE26B" w14:textId="68BA922A" w:rsidR="00570D37" w:rsidRPr="00570D37" w:rsidRDefault="00570D37" w:rsidP="00570D37">
      <w:pPr>
        <w:pStyle w:val="Legenda"/>
        <w:jc w:val="both"/>
        <w:rPr>
          <w:bCs/>
          <w:i w:val="0"/>
          <w:iCs w:val="0"/>
          <w:color w:val="000000" w:themeColor="text1"/>
          <w:sz w:val="28"/>
          <w:szCs w:val="28"/>
        </w:rPr>
      </w:pPr>
      <w:r w:rsidRPr="00570D37">
        <w:rPr>
          <w:i w:val="0"/>
          <w:iCs w:val="0"/>
          <w:color w:val="000000" w:themeColor="text1"/>
          <w:sz w:val="20"/>
          <w:szCs w:val="20"/>
        </w:rPr>
        <w:t>Fonte: O autor (2024).</w:t>
      </w:r>
    </w:p>
    <w:p w14:paraId="33A2393E" w14:textId="2E4EC1F7" w:rsidR="00442652" w:rsidRDefault="00570D37" w:rsidP="00814D9C">
      <w:pPr>
        <w:widowControl/>
        <w:tabs>
          <w:tab w:val="left" w:pos="1290"/>
        </w:tabs>
        <w:spacing w:after="160" w:line="360" w:lineRule="auto"/>
        <w:jc w:val="both"/>
        <w:rPr>
          <w:bCs/>
          <w:sz w:val="24"/>
          <w:szCs w:val="24"/>
        </w:rPr>
      </w:pPr>
      <w:r>
        <w:rPr>
          <w:bCs/>
          <w:sz w:val="24"/>
          <w:szCs w:val="24"/>
        </w:rPr>
        <w:t xml:space="preserve">          </w:t>
      </w:r>
      <w:r w:rsidRPr="00570D37">
        <w:rPr>
          <w:bCs/>
          <w:sz w:val="24"/>
          <w:szCs w:val="24"/>
        </w:rPr>
        <w:t xml:space="preserve">No mapa "Intersecção", as áreas em azul escuro representam regiões onde os home ranges (KDEs de </w:t>
      </w:r>
      <w:r>
        <w:rPr>
          <w:bCs/>
          <w:sz w:val="24"/>
          <w:szCs w:val="24"/>
        </w:rPr>
        <w:t>100</w:t>
      </w:r>
      <w:r w:rsidRPr="00570D37">
        <w:rPr>
          <w:bCs/>
          <w:sz w:val="24"/>
          <w:szCs w:val="24"/>
        </w:rPr>
        <w:t>%) de todas as espécies de tartarugas marinhas se sobrepõem, indicando zonas críticas compartilhadas que são essenciais para a sobrevivência de todas as espécies. Essas áreas são prioritárias para a conservação devido à sua alta importância ecológica.</w:t>
      </w:r>
      <w:r>
        <w:rPr>
          <w:bCs/>
          <w:sz w:val="24"/>
          <w:szCs w:val="24"/>
        </w:rPr>
        <w:t xml:space="preserve"> </w:t>
      </w:r>
      <w:r w:rsidRPr="00570D37">
        <w:rPr>
          <w:bCs/>
          <w:sz w:val="24"/>
          <w:szCs w:val="24"/>
        </w:rPr>
        <w:t>Já no mapa "Sobreposição", as áreas em azul claro mostram onde os home ranges de pelo menos duas espécies se sobrepõem. Essas regiões, usadas por múltiplas espécies, podem atuar como corredores ecológicos, facilitando o movimento e a interação entre as populações de tartarugas.</w:t>
      </w:r>
      <w:r w:rsidR="00442652">
        <w:rPr>
          <w:bCs/>
          <w:sz w:val="24"/>
          <w:szCs w:val="24"/>
        </w:rPr>
        <w:t xml:space="preserve"> </w:t>
      </w:r>
      <w:r w:rsidR="00A83645">
        <w:rPr>
          <w:bCs/>
          <w:sz w:val="24"/>
          <w:szCs w:val="24"/>
        </w:rPr>
        <w:t xml:space="preserve">        </w:t>
      </w:r>
      <w:r w:rsidR="00056A5F" w:rsidRPr="00056A5F">
        <w:rPr>
          <w:bCs/>
          <w:sz w:val="24"/>
          <w:szCs w:val="24"/>
        </w:rPr>
        <w:t>O PCA revela como as quatro espécies de tartarugas (</w:t>
      </w:r>
      <w:r w:rsidR="00056A5F">
        <w:rPr>
          <w:bCs/>
          <w:sz w:val="24"/>
          <w:szCs w:val="24"/>
        </w:rPr>
        <w:t xml:space="preserve">figura </w:t>
      </w:r>
      <w:r w:rsidR="00B025A7">
        <w:rPr>
          <w:bCs/>
          <w:sz w:val="24"/>
          <w:szCs w:val="24"/>
        </w:rPr>
        <w:t>3</w:t>
      </w:r>
      <w:r w:rsidR="00056A5F">
        <w:rPr>
          <w:bCs/>
          <w:sz w:val="24"/>
          <w:szCs w:val="24"/>
        </w:rPr>
        <w:t>)</w:t>
      </w:r>
      <w:r w:rsidR="00056A5F" w:rsidRPr="00056A5F">
        <w:rPr>
          <w:bCs/>
          <w:sz w:val="24"/>
          <w:szCs w:val="24"/>
        </w:rPr>
        <w:t xml:space="preserve"> se distribuem em relação a</w:t>
      </w:r>
      <w:r w:rsidR="00056A5F">
        <w:rPr>
          <w:bCs/>
          <w:sz w:val="24"/>
          <w:szCs w:val="24"/>
        </w:rPr>
        <w:t>s</w:t>
      </w:r>
      <w:r w:rsidR="00056A5F" w:rsidRPr="00056A5F">
        <w:rPr>
          <w:bCs/>
          <w:sz w:val="24"/>
          <w:szCs w:val="24"/>
        </w:rPr>
        <w:t xml:space="preserve"> variáveis ambientais</w:t>
      </w:r>
      <w:r w:rsidR="00056A5F">
        <w:rPr>
          <w:bCs/>
          <w:sz w:val="24"/>
          <w:szCs w:val="24"/>
        </w:rPr>
        <w:t xml:space="preserve">. </w:t>
      </w:r>
      <w:r w:rsidR="00056A5F" w:rsidRPr="00056A5F">
        <w:rPr>
          <w:bCs/>
          <w:sz w:val="24"/>
          <w:szCs w:val="24"/>
        </w:rPr>
        <w:t xml:space="preserve">A primeira dimensão (Dim1), que explica 71,1% da variação, destaca a associação de </w:t>
      </w:r>
      <w:r w:rsidR="00056A5F" w:rsidRPr="00056A5F">
        <w:rPr>
          <w:bCs/>
          <w:i/>
          <w:iCs/>
          <w:sz w:val="24"/>
          <w:szCs w:val="24"/>
        </w:rPr>
        <w:t>Caretta caretta</w:t>
      </w:r>
      <w:r w:rsidR="00056A5F" w:rsidRPr="00056A5F">
        <w:rPr>
          <w:bCs/>
          <w:sz w:val="24"/>
          <w:szCs w:val="24"/>
        </w:rPr>
        <w:t xml:space="preserve"> com águas mais profundas e possivelmente frias, enquanto </w:t>
      </w:r>
      <w:r w:rsidR="00056A5F" w:rsidRPr="00056A5F">
        <w:rPr>
          <w:bCs/>
          <w:i/>
          <w:iCs/>
          <w:sz w:val="24"/>
          <w:szCs w:val="24"/>
        </w:rPr>
        <w:t xml:space="preserve">Chelonia mydas </w:t>
      </w:r>
      <w:r w:rsidR="00056A5F" w:rsidRPr="00056A5F">
        <w:rPr>
          <w:bCs/>
          <w:sz w:val="24"/>
          <w:szCs w:val="24"/>
        </w:rPr>
        <w:t xml:space="preserve">e </w:t>
      </w:r>
      <w:r w:rsidR="00056A5F" w:rsidRPr="00056A5F">
        <w:rPr>
          <w:bCs/>
          <w:i/>
          <w:iCs/>
          <w:sz w:val="24"/>
          <w:szCs w:val="24"/>
        </w:rPr>
        <w:t>Lepidochelys olivacea</w:t>
      </w:r>
      <w:r w:rsidR="00056A5F">
        <w:rPr>
          <w:bCs/>
          <w:sz w:val="24"/>
          <w:szCs w:val="24"/>
        </w:rPr>
        <w:t xml:space="preserve"> </w:t>
      </w:r>
      <w:r w:rsidR="00056A5F" w:rsidRPr="00056A5F">
        <w:rPr>
          <w:bCs/>
          <w:sz w:val="24"/>
          <w:szCs w:val="24"/>
        </w:rPr>
        <w:t>estão associadas a condições ambientais intermediárias, próximas à origem, e Eretmochelys imbricata</w:t>
      </w:r>
      <w:r w:rsidR="00056A5F">
        <w:rPr>
          <w:bCs/>
          <w:sz w:val="24"/>
          <w:szCs w:val="24"/>
        </w:rPr>
        <w:t xml:space="preserve"> </w:t>
      </w:r>
      <w:r w:rsidR="00056A5F" w:rsidRPr="00056A5F">
        <w:rPr>
          <w:bCs/>
          <w:sz w:val="24"/>
          <w:szCs w:val="24"/>
        </w:rPr>
        <w:t>apresenta uma distribuição ambiental mais ampla. As variáveis TSM e PROF são as mais influentes, sugerindo que a profundidade e a temperatura são os principais fatores que moldam a distribuição das espécies no espaço ambiental.</w:t>
      </w:r>
    </w:p>
    <w:p w14:paraId="635B7C50" w14:textId="1A50567F" w:rsidR="00056A5F" w:rsidRPr="00442652" w:rsidRDefault="00056A5F" w:rsidP="00442652">
      <w:pPr>
        <w:pStyle w:val="Legenda"/>
        <w:keepNext/>
        <w:jc w:val="center"/>
        <w:rPr>
          <w:i w:val="0"/>
          <w:iCs w:val="0"/>
          <w:color w:val="000000" w:themeColor="text1"/>
          <w:sz w:val="22"/>
          <w:szCs w:val="22"/>
        </w:rPr>
      </w:pPr>
      <w:r w:rsidRPr="00442652">
        <w:rPr>
          <w:i w:val="0"/>
          <w:iCs w:val="0"/>
          <w:color w:val="000000" w:themeColor="text1"/>
          <w:sz w:val="22"/>
          <w:szCs w:val="22"/>
        </w:rPr>
        <w:t xml:space="preserve">Figura </w:t>
      </w:r>
      <w:r w:rsidR="00A83645">
        <w:rPr>
          <w:i w:val="0"/>
          <w:iCs w:val="0"/>
          <w:color w:val="000000" w:themeColor="text1"/>
          <w:sz w:val="22"/>
          <w:szCs w:val="22"/>
        </w:rPr>
        <w:t>3</w:t>
      </w:r>
      <w:r w:rsidRPr="00442652">
        <w:rPr>
          <w:i w:val="0"/>
          <w:iCs w:val="0"/>
          <w:color w:val="000000" w:themeColor="text1"/>
          <w:sz w:val="22"/>
          <w:szCs w:val="22"/>
        </w:rPr>
        <w:t xml:space="preserve"> – Análise de Componentes Principais comparando as variaveis ambientais por espécie de </w:t>
      </w:r>
      <w:r w:rsidRPr="00442652">
        <w:rPr>
          <w:i w:val="0"/>
          <w:iCs w:val="0"/>
          <w:color w:val="000000" w:themeColor="text1"/>
          <w:sz w:val="22"/>
          <w:szCs w:val="22"/>
        </w:rPr>
        <w:lastRenderedPageBreak/>
        <w:t>tartaruga</w:t>
      </w:r>
    </w:p>
    <w:p w14:paraId="60D6FB5D" w14:textId="77777777" w:rsidR="00056A5F" w:rsidRDefault="00056A5F" w:rsidP="00442652">
      <w:pPr>
        <w:keepNext/>
        <w:widowControl/>
        <w:tabs>
          <w:tab w:val="left" w:pos="1290"/>
        </w:tabs>
        <w:spacing w:after="160" w:line="360" w:lineRule="auto"/>
        <w:jc w:val="center"/>
      </w:pPr>
      <w:r>
        <w:rPr>
          <w:bCs/>
          <w:noProof/>
          <w:sz w:val="24"/>
          <w:szCs w:val="24"/>
        </w:rPr>
        <w:drawing>
          <wp:inline distT="0" distB="0" distL="0" distR="0" wp14:anchorId="36060A63" wp14:editId="5A5AE0F9">
            <wp:extent cx="2933700" cy="1959944"/>
            <wp:effectExtent l="0" t="0" r="0" b="2540"/>
            <wp:docPr id="1400333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33164" name="Imagem 1400333164"/>
                    <pic:cNvPicPr/>
                  </pic:nvPicPr>
                  <pic:blipFill rotWithShape="1">
                    <a:blip r:embed="rId9" cstate="print">
                      <a:extLst>
                        <a:ext uri="{28A0092B-C50C-407E-A947-70E740481C1C}">
                          <a14:useLocalDpi xmlns:a14="http://schemas.microsoft.com/office/drawing/2010/main" val="0"/>
                        </a:ext>
                      </a:extLst>
                    </a:blip>
                    <a:srcRect l="1238" t="6684" r="1365" b="1281"/>
                    <a:stretch/>
                  </pic:blipFill>
                  <pic:spPr bwMode="auto">
                    <a:xfrm>
                      <a:off x="0" y="0"/>
                      <a:ext cx="2955194" cy="1974303"/>
                    </a:xfrm>
                    <a:prstGeom prst="rect">
                      <a:avLst/>
                    </a:prstGeom>
                    <a:ln>
                      <a:noFill/>
                    </a:ln>
                    <a:extLst>
                      <a:ext uri="{53640926-AAD7-44D8-BBD7-CCE9431645EC}">
                        <a14:shadowObscured xmlns:a14="http://schemas.microsoft.com/office/drawing/2010/main"/>
                      </a:ext>
                    </a:extLst>
                  </pic:spPr>
                </pic:pic>
              </a:graphicData>
            </a:graphic>
          </wp:inline>
        </w:drawing>
      </w:r>
    </w:p>
    <w:p w14:paraId="33A5D8AB" w14:textId="655FF155" w:rsidR="00056A5F" w:rsidRPr="00056A5F" w:rsidRDefault="00056A5F" w:rsidP="00056A5F">
      <w:pPr>
        <w:pStyle w:val="Legenda"/>
        <w:jc w:val="both"/>
        <w:rPr>
          <w:bCs/>
          <w:i w:val="0"/>
          <w:iCs w:val="0"/>
          <w:color w:val="000000" w:themeColor="text1"/>
          <w:sz w:val="28"/>
          <w:szCs w:val="28"/>
        </w:rPr>
      </w:pPr>
      <w:r w:rsidRPr="00056A5F">
        <w:rPr>
          <w:i w:val="0"/>
          <w:iCs w:val="0"/>
          <w:color w:val="000000" w:themeColor="text1"/>
          <w:sz w:val="20"/>
          <w:szCs w:val="20"/>
        </w:rPr>
        <w:t>Fonte: O autor (2024).</w:t>
      </w:r>
    </w:p>
    <w:p w14:paraId="66380BAA" w14:textId="6120FDE3" w:rsidR="00570D37" w:rsidRDefault="00442652" w:rsidP="00814D9C">
      <w:pPr>
        <w:widowControl/>
        <w:tabs>
          <w:tab w:val="left" w:pos="1290"/>
        </w:tabs>
        <w:spacing w:after="160" w:line="360" w:lineRule="auto"/>
        <w:jc w:val="both"/>
        <w:rPr>
          <w:sz w:val="24"/>
          <w:szCs w:val="28"/>
        </w:rPr>
      </w:pPr>
      <w:r>
        <w:rPr>
          <w:sz w:val="24"/>
          <w:szCs w:val="28"/>
        </w:rPr>
        <w:t xml:space="preserve">Podemos ver na tabela 1 que as variáveis ambientais apresentam maior poder de explicação para as espécies </w:t>
      </w:r>
      <w:r>
        <w:rPr>
          <w:i/>
          <w:iCs/>
          <w:sz w:val="24"/>
          <w:szCs w:val="28"/>
        </w:rPr>
        <w:t>C. caretta</w:t>
      </w:r>
      <w:r>
        <w:rPr>
          <w:sz w:val="24"/>
          <w:szCs w:val="28"/>
        </w:rPr>
        <w:t xml:space="preserve"> e </w:t>
      </w:r>
      <w:r>
        <w:rPr>
          <w:i/>
          <w:iCs/>
          <w:sz w:val="24"/>
          <w:szCs w:val="28"/>
        </w:rPr>
        <w:t>L. olivacea</w:t>
      </w:r>
      <w:r>
        <w:rPr>
          <w:sz w:val="24"/>
          <w:szCs w:val="28"/>
        </w:rPr>
        <w:t xml:space="preserve">, além de uma forte relação para </w:t>
      </w:r>
      <w:r w:rsidRPr="0069696D">
        <w:rPr>
          <w:i/>
          <w:iCs/>
          <w:sz w:val="24"/>
          <w:szCs w:val="28"/>
        </w:rPr>
        <w:t>E. imbricata</w:t>
      </w:r>
      <w:r>
        <w:rPr>
          <w:sz w:val="24"/>
          <w:szCs w:val="28"/>
        </w:rPr>
        <w:t xml:space="preserve">, no entanto apesar de significativa,o poder de explicação destas para </w:t>
      </w:r>
      <w:r>
        <w:rPr>
          <w:i/>
          <w:iCs/>
          <w:sz w:val="24"/>
          <w:szCs w:val="28"/>
        </w:rPr>
        <w:t>C.mydas</w:t>
      </w:r>
      <w:r>
        <w:rPr>
          <w:sz w:val="24"/>
          <w:szCs w:val="28"/>
        </w:rPr>
        <w:t xml:space="preserve"> foi de apenas 16%, possivelmente outras variáveis ambientais ou aspectos comportamentais e estocásticos explicariam melhor o padrão de movimentação desta espécie na área de estudo.</w:t>
      </w:r>
    </w:p>
    <w:p w14:paraId="1EC37C96" w14:textId="2F525526" w:rsidR="00442652" w:rsidRPr="00442652" w:rsidRDefault="00442652" w:rsidP="00442652">
      <w:pPr>
        <w:pStyle w:val="Legenda"/>
        <w:keepNext/>
        <w:jc w:val="both"/>
        <w:rPr>
          <w:i w:val="0"/>
          <w:iCs w:val="0"/>
          <w:color w:val="000000" w:themeColor="text1"/>
          <w:sz w:val="22"/>
          <w:szCs w:val="22"/>
        </w:rPr>
      </w:pPr>
      <w:r w:rsidRPr="00442652">
        <w:rPr>
          <w:i w:val="0"/>
          <w:iCs w:val="0"/>
          <w:color w:val="000000" w:themeColor="text1"/>
          <w:sz w:val="22"/>
          <w:szCs w:val="22"/>
        </w:rPr>
        <w:t xml:space="preserve">Tabela </w:t>
      </w:r>
      <w:r w:rsidRPr="00442652">
        <w:rPr>
          <w:i w:val="0"/>
          <w:iCs w:val="0"/>
          <w:color w:val="000000" w:themeColor="text1"/>
          <w:sz w:val="22"/>
          <w:szCs w:val="22"/>
        </w:rPr>
        <w:fldChar w:fldCharType="begin"/>
      </w:r>
      <w:r w:rsidRPr="00442652">
        <w:rPr>
          <w:i w:val="0"/>
          <w:iCs w:val="0"/>
          <w:color w:val="000000" w:themeColor="text1"/>
          <w:sz w:val="22"/>
          <w:szCs w:val="22"/>
        </w:rPr>
        <w:instrText xml:space="preserve"> SEQ Tabela \* ARABIC </w:instrText>
      </w:r>
      <w:r w:rsidRPr="00442652">
        <w:rPr>
          <w:i w:val="0"/>
          <w:iCs w:val="0"/>
          <w:color w:val="000000" w:themeColor="text1"/>
          <w:sz w:val="22"/>
          <w:szCs w:val="22"/>
        </w:rPr>
        <w:fldChar w:fldCharType="separate"/>
      </w:r>
      <w:r w:rsidRPr="00442652">
        <w:rPr>
          <w:i w:val="0"/>
          <w:iCs w:val="0"/>
          <w:noProof/>
          <w:color w:val="000000" w:themeColor="text1"/>
          <w:sz w:val="22"/>
          <w:szCs w:val="22"/>
        </w:rPr>
        <w:t>1</w:t>
      </w:r>
      <w:r w:rsidRPr="00442652">
        <w:rPr>
          <w:i w:val="0"/>
          <w:iCs w:val="0"/>
          <w:color w:val="000000" w:themeColor="text1"/>
          <w:sz w:val="22"/>
          <w:szCs w:val="22"/>
        </w:rPr>
        <w:fldChar w:fldCharType="end"/>
      </w:r>
      <w:r w:rsidRPr="00442652">
        <w:rPr>
          <w:i w:val="0"/>
          <w:iCs w:val="0"/>
          <w:color w:val="000000" w:themeColor="text1"/>
          <w:sz w:val="22"/>
          <w:szCs w:val="22"/>
        </w:rPr>
        <w:t xml:space="preserve"> - Resultados da estatística de Procrustes relacionando as variáveis ambientais e espaciais por espécie</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766"/>
        <w:gridCol w:w="1644"/>
        <w:gridCol w:w="756"/>
        <w:gridCol w:w="1559"/>
        <w:gridCol w:w="1392"/>
      </w:tblGrid>
      <w:tr w:rsidR="00442652" w14:paraId="41390CE1" w14:textId="77777777" w:rsidTr="00B66181">
        <w:trPr>
          <w:trHeight w:val="278"/>
        </w:trPr>
        <w:tc>
          <w:tcPr>
            <w:tcW w:w="2836" w:type="dxa"/>
            <w:tcBorders>
              <w:top w:val="single" w:sz="4" w:space="0" w:color="auto"/>
              <w:bottom w:val="single" w:sz="4" w:space="0" w:color="auto"/>
            </w:tcBorders>
            <w:vAlign w:val="center"/>
          </w:tcPr>
          <w:p w14:paraId="7EBA1E42" w14:textId="77777777" w:rsidR="00442652" w:rsidRDefault="00442652" w:rsidP="00B66181">
            <w:pPr>
              <w:spacing w:line="360" w:lineRule="auto"/>
              <w:rPr>
                <w:b/>
                <w:bCs/>
                <w:sz w:val="24"/>
                <w:szCs w:val="24"/>
              </w:rPr>
            </w:pPr>
            <w:r>
              <w:rPr>
                <w:b/>
                <w:bCs/>
                <w:color w:val="000000"/>
                <w:sz w:val="24"/>
                <w:szCs w:val="24"/>
              </w:rPr>
              <w:t>Espécie</w:t>
            </w:r>
          </w:p>
        </w:tc>
        <w:tc>
          <w:tcPr>
            <w:tcW w:w="766" w:type="dxa"/>
            <w:tcBorders>
              <w:top w:val="single" w:sz="4" w:space="0" w:color="auto"/>
              <w:bottom w:val="single" w:sz="4" w:space="0" w:color="auto"/>
            </w:tcBorders>
            <w:vAlign w:val="center"/>
          </w:tcPr>
          <w:p w14:paraId="4527C23D" w14:textId="77777777" w:rsidR="00442652" w:rsidRDefault="00442652" w:rsidP="00B66181">
            <w:pPr>
              <w:spacing w:line="360" w:lineRule="auto"/>
              <w:jc w:val="center"/>
              <w:rPr>
                <w:b/>
                <w:bCs/>
                <w:sz w:val="24"/>
                <w:szCs w:val="24"/>
              </w:rPr>
            </w:pPr>
            <w:r>
              <w:rPr>
                <w:b/>
                <w:bCs/>
                <w:color w:val="000000"/>
                <w:sz w:val="24"/>
                <w:szCs w:val="24"/>
              </w:rPr>
              <w:t>r</w:t>
            </w:r>
          </w:p>
        </w:tc>
        <w:tc>
          <w:tcPr>
            <w:tcW w:w="1644" w:type="dxa"/>
            <w:tcBorders>
              <w:top w:val="single" w:sz="4" w:space="0" w:color="auto"/>
              <w:bottom w:val="single" w:sz="4" w:space="0" w:color="auto"/>
            </w:tcBorders>
            <w:vAlign w:val="center"/>
          </w:tcPr>
          <w:p w14:paraId="2153662B" w14:textId="77777777" w:rsidR="00442652" w:rsidRDefault="00442652" w:rsidP="00B66181">
            <w:pPr>
              <w:spacing w:line="360" w:lineRule="auto"/>
              <w:jc w:val="center"/>
              <w:rPr>
                <w:b/>
                <w:bCs/>
                <w:sz w:val="24"/>
                <w:szCs w:val="24"/>
              </w:rPr>
            </w:pPr>
            <w:r>
              <w:rPr>
                <w:b/>
                <w:bCs/>
                <w:color w:val="000000"/>
                <w:sz w:val="24"/>
                <w:szCs w:val="24"/>
              </w:rPr>
              <w:t>Força</w:t>
            </w:r>
          </w:p>
        </w:tc>
        <w:tc>
          <w:tcPr>
            <w:tcW w:w="756" w:type="dxa"/>
            <w:tcBorders>
              <w:top w:val="single" w:sz="4" w:space="0" w:color="auto"/>
              <w:bottom w:val="single" w:sz="4" w:space="0" w:color="auto"/>
            </w:tcBorders>
            <w:vAlign w:val="center"/>
          </w:tcPr>
          <w:p w14:paraId="17834874" w14:textId="77777777" w:rsidR="00442652" w:rsidRDefault="00442652" w:rsidP="00B66181">
            <w:pPr>
              <w:spacing w:line="360" w:lineRule="auto"/>
              <w:jc w:val="center"/>
              <w:rPr>
                <w:b/>
                <w:bCs/>
                <w:sz w:val="24"/>
                <w:szCs w:val="24"/>
              </w:rPr>
            </w:pPr>
            <w:r>
              <w:rPr>
                <w:b/>
                <w:bCs/>
                <w:color w:val="000000"/>
                <w:sz w:val="24"/>
                <w:szCs w:val="24"/>
              </w:rPr>
              <w:t>R²</w:t>
            </w:r>
          </w:p>
        </w:tc>
        <w:tc>
          <w:tcPr>
            <w:tcW w:w="1559" w:type="dxa"/>
            <w:tcBorders>
              <w:top w:val="single" w:sz="4" w:space="0" w:color="auto"/>
              <w:bottom w:val="single" w:sz="4" w:space="0" w:color="auto"/>
            </w:tcBorders>
            <w:vAlign w:val="center"/>
          </w:tcPr>
          <w:p w14:paraId="227F52E6" w14:textId="77777777" w:rsidR="00442652" w:rsidRDefault="00442652" w:rsidP="00B66181">
            <w:pPr>
              <w:spacing w:line="360" w:lineRule="auto"/>
              <w:jc w:val="center"/>
              <w:rPr>
                <w:b/>
                <w:bCs/>
                <w:sz w:val="24"/>
                <w:szCs w:val="24"/>
              </w:rPr>
            </w:pPr>
            <w:r>
              <w:rPr>
                <w:b/>
                <w:bCs/>
                <w:color w:val="000000"/>
                <w:sz w:val="24"/>
                <w:szCs w:val="24"/>
              </w:rPr>
              <w:t>% Explicada</w:t>
            </w:r>
          </w:p>
        </w:tc>
        <w:tc>
          <w:tcPr>
            <w:tcW w:w="1392" w:type="dxa"/>
            <w:tcBorders>
              <w:top w:val="single" w:sz="4" w:space="0" w:color="auto"/>
              <w:bottom w:val="single" w:sz="4" w:space="0" w:color="auto"/>
            </w:tcBorders>
            <w:vAlign w:val="center"/>
          </w:tcPr>
          <w:p w14:paraId="099C0358" w14:textId="77777777" w:rsidR="00442652" w:rsidRDefault="00442652" w:rsidP="00B66181">
            <w:pPr>
              <w:spacing w:line="360" w:lineRule="auto"/>
              <w:jc w:val="center"/>
              <w:rPr>
                <w:b/>
                <w:bCs/>
                <w:sz w:val="24"/>
                <w:szCs w:val="24"/>
              </w:rPr>
            </w:pPr>
            <w:r>
              <w:rPr>
                <w:b/>
                <w:bCs/>
                <w:i/>
                <w:iCs/>
                <w:color w:val="000000"/>
                <w:sz w:val="24"/>
                <w:szCs w:val="24"/>
              </w:rPr>
              <w:t>p</w:t>
            </w:r>
            <w:r>
              <w:rPr>
                <w:b/>
                <w:bCs/>
                <w:color w:val="000000"/>
                <w:sz w:val="24"/>
                <w:szCs w:val="24"/>
              </w:rPr>
              <w:t xml:space="preserve"> valor</w:t>
            </w:r>
          </w:p>
        </w:tc>
      </w:tr>
      <w:tr w:rsidR="00442652" w14:paraId="64F611D7" w14:textId="77777777" w:rsidTr="00B66181">
        <w:tc>
          <w:tcPr>
            <w:tcW w:w="2836" w:type="dxa"/>
            <w:tcBorders>
              <w:top w:val="single" w:sz="4" w:space="0" w:color="auto"/>
            </w:tcBorders>
            <w:vAlign w:val="center"/>
          </w:tcPr>
          <w:p w14:paraId="44AFD946" w14:textId="77777777" w:rsidR="00442652" w:rsidRDefault="00442652" w:rsidP="00B66181">
            <w:pPr>
              <w:spacing w:line="360" w:lineRule="auto"/>
              <w:rPr>
                <w:i/>
                <w:iCs/>
                <w:sz w:val="24"/>
                <w:szCs w:val="24"/>
              </w:rPr>
            </w:pPr>
            <w:r>
              <w:rPr>
                <w:i/>
                <w:iCs/>
                <w:color w:val="000000"/>
                <w:sz w:val="24"/>
                <w:szCs w:val="24"/>
              </w:rPr>
              <w:t>Caretta caretta</w:t>
            </w:r>
          </w:p>
        </w:tc>
        <w:tc>
          <w:tcPr>
            <w:tcW w:w="766" w:type="dxa"/>
            <w:tcBorders>
              <w:top w:val="single" w:sz="4" w:space="0" w:color="auto"/>
            </w:tcBorders>
            <w:vAlign w:val="center"/>
          </w:tcPr>
          <w:p w14:paraId="292F1B7D" w14:textId="77777777" w:rsidR="00442652" w:rsidRDefault="00442652" w:rsidP="00B66181">
            <w:pPr>
              <w:spacing w:line="360" w:lineRule="auto"/>
              <w:jc w:val="center"/>
              <w:rPr>
                <w:sz w:val="24"/>
                <w:szCs w:val="24"/>
              </w:rPr>
            </w:pPr>
            <w:r>
              <w:rPr>
                <w:color w:val="000000"/>
                <w:sz w:val="24"/>
                <w:szCs w:val="24"/>
              </w:rPr>
              <w:t>0.91</w:t>
            </w:r>
          </w:p>
        </w:tc>
        <w:tc>
          <w:tcPr>
            <w:tcW w:w="1644" w:type="dxa"/>
            <w:tcBorders>
              <w:top w:val="single" w:sz="4" w:space="0" w:color="auto"/>
            </w:tcBorders>
            <w:vAlign w:val="center"/>
          </w:tcPr>
          <w:p w14:paraId="0F3E41B6" w14:textId="77777777" w:rsidR="00442652" w:rsidRDefault="00442652" w:rsidP="00B66181">
            <w:pPr>
              <w:spacing w:line="360" w:lineRule="auto"/>
              <w:jc w:val="center"/>
              <w:rPr>
                <w:sz w:val="24"/>
                <w:szCs w:val="24"/>
              </w:rPr>
            </w:pPr>
            <w:r>
              <w:rPr>
                <w:color w:val="000000"/>
                <w:sz w:val="24"/>
                <w:szCs w:val="24"/>
              </w:rPr>
              <w:t>Muito forte</w:t>
            </w:r>
          </w:p>
        </w:tc>
        <w:tc>
          <w:tcPr>
            <w:tcW w:w="756" w:type="dxa"/>
            <w:tcBorders>
              <w:top w:val="single" w:sz="4" w:space="0" w:color="auto"/>
            </w:tcBorders>
            <w:vAlign w:val="center"/>
          </w:tcPr>
          <w:p w14:paraId="626B988A" w14:textId="77777777" w:rsidR="00442652" w:rsidRDefault="00442652" w:rsidP="00B66181">
            <w:pPr>
              <w:spacing w:line="360" w:lineRule="auto"/>
              <w:jc w:val="center"/>
              <w:rPr>
                <w:sz w:val="24"/>
                <w:szCs w:val="24"/>
              </w:rPr>
            </w:pPr>
            <w:r>
              <w:rPr>
                <w:color w:val="000000"/>
                <w:sz w:val="24"/>
                <w:szCs w:val="24"/>
              </w:rPr>
              <w:t>0.828</w:t>
            </w:r>
          </w:p>
        </w:tc>
        <w:tc>
          <w:tcPr>
            <w:tcW w:w="1559" w:type="dxa"/>
            <w:tcBorders>
              <w:top w:val="single" w:sz="4" w:space="0" w:color="auto"/>
            </w:tcBorders>
            <w:vAlign w:val="center"/>
          </w:tcPr>
          <w:p w14:paraId="54C7D387" w14:textId="77777777" w:rsidR="00442652" w:rsidRDefault="00442652" w:rsidP="00B66181">
            <w:pPr>
              <w:spacing w:line="360" w:lineRule="auto"/>
              <w:jc w:val="center"/>
              <w:rPr>
                <w:sz w:val="24"/>
                <w:szCs w:val="24"/>
              </w:rPr>
            </w:pPr>
            <w:r>
              <w:rPr>
                <w:color w:val="000000"/>
                <w:sz w:val="24"/>
                <w:szCs w:val="24"/>
              </w:rPr>
              <w:t>82%</w:t>
            </w:r>
          </w:p>
        </w:tc>
        <w:tc>
          <w:tcPr>
            <w:tcW w:w="1392" w:type="dxa"/>
            <w:tcBorders>
              <w:top w:val="single" w:sz="4" w:space="0" w:color="auto"/>
            </w:tcBorders>
            <w:vAlign w:val="center"/>
          </w:tcPr>
          <w:p w14:paraId="110AC361" w14:textId="77777777" w:rsidR="00442652" w:rsidRDefault="00442652" w:rsidP="00B66181">
            <w:pPr>
              <w:spacing w:line="360" w:lineRule="auto"/>
              <w:jc w:val="center"/>
              <w:rPr>
                <w:sz w:val="24"/>
                <w:szCs w:val="24"/>
              </w:rPr>
            </w:pPr>
            <w:r>
              <w:rPr>
                <w:color w:val="000000"/>
                <w:sz w:val="24"/>
                <w:szCs w:val="24"/>
              </w:rPr>
              <w:t>&lt; 0.0001</w:t>
            </w:r>
          </w:p>
        </w:tc>
      </w:tr>
      <w:tr w:rsidR="00442652" w14:paraId="682D6156" w14:textId="77777777" w:rsidTr="00B66181">
        <w:tc>
          <w:tcPr>
            <w:tcW w:w="2836" w:type="dxa"/>
            <w:vAlign w:val="center"/>
          </w:tcPr>
          <w:p w14:paraId="4F174863" w14:textId="77777777" w:rsidR="00442652" w:rsidRDefault="00442652" w:rsidP="00B66181">
            <w:pPr>
              <w:spacing w:line="360" w:lineRule="auto"/>
              <w:rPr>
                <w:i/>
                <w:iCs/>
                <w:sz w:val="24"/>
                <w:szCs w:val="24"/>
              </w:rPr>
            </w:pPr>
            <w:r>
              <w:rPr>
                <w:i/>
                <w:iCs/>
                <w:color w:val="000000"/>
                <w:sz w:val="24"/>
                <w:szCs w:val="24"/>
              </w:rPr>
              <w:t>Chelonia mydas</w:t>
            </w:r>
          </w:p>
        </w:tc>
        <w:tc>
          <w:tcPr>
            <w:tcW w:w="766" w:type="dxa"/>
            <w:vAlign w:val="center"/>
          </w:tcPr>
          <w:p w14:paraId="4B40CB4A" w14:textId="77777777" w:rsidR="00442652" w:rsidRDefault="00442652" w:rsidP="00B66181">
            <w:pPr>
              <w:spacing w:line="360" w:lineRule="auto"/>
              <w:jc w:val="center"/>
              <w:rPr>
                <w:sz w:val="24"/>
                <w:szCs w:val="24"/>
              </w:rPr>
            </w:pPr>
            <w:r>
              <w:rPr>
                <w:color w:val="000000"/>
                <w:sz w:val="24"/>
                <w:szCs w:val="24"/>
              </w:rPr>
              <w:t>0.405</w:t>
            </w:r>
          </w:p>
        </w:tc>
        <w:tc>
          <w:tcPr>
            <w:tcW w:w="1644" w:type="dxa"/>
            <w:vAlign w:val="center"/>
          </w:tcPr>
          <w:p w14:paraId="0FC3C11C" w14:textId="77777777" w:rsidR="00442652" w:rsidRDefault="00442652" w:rsidP="00B66181">
            <w:pPr>
              <w:spacing w:line="360" w:lineRule="auto"/>
              <w:jc w:val="center"/>
              <w:rPr>
                <w:sz w:val="24"/>
                <w:szCs w:val="24"/>
              </w:rPr>
            </w:pPr>
            <w:r>
              <w:rPr>
                <w:color w:val="000000"/>
                <w:sz w:val="24"/>
                <w:szCs w:val="24"/>
              </w:rPr>
              <w:t>Moderada</w:t>
            </w:r>
          </w:p>
        </w:tc>
        <w:tc>
          <w:tcPr>
            <w:tcW w:w="756" w:type="dxa"/>
            <w:vAlign w:val="center"/>
          </w:tcPr>
          <w:p w14:paraId="63D3FFE0" w14:textId="77777777" w:rsidR="00442652" w:rsidRDefault="00442652" w:rsidP="00B66181">
            <w:pPr>
              <w:spacing w:line="360" w:lineRule="auto"/>
              <w:jc w:val="center"/>
              <w:rPr>
                <w:sz w:val="24"/>
                <w:szCs w:val="24"/>
              </w:rPr>
            </w:pPr>
            <w:r>
              <w:rPr>
                <w:color w:val="000000"/>
                <w:sz w:val="24"/>
                <w:szCs w:val="24"/>
              </w:rPr>
              <w:t>0.164</w:t>
            </w:r>
          </w:p>
        </w:tc>
        <w:tc>
          <w:tcPr>
            <w:tcW w:w="1559" w:type="dxa"/>
            <w:vAlign w:val="center"/>
          </w:tcPr>
          <w:p w14:paraId="570C10C3" w14:textId="77777777" w:rsidR="00442652" w:rsidRDefault="00442652" w:rsidP="00B66181">
            <w:pPr>
              <w:spacing w:line="360" w:lineRule="auto"/>
              <w:jc w:val="center"/>
              <w:rPr>
                <w:sz w:val="24"/>
                <w:szCs w:val="24"/>
              </w:rPr>
            </w:pPr>
            <w:r>
              <w:rPr>
                <w:color w:val="000000"/>
                <w:sz w:val="24"/>
                <w:szCs w:val="24"/>
              </w:rPr>
              <w:t>16%</w:t>
            </w:r>
          </w:p>
        </w:tc>
        <w:tc>
          <w:tcPr>
            <w:tcW w:w="1392" w:type="dxa"/>
            <w:vAlign w:val="center"/>
          </w:tcPr>
          <w:p w14:paraId="04EBE142" w14:textId="77777777" w:rsidR="00442652" w:rsidRDefault="00442652" w:rsidP="00B66181">
            <w:pPr>
              <w:spacing w:line="360" w:lineRule="auto"/>
              <w:jc w:val="center"/>
              <w:rPr>
                <w:sz w:val="24"/>
                <w:szCs w:val="24"/>
              </w:rPr>
            </w:pPr>
            <w:r>
              <w:rPr>
                <w:color w:val="000000"/>
                <w:sz w:val="24"/>
                <w:szCs w:val="24"/>
              </w:rPr>
              <w:t>&lt; 0.0001</w:t>
            </w:r>
          </w:p>
        </w:tc>
      </w:tr>
      <w:tr w:rsidR="00442652" w14:paraId="1F4015B3" w14:textId="77777777" w:rsidTr="00B66181">
        <w:tc>
          <w:tcPr>
            <w:tcW w:w="2836" w:type="dxa"/>
            <w:vAlign w:val="center"/>
          </w:tcPr>
          <w:p w14:paraId="2FFC2192" w14:textId="77777777" w:rsidR="00442652" w:rsidRDefault="00442652" w:rsidP="00B66181">
            <w:pPr>
              <w:spacing w:line="360" w:lineRule="auto"/>
              <w:rPr>
                <w:i/>
                <w:iCs/>
                <w:sz w:val="24"/>
                <w:szCs w:val="24"/>
              </w:rPr>
            </w:pPr>
            <w:r>
              <w:rPr>
                <w:i/>
                <w:iCs/>
                <w:color w:val="000000"/>
                <w:sz w:val="24"/>
                <w:szCs w:val="24"/>
              </w:rPr>
              <w:t>Eretmochelys imbricata</w:t>
            </w:r>
          </w:p>
        </w:tc>
        <w:tc>
          <w:tcPr>
            <w:tcW w:w="766" w:type="dxa"/>
            <w:vAlign w:val="center"/>
          </w:tcPr>
          <w:p w14:paraId="76A0A525" w14:textId="77777777" w:rsidR="00442652" w:rsidRDefault="00442652" w:rsidP="00B66181">
            <w:pPr>
              <w:spacing w:line="360" w:lineRule="auto"/>
              <w:jc w:val="center"/>
              <w:rPr>
                <w:sz w:val="24"/>
                <w:szCs w:val="24"/>
              </w:rPr>
            </w:pPr>
            <w:r>
              <w:rPr>
                <w:color w:val="000000"/>
                <w:sz w:val="24"/>
                <w:szCs w:val="24"/>
              </w:rPr>
              <w:t>0.767</w:t>
            </w:r>
          </w:p>
        </w:tc>
        <w:tc>
          <w:tcPr>
            <w:tcW w:w="1644" w:type="dxa"/>
            <w:vAlign w:val="center"/>
          </w:tcPr>
          <w:p w14:paraId="0BEC64BF" w14:textId="77777777" w:rsidR="00442652" w:rsidRDefault="00442652" w:rsidP="00B66181">
            <w:pPr>
              <w:spacing w:line="360" w:lineRule="auto"/>
              <w:jc w:val="center"/>
              <w:rPr>
                <w:sz w:val="24"/>
                <w:szCs w:val="24"/>
              </w:rPr>
            </w:pPr>
            <w:r>
              <w:rPr>
                <w:color w:val="000000"/>
                <w:sz w:val="24"/>
                <w:szCs w:val="24"/>
              </w:rPr>
              <w:t>Forte</w:t>
            </w:r>
          </w:p>
        </w:tc>
        <w:tc>
          <w:tcPr>
            <w:tcW w:w="756" w:type="dxa"/>
            <w:vAlign w:val="center"/>
          </w:tcPr>
          <w:p w14:paraId="06E1A0DF" w14:textId="77777777" w:rsidR="00442652" w:rsidRDefault="00442652" w:rsidP="00B66181">
            <w:pPr>
              <w:spacing w:line="360" w:lineRule="auto"/>
              <w:jc w:val="center"/>
              <w:rPr>
                <w:sz w:val="24"/>
                <w:szCs w:val="24"/>
              </w:rPr>
            </w:pPr>
            <w:r>
              <w:rPr>
                <w:color w:val="000000"/>
                <w:sz w:val="24"/>
                <w:szCs w:val="24"/>
              </w:rPr>
              <w:t>0.588</w:t>
            </w:r>
          </w:p>
        </w:tc>
        <w:tc>
          <w:tcPr>
            <w:tcW w:w="1559" w:type="dxa"/>
            <w:vAlign w:val="center"/>
          </w:tcPr>
          <w:p w14:paraId="18E5484E" w14:textId="77777777" w:rsidR="00442652" w:rsidRDefault="00442652" w:rsidP="00B66181">
            <w:pPr>
              <w:spacing w:line="360" w:lineRule="auto"/>
              <w:jc w:val="center"/>
              <w:rPr>
                <w:sz w:val="24"/>
                <w:szCs w:val="24"/>
              </w:rPr>
            </w:pPr>
            <w:r>
              <w:rPr>
                <w:color w:val="000000"/>
                <w:sz w:val="24"/>
                <w:szCs w:val="24"/>
              </w:rPr>
              <w:t>58%</w:t>
            </w:r>
          </w:p>
        </w:tc>
        <w:tc>
          <w:tcPr>
            <w:tcW w:w="1392" w:type="dxa"/>
            <w:vAlign w:val="center"/>
          </w:tcPr>
          <w:p w14:paraId="2F13A224" w14:textId="77777777" w:rsidR="00442652" w:rsidRDefault="00442652" w:rsidP="00B66181">
            <w:pPr>
              <w:spacing w:line="360" w:lineRule="auto"/>
              <w:jc w:val="center"/>
              <w:rPr>
                <w:sz w:val="24"/>
                <w:szCs w:val="24"/>
              </w:rPr>
            </w:pPr>
            <w:r>
              <w:rPr>
                <w:color w:val="000000"/>
                <w:sz w:val="24"/>
                <w:szCs w:val="24"/>
              </w:rPr>
              <w:t>&lt; 0.0001</w:t>
            </w:r>
          </w:p>
        </w:tc>
      </w:tr>
      <w:tr w:rsidR="00442652" w14:paraId="3C054099" w14:textId="77777777" w:rsidTr="00B66181">
        <w:tc>
          <w:tcPr>
            <w:tcW w:w="2836" w:type="dxa"/>
            <w:tcBorders>
              <w:bottom w:val="single" w:sz="4" w:space="0" w:color="auto"/>
            </w:tcBorders>
            <w:vAlign w:val="center"/>
          </w:tcPr>
          <w:p w14:paraId="788D269A" w14:textId="77777777" w:rsidR="00442652" w:rsidRDefault="00442652" w:rsidP="00B66181">
            <w:pPr>
              <w:spacing w:line="360" w:lineRule="auto"/>
              <w:rPr>
                <w:i/>
                <w:iCs/>
                <w:sz w:val="24"/>
                <w:szCs w:val="24"/>
              </w:rPr>
            </w:pPr>
            <w:r>
              <w:rPr>
                <w:i/>
                <w:iCs/>
                <w:color w:val="000000"/>
                <w:sz w:val="24"/>
                <w:szCs w:val="24"/>
              </w:rPr>
              <w:t>Lepidochelys olivacea</w:t>
            </w:r>
          </w:p>
        </w:tc>
        <w:tc>
          <w:tcPr>
            <w:tcW w:w="766" w:type="dxa"/>
            <w:tcBorders>
              <w:bottom w:val="single" w:sz="4" w:space="0" w:color="auto"/>
            </w:tcBorders>
            <w:vAlign w:val="center"/>
          </w:tcPr>
          <w:p w14:paraId="5A0ED316" w14:textId="77777777" w:rsidR="00442652" w:rsidRDefault="00442652" w:rsidP="00B66181">
            <w:pPr>
              <w:spacing w:line="360" w:lineRule="auto"/>
              <w:jc w:val="center"/>
              <w:rPr>
                <w:sz w:val="24"/>
                <w:szCs w:val="24"/>
              </w:rPr>
            </w:pPr>
            <w:r>
              <w:rPr>
                <w:color w:val="000000"/>
                <w:sz w:val="24"/>
                <w:szCs w:val="24"/>
              </w:rPr>
              <w:t>0.893</w:t>
            </w:r>
          </w:p>
        </w:tc>
        <w:tc>
          <w:tcPr>
            <w:tcW w:w="1644" w:type="dxa"/>
            <w:tcBorders>
              <w:bottom w:val="single" w:sz="4" w:space="0" w:color="auto"/>
            </w:tcBorders>
            <w:vAlign w:val="center"/>
          </w:tcPr>
          <w:p w14:paraId="05C4D7A0" w14:textId="77777777" w:rsidR="00442652" w:rsidRDefault="00442652" w:rsidP="00B66181">
            <w:pPr>
              <w:spacing w:line="360" w:lineRule="auto"/>
              <w:jc w:val="center"/>
              <w:rPr>
                <w:sz w:val="24"/>
                <w:szCs w:val="24"/>
              </w:rPr>
            </w:pPr>
            <w:r>
              <w:rPr>
                <w:color w:val="000000"/>
                <w:sz w:val="24"/>
                <w:szCs w:val="24"/>
              </w:rPr>
              <w:t>Forte</w:t>
            </w:r>
          </w:p>
        </w:tc>
        <w:tc>
          <w:tcPr>
            <w:tcW w:w="756" w:type="dxa"/>
            <w:tcBorders>
              <w:bottom w:val="single" w:sz="4" w:space="0" w:color="auto"/>
            </w:tcBorders>
            <w:vAlign w:val="center"/>
          </w:tcPr>
          <w:p w14:paraId="6B90C66D" w14:textId="77777777" w:rsidR="00442652" w:rsidRDefault="00442652" w:rsidP="00B66181">
            <w:pPr>
              <w:spacing w:line="360" w:lineRule="auto"/>
              <w:jc w:val="center"/>
              <w:rPr>
                <w:sz w:val="24"/>
                <w:szCs w:val="24"/>
              </w:rPr>
            </w:pPr>
            <w:r>
              <w:rPr>
                <w:color w:val="000000"/>
                <w:sz w:val="24"/>
                <w:szCs w:val="24"/>
              </w:rPr>
              <w:t>0.797</w:t>
            </w:r>
          </w:p>
        </w:tc>
        <w:tc>
          <w:tcPr>
            <w:tcW w:w="1559" w:type="dxa"/>
            <w:tcBorders>
              <w:bottom w:val="single" w:sz="4" w:space="0" w:color="auto"/>
            </w:tcBorders>
            <w:vAlign w:val="center"/>
          </w:tcPr>
          <w:p w14:paraId="2C19315F" w14:textId="77777777" w:rsidR="00442652" w:rsidRDefault="00442652" w:rsidP="00B66181">
            <w:pPr>
              <w:spacing w:line="360" w:lineRule="auto"/>
              <w:jc w:val="center"/>
              <w:rPr>
                <w:sz w:val="24"/>
                <w:szCs w:val="24"/>
              </w:rPr>
            </w:pPr>
            <w:r>
              <w:rPr>
                <w:color w:val="000000"/>
                <w:sz w:val="24"/>
                <w:szCs w:val="24"/>
              </w:rPr>
              <w:t>79%</w:t>
            </w:r>
          </w:p>
        </w:tc>
        <w:tc>
          <w:tcPr>
            <w:tcW w:w="1392" w:type="dxa"/>
            <w:tcBorders>
              <w:bottom w:val="single" w:sz="4" w:space="0" w:color="auto"/>
            </w:tcBorders>
            <w:vAlign w:val="center"/>
          </w:tcPr>
          <w:p w14:paraId="5D87C108" w14:textId="77777777" w:rsidR="00442652" w:rsidRDefault="00442652" w:rsidP="00442652">
            <w:pPr>
              <w:keepNext/>
              <w:spacing w:line="360" w:lineRule="auto"/>
              <w:jc w:val="center"/>
              <w:rPr>
                <w:sz w:val="24"/>
                <w:szCs w:val="24"/>
              </w:rPr>
            </w:pPr>
            <w:r>
              <w:rPr>
                <w:color w:val="000000"/>
                <w:sz w:val="24"/>
                <w:szCs w:val="24"/>
              </w:rPr>
              <w:t>&lt; 0.0001</w:t>
            </w:r>
          </w:p>
        </w:tc>
      </w:tr>
    </w:tbl>
    <w:p w14:paraId="52AB7706" w14:textId="63F9D7E6" w:rsidR="00442652" w:rsidRPr="00442652" w:rsidRDefault="00442652" w:rsidP="00442652">
      <w:pPr>
        <w:pStyle w:val="Legenda"/>
        <w:jc w:val="both"/>
        <w:rPr>
          <w:bCs/>
          <w:i w:val="0"/>
          <w:iCs w:val="0"/>
          <w:color w:val="000000" w:themeColor="text1"/>
          <w:sz w:val="32"/>
          <w:szCs w:val="32"/>
        </w:rPr>
      </w:pPr>
      <w:r w:rsidRPr="00442652">
        <w:rPr>
          <w:i w:val="0"/>
          <w:iCs w:val="0"/>
          <w:color w:val="000000" w:themeColor="text1"/>
          <w:sz w:val="22"/>
          <w:szCs w:val="22"/>
        </w:rPr>
        <w:t>Fonte: O autor (2024).</w:t>
      </w:r>
    </w:p>
    <w:p w14:paraId="64E377B6" w14:textId="5999AC4D" w:rsidR="003949CE" w:rsidRDefault="003949CE" w:rsidP="006C1C9D">
      <w:pPr>
        <w:widowControl/>
        <w:tabs>
          <w:tab w:val="left" w:pos="1290"/>
        </w:tabs>
        <w:spacing w:after="160" w:line="259" w:lineRule="auto"/>
        <w:jc w:val="both"/>
        <w:rPr>
          <w:b/>
          <w:sz w:val="24"/>
          <w:szCs w:val="24"/>
        </w:rPr>
      </w:pPr>
      <w:r>
        <w:rPr>
          <w:b/>
          <w:sz w:val="24"/>
          <w:szCs w:val="24"/>
        </w:rPr>
        <w:t>4. CONSIDERAÇÕES FINAIS</w:t>
      </w:r>
    </w:p>
    <w:p w14:paraId="05746633" w14:textId="50A867BD" w:rsidR="003949CE" w:rsidRPr="00B46B0A" w:rsidRDefault="00B46B0A" w:rsidP="0069696D">
      <w:pPr>
        <w:widowControl/>
        <w:tabs>
          <w:tab w:val="left" w:pos="1290"/>
        </w:tabs>
        <w:spacing w:after="160" w:line="360" w:lineRule="auto"/>
        <w:jc w:val="both"/>
        <w:rPr>
          <w:bCs/>
          <w:sz w:val="24"/>
          <w:szCs w:val="24"/>
        </w:rPr>
      </w:pPr>
      <w:r>
        <w:rPr>
          <w:bCs/>
          <w:sz w:val="24"/>
          <w:szCs w:val="24"/>
        </w:rPr>
        <w:t xml:space="preserve">            </w:t>
      </w:r>
      <w:r w:rsidRPr="00B46B0A">
        <w:rPr>
          <w:bCs/>
          <w:sz w:val="24"/>
          <w:szCs w:val="24"/>
        </w:rPr>
        <w:t>A partir do exposto neste estudo podemos realizar as seguintes considerações acerca da distribuição e uso de hábitat das tartarugas marinhas no Pará e Maranhão</w:t>
      </w:r>
      <w:r>
        <w:rPr>
          <w:bCs/>
          <w:sz w:val="24"/>
          <w:szCs w:val="24"/>
        </w:rPr>
        <w:t xml:space="preserve">. </w:t>
      </w:r>
      <w:r w:rsidRPr="00B46B0A">
        <w:rPr>
          <w:bCs/>
          <w:sz w:val="24"/>
          <w:szCs w:val="24"/>
        </w:rPr>
        <w:t>A área de estudo é um hábitat importante com áreas importantes para história de vida das tartarugas, sobretudo para alimentação e reprodução</w:t>
      </w:r>
      <w:r>
        <w:rPr>
          <w:bCs/>
          <w:sz w:val="24"/>
          <w:szCs w:val="24"/>
        </w:rPr>
        <w:t xml:space="preserve">. </w:t>
      </w:r>
      <w:r w:rsidRPr="00B46B0A">
        <w:rPr>
          <w:bCs/>
          <w:sz w:val="24"/>
          <w:szCs w:val="24"/>
        </w:rPr>
        <w:t xml:space="preserve">As variáveis ambientais destacam que as espécies tem preferências de hábitats distintas, embora haja também áreas comuns de co-ocorrência para </w:t>
      </w:r>
      <w:r w:rsidRPr="00B46B0A">
        <w:rPr>
          <w:bCs/>
          <w:i/>
          <w:iCs/>
          <w:sz w:val="24"/>
          <w:szCs w:val="24"/>
        </w:rPr>
        <w:t>E.imbricata</w:t>
      </w:r>
      <w:r w:rsidRPr="00B46B0A">
        <w:rPr>
          <w:bCs/>
          <w:sz w:val="24"/>
          <w:szCs w:val="24"/>
        </w:rPr>
        <w:t xml:space="preserve"> e </w:t>
      </w:r>
      <w:r w:rsidRPr="00B46B0A">
        <w:rPr>
          <w:bCs/>
          <w:i/>
          <w:iCs/>
          <w:sz w:val="24"/>
          <w:szCs w:val="24"/>
        </w:rPr>
        <w:t>L. Olivacea</w:t>
      </w:r>
      <w:r>
        <w:rPr>
          <w:bCs/>
          <w:sz w:val="24"/>
          <w:szCs w:val="24"/>
        </w:rPr>
        <w:t xml:space="preserve">. </w:t>
      </w:r>
      <w:r w:rsidRPr="00B46B0A">
        <w:rPr>
          <w:bCs/>
          <w:sz w:val="24"/>
          <w:szCs w:val="24"/>
        </w:rPr>
        <w:t xml:space="preserve">O amplo conjunto de variáveis ambientais permitiu investigar e </w:t>
      </w:r>
      <w:r w:rsidRPr="00B46B0A">
        <w:rPr>
          <w:bCs/>
          <w:sz w:val="24"/>
          <w:szCs w:val="24"/>
        </w:rPr>
        <w:lastRenderedPageBreak/>
        <w:t>encontrar a relação entre o deslocamento das espécies e as variabilidades da área de estudo</w:t>
      </w:r>
      <w:r>
        <w:rPr>
          <w:bCs/>
          <w:sz w:val="24"/>
          <w:szCs w:val="24"/>
        </w:rPr>
        <w:t xml:space="preserve">. </w:t>
      </w:r>
      <w:r w:rsidRPr="00B46B0A">
        <w:rPr>
          <w:bCs/>
          <w:sz w:val="24"/>
          <w:szCs w:val="24"/>
        </w:rPr>
        <w:t>As metodologias empregadas neste estudo foram satisfatórias e todos os objetivos foram alcançados, sendo este um estudo vital para futuros planos de manejo e identificação de áreas prioritárias para conservação</w:t>
      </w:r>
      <w:r>
        <w:rPr>
          <w:bCs/>
          <w:sz w:val="24"/>
          <w:szCs w:val="24"/>
        </w:rPr>
        <w:t>.</w:t>
      </w:r>
    </w:p>
    <w:p w14:paraId="3B2868CD" w14:textId="5402DBCA" w:rsidR="003949CE" w:rsidRPr="0069696D" w:rsidRDefault="003949CE" w:rsidP="0069696D">
      <w:pPr>
        <w:widowControl/>
        <w:tabs>
          <w:tab w:val="left" w:pos="1290"/>
        </w:tabs>
        <w:spacing w:after="160" w:line="259" w:lineRule="auto"/>
        <w:jc w:val="both"/>
        <w:rPr>
          <w:color w:val="FF0000"/>
          <w:sz w:val="24"/>
          <w:szCs w:val="24"/>
        </w:rPr>
      </w:pPr>
      <w:r>
        <w:rPr>
          <w:b/>
          <w:sz w:val="24"/>
          <w:szCs w:val="24"/>
        </w:rPr>
        <w:t xml:space="preserve">REFERÊNCIAS </w:t>
      </w:r>
      <w:bookmarkStart w:id="0" w:name="_gjdgxs" w:colFirst="0" w:colLast="0"/>
      <w:bookmarkEnd w:id="0"/>
    </w:p>
    <w:p w14:paraId="5167FF6C" w14:textId="77777777" w:rsidR="00B025A7" w:rsidRPr="00B025A7" w:rsidRDefault="0069696D" w:rsidP="00B025A7">
      <w:pPr>
        <w:pStyle w:val="Bibliografia"/>
        <w:rPr>
          <w:sz w:val="24"/>
          <w:lang w:val="en-US"/>
        </w:rPr>
      </w:pPr>
      <w:r>
        <w:rPr>
          <w:sz w:val="24"/>
          <w:szCs w:val="24"/>
        </w:rPr>
        <w:fldChar w:fldCharType="begin"/>
      </w:r>
      <w:r w:rsidR="00B025A7">
        <w:rPr>
          <w:sz w:val="24"/>
          <w:szCs w:val="24"/>
        </w:rPr>
        <w:instrText xml:space="preserve"> ADDIN ZOTERO_BIBL {"uncited":[],"omitted":[],"custom":[]} CSL_BIBLIOGRAPHY </w:instrText>
      </w:r>
      <w:r>
        <w:rPr>
          <w:sz w:val="24"/>
          <w:szCs w:val="24"/>
        </w:rPr>
        <w:fldChar w:fldCharType="separate"/>
      </w:r>
      <w:r w:rsidR="00B025A7" w:rsidRPr="00B025A7">
        <w:rPr>
          <w:sz w:val="24"/>
        </w:rPr>
        <w:t xml:space="preserve">ALVARES, C. A.; STAPE, J. L.; SENTELHAS, P. C.; GONÇALVES, J. de M.; SPAROVEK, G. Köppen’s climate classification map for Brazil. </w:t>
      </w:r>
      <w:r w:rsidR="00B025A7" w:rsidRPr="00B025A7">
        <w:rPr>
          <w:b/>
          <w:bCs/>
          <w:sz w:val="24"/>
          <w:lang w:val="en-US"/>
        </w:rPr>
        <w:t>Meteorologische zeitschrift</w:t>
      </w:r>
      <w:r w:rsidR="00B025A7" w:rsidRPr="00B025A7">
        <w:rPr>
          <w:sz w:val="24"/>
          <w:lang w:val="en-US"/>
        </w:rPr>
        <w:t>, [</w:t>
      </w:r>
      <w:r w:rsidR="00B025A7" w:rsidRPr="00B025A7">
        <w:rPr>
          <w:i/>
          <w:iCs/>
          <w:sz w:val="24"/>
          <w:lang w:val="en-US"/>
        </w:rPr>
        <w:t>s. l.</w:t>
      </w:r>
      <w:r w:rsidR="00B025A7" w:rsidRPr="00B025A7">
        <w:rPr>
          <w:sz w:val="24"/>
          <w:lang w:val="en-US"/>
        </w:rPr>
        <w:t xml:space="preserve">], v. 22, n. 6, p. 711–728, 2013. </w:t>
      </w:r>
    </w:p>
    <w:p w14:paraId="1DBEC388" w14:textId="77777777" w:rsidR="00B025A7" w:rsidRPr="00B025A7" w:rsidRDefault="00B025A7" w:rsidP="00B025A7">
      <w:pPr>
        <w:pStyle w:val="Bibliografia"/>
        <w:rPr>
          <w:sz w:val="24"/>
          <w:lang w:val="en-US"/>
        </w:rPr>
      </w:pPr>
      <w:r w:rsidRPr="00B025A7">
        <w:rPr>
          <w:sz w:val="24"/>
          <w:lang w:val="en-US"/>
        </w:rPr>
        <w:t xml:space="preserve">ARAUJO, L. S.; MAGDALENA, U. R.; LOUZADA, T. S.; SALOMON, P. S.; MORAES, F. C.; FERREIRA, B. P.; PAES, E. T. C.; BASTOS, A. C.; PEREIRA, R. C.; SALGADO, L. T.; LORINI, M. L.; YAGER, P.; MOURA, R. L. Growing industrialization and poor conservation planning challenge natural resources’ management in the Amazon Shelf off Brazil. </w:t>
      </w:r>
      <w:r w:rsidRPr="00B025A7">
        <w:rPr>
          <w:b/>
          <w:bCs/>
          <w:sz w:val="24"/>
          <w:lang w:val="en-US"/>
        </w:rPr>
        <w:t>Marine Policy</w:t>
      </w:r>
      <w:r w:rsidRPr="00B025A7">
        <w:rPr>
          <w:sz w:val="24"/>
          <w:lang w:val="en-US"/>
        </w:rPr>
        <w:t>, [</w:t>
      </w:r>
      <w:r w:rsidRPr="00B025A7">
        <w:rPr>
          <w:i/>
          <w:iCs/>
          <w:sz w:val="24"/>
          <w:lang w:val="en-US"/>
        </w:rPr>
        <w:t>s. l.</w:t>
      </w:r>
      <w:r w:rsidRPr="00B025A7">
        <w:rPr>
          <w:sz w:val="24"/>
          <w:lang w:val="en-US"/>
        </w:rPr>
        <w:t xml:space="preserve">], v. 128, p. 104465, 2021. </w:t>
      </w:r>
    </w:p>
    <w:p w14:paraId="3A5FF519" w14:textId="77777777" w:rsidR="00B025A7" w:rsidRPr="00B025A7" w:rsidRDefault="00B025A7" w:rsidP="00B025A7">
      <w:pPr>
        <w:pStyle w:val="Bibliografia"/>
        <w:rPr>
          <w:sz w:val="24"/>
          <w:lang w:val="en-US"/>
        </w:rPr>
      </w:pPr>
      <w:r w:rsidRPr="00B025A7">
        <w:rPr>
          <w:sz w:val="24"/>
          <w:lang w:val="en-US"/>
        </w:rPr>
        <w:t xml:space="preserve">BARATA, P. C. R.; LIMA, E. H. S. M.; BORGES-MARTINS, M.; SCALFONI, J. T.; BELLINI, C.; SICILIANO, S. Records of the leatherback sea turtle Dermochelys coriacea on the Brazilian coast, 1969–2001. </w:t>
      </w:r>
      <w:r w:rsidRPr="00B025A7">
        <w:rPr>
          <w:b/>
          <w:bCs/>
          <w:sz w:val="24"/>
          <w:lang w:val="en-US"/>
        </w:rPr>
        <w:t>Journal of the Marine Biological Association of the United Kingdom</w:t>
      </w:r>
      <w:r w:rsidRPr="00B025A7">
        <w:rPr>
          <w:sz w:val="24"/>
          <w:lang w:val="en-US"/>
        </w:rPr>
        <w:t>, [</w:t>
      </w:r>
      <w:r w:rsidRPr="00B025A7">
        <w:rPr>
          <w:i/>
          <w:iCs/>
          <w:sz w:val="24"/>
          <w:lang w:val="en-US"/>
        </w:rPr>
        <w:t>s. l.</w:t>
      </w:r>
      <w:r w:rsidRPr="00B025A7">
        <w:rPr>
          <w:sz w:val="24"/>
          <w:lang w:val="en-US"/>
        </w:rPr>
        <w:t xml:space="preserve">], v. 84, n. 6, p. 1233–1240, 2004. </w:t>
      </w:r>
    </w:p>
    <w:p w14:paraId="5FBD7BDE" w14:textId="77777777" w:rsidR="00B025A7" w:rsidRPr="00B025A7" w:rsidRDefault="00B025A7" w:rsidP="00B025A7">
      <w:pPr>
        <w:pStyle w:val="Bibliografia"/>
        <w:rPr>
          <w:sz w:val="24"/>
          <w:lang w:val="en-US"/>
        </w:rPr>
      </w:pPr>
      <w:r w:rsidRPr="00B025A7">
        <w:rPr>
          <w:sz w:val="24"/>
          <w:lang w:val="en-US"/>
        </w:rPr>
        <w:t xml:space="preserve">CARRIÓN–CORTEZ, J.; ZÁRATE, P.; SEMINOFF, J. A. Feeding ecology of the green sea turtle ( </w:t>
      </w:r>
      <w:r w:rsidRPr="00B025A7">
        <w:rPr>
          <w:i/>
          <w:iCs/>
          <w:sz w:val="24"/>
          <w:lang w:val="en-US"/>
        </w:rPr>
        <w:t>Chelonia mydas</w:t>
      </w:r>
      <w:r w:rsidRPr="00B025A7">
        <w:rPr>
          <w:sz w:val="24"/>
          <w:lang w:val="en-US"/>
        </w:rPr>
        <w:t xml:space="preserve"> ) in the Galapagos Islands—CORRIGENDUM. </w:t>
      </w:r>
      <w:r w:rsidRPr="00B025A7">
        <w:rPr>
          <w:b/>
          <w:bCs/>
          <w:sz w:val="24"/>
          <w:lang w:val="en-US"/>
        </w:rPr>
        <w:t>Journal of the Marine Biological Association of the United Kingdom</w:t>
      </w:r>
      <w:r w:rsidRPr="00B025A7">
        <w:rPr>
          <w:sz w:val="24"/>
          <w:lang w:val="en-US"/>
        </w:rPr>
        <w:t>, [</w:t>
      </w:r>
      <w:r w:rsidRPr="00B025A7">
        <w:rPr>
          <w:i/>
          <w:iCs/>
          <w:sz w:val="24"/>
          <w:lang w:val="en-US"/>
        </w:rPr>
        <w:t>s. l.</w:t>
      </w:r>
      <w:r w:rsidRPr="00B025A7">
        <w:rPr>
          <w:sz w:val="24"/>
          <w:lang w:val="en-US"/>
        </w:rPr>
        <w:t xml:space="preserve">], v. 91, n. 8, p. 1723–1723, 2011. </w:t>
      </w:r>
    </w:p>
    <w:p w14:paraId="0345EFF5" w14:textId="77777777" w:rsidR="00B025A7" w:rsidRPr="00B025A7" w:rsidRDefault="00B025A7" w:rsidP="00B025A7">
      <w:pPr>
        <w:pStyle w:val="Bibliografia"/>
        <w:rPr>
          <w:sz w:val="24"/>
          <w:lang w:val="en-US"/>
        </w:rPr>
      </w:pPr>
      <w:r w:rsidRPr="00B025A7">
        <w:rPr>
          <w:sz w:val="24"/>
          <w:lang w:val="en-US"/>
        </w:rPr>
        <w:t xml:space="preserve">CHAMBAULT, P.; PINAUD, D.; VANTREPOTTE, V.; KELLE, L.; ENTRAYGUES, M.; GUINET, C.; BERZINS, R.; BILO, K.; GASPAR, P.; DE THOISY, B.; LE MAHO, Y.; CHEVALLIER, D. Dispersal and Diving Adjustments of the Green Turtle Chelonia mydas in Response to Dynamic Environmental Conditions during Post-Nesting Migration. </w:t>
      </w:r>
      <w:r w:rsidRPr="00B025A7">
        <w:rPr>
          <w:b/>
          <w:bCs/>
          <w:sz w:val="24"/>
          <w:lang w:val="en-US"/>
        </w:rPr>
        <w:t>PLOS ONE</w:t>
      </w:r>
      <w:r w:rsidRPr="00B025A7">
        <w:rPr>
          <w:sz w:val="24"/>
          <w:lang w:val="en-US"/>
        </w:rPr>
        <w:t>, [</w:t>
      </w:r>
      <w:r w:rsidRPr="00B025A7">
        <w:rPr>
          <w:i/>
          <w:iCs/>
          <w:sz w:val="24"/>
          <w:lang w:val="en-US"/>
        </w:rPr>
        <w:t>s. l.</w:t>
      </w:r>
      <w:r w:rsidRPr="00B025A7">
        <w:rPr>
          <w:sz w:val="24"/>
          <w:lang w:val="en-US"/>
        </w:rPr>
        <w:t xml:space="preserve">], v. 10, n. 9, p. e0137340, 2015. </w:t>
      </w:r>
    </w:p>
    <w:p w14:paraId="2D134A98" w14:textId="77777777" w:rsidR="00B025A7" w:rsidRPr="00B025A7" w:rsidRDefault="00B025A7" w:rsidP="00B025A7">
      <w:pPr>
        <w:pStyle w:val="Bibliografia"/>
        <w:rPr>
          <w:sz w:val="24"/>
          <w:lang w:val="en-US"/>
        </w:rPr>
      </w:pPr>
      <w:r w:rsidRPr="00B025A7">
        <w:rPr>
          <w:sz w:val="24"/>
          <w:lang w:val="en-US"/>
        </w:rPr>
        <w:t xml:space="preserve">COLLARD, S. B.; OGREN, L. H. Dispersal scenarios for pelagic post-hatchling sea turtles. </w:t>
      </w:r>
      <w:r w:rsidRPr="00B025A7">
        <w:rPr>
          <w:b/>
          <w:bCs/>
          <w:sz w:val="24"/>
          <w:lang w:val="en-US"/>
        </w:rPr>
        <w:t>Bulletin of Marine Science</w:t>
      </w:r>
      <w:r w:rsidRPr="00B025A7">
        <w:rPr>
          <w:sz w:val="24"/>
          <w:lang w:val="en-US"/>
        </w:rPr>
        <w:t>, [</w:t>
      </w:r>
      <w:r w:rsidRPr="00B025A7">
        <w:rPr>
          <w:i/>
          <w:iCs/>
          <w:sz w:val="24"/>
          <w:lang w:val="en-US"/>
        </w:rPr>
        <w:t>s. l.</w:t>
      </w:r>
      <w:r w:rsidRPr="00B025A7">
        <w:rPr>
          <w:sz w:val="24"/>
          <w:lang w:val="en-US"/>
        </w:rPr>
        <w:t xml:space="preserve">], v. 47, n. 1, p. 233–243, 1990. </w:t>
      </w:r>
    </w:p>
    <w:p w14:paraId="582172B9" w14:textId="77777777" w:rsidR="00B025A7" w:rsidRPr="00B025A7" w:rsidRDefault="00B025A7" w:rsidP="00B025A7">
      <w:pPr>
        <w:pStyle w:val="Bibliografia"/>
        <w:rPr>
          <w:sz w:val="24"/>
          <w:lang w:val="en-US"/>
        </w:rPr>
      </w:pPr>
      <w:r w:rsidRPr="00B025A7">
        <w:rPr>
          <w:sz w:val="24"/>
          <w:lang w:val="en-US"/>
        </w:rPr>
        <w:t xml:space="preserve">FRICK, M.; WILLIAMS, K.; BOLTEN, A.; BJORNDAL, K.; MARTINS, H. Foraging ecology of oceanic-stage loggerhead turtles Caretta caretta. </w:t>
      </w:r>
      <w:r w:rsidRPr="00B025A7">
        <w:rPr>
          <w:b/>
          <w:bCs/>
          <w:sz w:val="24"/>
          <w:lang w:val="en-US"/>
        </w:rPr>
        <w:t>Endangered Species Research</w:t>
      </w:r>
      <w:r w:rsidRPr="00B025A7">
        <w:rPr>
          <w:sz w:val="24"/>
          <w:lang w:val="en-US"/>
        </w:rPr>
        <w:t>, [</w:t>
      </w:r>
      <w:r w:rsidRPr="00B025A7">
        <w:rPr>
          <w:i/>
          <w:iCs/>
          <w:sz w:val="24"/>
          <w:lang w:val="en-US"/>
        </w:rPr>
        <w:t>s. l.</w:t>
      </w:r>
      <w:r w:rsidRPr="00B025A7">
        <w:rPr>
          <w:sz w:val="24"/>
          <w:lang w:val="en-US"/>
        </w:rPr>
        <w:t xml:space="preserve">], v. 9, p. 91–97, 2009. </w:t>
      </w:r>
    </w:p>
    <w:p w14:paraId="163B1B52" w14:textId="77777777" w:rsidR="00B025A7" w:rsidRPr="00B025A7" w:rsidRDefault="00B025A7" w:rsidP="00B025A7">
      <w:pPr>
        <w:pStyle w:val="Bibliografia"/>
        <w:rPr>
          <w:sz w:val="24"/>
        </w:rPr>
      </w:pPr>
      <w:r w:rsidRPr="00B025A7">
        <w:rPr>
          <w:sz w:val="24"/>
          <w:lang w:val="en-US"/>
        </w:rPr>
        <w:t xml:space="preserve">HAWKES, L. A.; WITT, M. J.; BRODERICK, A. C.; COKER, J. W.; COYNE, M. S.; DODD, M.; FRICK, M. G.; GODFREY, M. H.; GRIFFIN, D. B.; MURPHY, S. R.; MURPHY, T. M.; WILLIAMS, K. L.; GODLEY, B. J. Home on the range: spatial ecology of loggerhead turtles in Atlantic waters of the USA. </w:t>
      </w:r>
      <w:r w:rsidRPr="00B025A7">
        <w:rPr>
          <w:b/>
          <w:bCs/>
          <w:sz w:val="24"/>
        </w:rPr>
        <w:t>Diversity and Distributions</w:t>
      </w:r>
      <w:r w:rsidRPr="00B025A7">
        <w:rPr>
          <w:sz w:val="24"/>
        </w:rPr>
        <w:t>, [</w:t>
      </w:r>
      <w:r w:rsidRPr="00B025A7">
        <w:rPr>
          <w:i/>
          <w:iCs/>
          <w:sz w:val="24"/>
        </w:rPr>
        <w:t>s. l.</w:t>
      </w:r>
      <w:r w:rsidRPr="00B025A7">
        <w:rPr>
          <w:sz w:val="24"/>
        </w:rPr>
        <w:t xml:space="preserve">], v. 17, n. 4, p. 624–640, 2011. </w:t>
      </w:r>
    </w:p>
    <w:p w14:paraId="7493D2C8" w14:textId="77777777" w:rsidR="00B025A7" w:rsidRPr="00B025A7" w:rsidRDefault="00B025A7" w:rsidP="00B025A7">
      <w:pPr>
        <w:pStyle w:val="Bibliografia"/>
        <w:rPr>
          <w:sz w:val="24"/>
          <w:lang w:val="en-US"/>
        </w:rPr>
      </w:pPr>
      <w:r w:rsidRPr="00B025A7">
        <w:rPr>
          <w:sz w:val="24"/>
        </w:rPr>
        <w:lastRenderedPageBreak/>
        <w:t xml:space="preserve">HONGYU, K.; SANDANIELO, V. L. M.; JUNIOR, G. J. D. O. Análise de Componentes Principais: Resumo Teórico, Aplicação e Interpretação. </w:t>
      </w:r>
      <w:r w:rsidRPr="00B025A7">
        <w:rPr>
          <w:b/>
          <w:bCs/>
          <w:sz w:val="24"/>
          <w:lang w:val="en-US"/>
        </w:rPr>
        <w:t>E&amp;S Engineering and Science</w:t>
      </w:r>
      <w:r w:rsidRPr="00B025A7">
        <w:rPr>
          <w:sz w:val="24"/>
          <w:lang w:val="en-US"/>
        </w:rPr>
        <w:t>, [</w:t>
      </w:r>
      <w:r w:rsidRPr="00B025A7">
        <w:rPr>
          <w:i/>
          <w:iCs/>
          <w:sz w:val="24"/>
          <w:lang w:val="en-US"/>
        </w:rPr>
        <w:t>s. l.</w:t>
      </w:r>
      <w:r w:rsidRPr="00B025A7">
        <w:rPr>
          <w:sz w:val="24"/>
          <w:lang w:val="en-US"/>
        </w:rPr>
        <w:t xml:space="preserve">], v. 5, n. 1, p. 83–90, 2016. </w:t>
      </w:r>
    </w:p>
    <w:p w14:paraId="660A331F" w14:textId="77777777" w:rsidR="00B025A7" w:rsidRPr="00B025A7" w:rsidRDefault="00B025A7" w:rsidP="00B025A7">
      <w:pPr>
        <w:pStyle w:val="Bibliografia"/>
        <w:rPr>
          <w:sz w:val="24"/>
        </w:rPr>
      </w:pPr>
      <w:r w:rsidRPr="00B025A7">
        <w:rPr>
          <w:sz w:val="24"/>
        </w:rPr>
        <w:t xml:space="preserve">LUCAMBIO, F. Estimador Kernel da função de densidade. </w:t>
      </w:r>
      <w:r w:rsidRPr="00B025A7">
        <w:rPr>
          <w:b/>
          <w:bCs/>
          <w:sz w:val="24"/>
        </w:rPr>
        <w:t>Universidade Federal do Paraná, Departamento de Estatística. 12f</w:t>
      </w:r>
      <w:r w:rsidRPr="00B025A7">
        <w:rPr>
          <w:sz w:val="24"/>
        </w:rPr>
        <w:t>, [</w:t>
      </w:r>
      <w:r w:rsidRPr="00B025A7">
        <w:rPr>
          <w:i/>
          <w:iCs/>
          <w:sz w:val="24"/>
        </w:rPr>
        <w:t>s. l.</w:t>
      </w:r>
      <w:r w:rsidRPr="00B025A7">
        <w:rPr>
          <w:sz w:val="24"/>
        </w:rPr>
        <w:t xml:space="preserve">], 2008. </w:t>
      </w:r>
    </w:p>
    <w:p w14:paraId="30581ED4" w14:textId="77777777" w:rsidR="00B025A7" w:rsidRPr="00B025A7" w:rsidRDefault="00B025A7" w:rsidP="00B025A7">
      <w:pPr>
        <w:pStyle w:val="Bibliografia"/>
        <w:rPr>
          <w:sz w:val="24"/>
        </w:rPr>
      </w:pPr>
      <w:r w:rsidRPr="00B025A7">
        <w:rPr>
          <w:sz w:val="24"/>
        </w:rPr>
        <w:t xml:space="preserve">MARCENIUK, A. P.; CAIRES, R. A.; WOSIACKI, W. B.; DARIO, F. D. Conhecimento e conservação dos peixes marinhos e estuarinos (Chondrichthyes e Teleostei) da costa norte do Brasil. </w:t>
      </w:r>
      <w:r w:rsidRPr="00B025A7">
        <w:rPr>
          <w:b/>
          <w:bCs/>
          <w:sz w:val="24"/>
        </w:rPr>
        <w:t>Biota Neotropica</w:t>
      </w:r>
      <w:r w:rsidRPr="00B025A7">
        <w:rPr>
          <w:sz w:val="24"/>
        </w:rPr>
        <w:t>, [</w:t>
      </w:r>
      <w:r w:rsidRPr="00B025A7">
        <w:rPr>
          <w:i/>
          <w:iCs/>
          <w:sz w:val="24"/>
        </w:rPr>
        <w:t>s. l.</w:t>
      </w:r>
      <w:r w:rsidRPr="00B025A7">
        <w:rPr>
          <w:sz w:val="24"/>
        </w:rPr>
        <w:t xml:space="preserve">], v. 13, n. 4, p. 251–259, 2013. </w:t>
      </w:r>
    </w:p>
    <w:p w14:paraId="3FA37A71" w14:textId="77777777" w:rsidR="00B025A7" w:rsidRPr="00B025A7" w:rsidRDefault="00B025A7" w:rsidP="00B025A7">
      <w:pPr>
        <w:pStyle w:val="Bibliografia"/>
        <w:rPr>
          <w:sz w:val="24"/>
          <w:lang w:val="en-US"/>
        </w:rPr>
      </w:pPr>
      <w:r w:rsidRPr="00B025A7">
        <w:rPr>
          <w:sz w:val="24"/>
        </w:rPr>
        <w:t xml:space="preserve">PERES-NETO, P. R.; JACKSON, D. A. How well do multivariate data sets match? </w:t>
      </w:r>
      <w:r w:rsidRPr="00B025A7">
        <w:rPr>
          <w:sz w:val="24"/>
          <w:lang w:val="en-US"/>
        </w:rPr>
        <w:t xml:space="preserve">The advantages of a Procrustean superimposition approach over the Mantel test. </w:t>
      </w:r>
      <w:r w:rsidRPr="00B025A7">
        <w:rPr>
          <w:b/>
          <w:bCs/>
          <w:sz w:val="24"/>
          <w:lang w:val="en-US"/>
        </w:rPr>
        <w:t>Oecologia</w:t>
      </w:r>
      <w:r w:rsidRPr="00B025A7">
        <w:rPr>
          <w:sz w:val="24"/>
          <w:lang w:val="en-US"/>
        </w:rPr>
        <w:t>, [</w:t>
      </w:r>
      <w:r w:rsidRPr="00B025A7">
        <w:rPr>
          <w:i/>
          <w:iCs/>
          <w:sz w:val="24"/>
          <w:lang w:val="en-US"/>
        </w:rPr>
        <w:t>s. l.</w:t>
      </w:r>
      <w:r w:rsidRPr="00B025A7">
        <w:rPr>
          <w:sz w:val="24"/>
          <w:lang w:val="en-US"/>
        </w:rPr>
        <w:t xml:space="preserve">], v. 129, n. 2, p. 169–178, 2001. </w:t>
      </w:r>
    </w:p>
    <w:p w14:paraId="7D9D0934" w14:textId="77777777" w:rsidR="00B025A7" w:rsidRPr="00B025A7" w:rsidRDefault="00B025A7" w:rsidP="00B025A7">
      <w:pPr>
        <w:pStyle w:val="Bibliografia"/>
        <w:rPr>
          <w:sz w:val="24"/>
        </w:rPr>
      </w:pPr>
      <w:r w:rsidRPr="00B025A7">
        <w:rPr>
          <w:sz w:val="24"/>
          <w:lang w:val="en-US"/>
        </w:rPr>
        <w:t xml:space="preserve">PRITCHARD, P. C. H. </w:t>
      </w:r>
      <w:r w:rsidRPr="00B025A7">
        <w:rPr>
          <w:b/>
          <w:bCs/>
          <w:sz w:val="24"/>
          <w:lang w:val="en-US"/>
        </w:rPr>
        <w:t>Encyclopedia of turtles</w:t>
      </w:r>
      <w:r w:rsidRPr="00B025A7">
        <w:rPr>
          <w:sz w:val="24"/>
          <w:lang w:val="en-US"/>
        </w:rPr>
        <w:t>. [</w:t>
      </w:r>
      <w:r w:rsidRPr="00B025A7">
        <w:rPr>
          <w:i/>
          <w:iCs/>
          <w:sz w:val="24"/>
          <w:lang w:val="en-US"/>
        </w:rPr>
        <w:t>S. l.</w:t>
      </w:r>
      <w:r w:rsidRPr="00B025A7">
        <w:rPr>
          <w:sz w:val="24"/>
          <w:lang w:val="en-US"/>
        </w:rPr>
        <w:t xml:space="preserve">]: TFH ^ eNew Jersey New Jersey, 1979. </w:t>
      </w:r>
      <w:r w:rsidRPr="00B025A7">
        <w:rPr>
          <w:sz w:val="24"/>
        </w:rPr>
        <w:t>1979. Disponível em: http://www.seaturtle.org/mtn/archives/mtn13/mtn13p17a.shtml?nocount. Acesso em: 18 out. 2024.</w:t>
      </w:r>
    </w:p>
    <w:p w14:paraId="0C770D06" w14:textId="77777777" w:rsidR="00B025A7" w:rsidRPr="00B025A7" w:rsidRDefault="00B025A7" w:rsidP="00B025A7">
      <w:pPr>
        <w:pStyle w:val="Bibliografia"/>
        <w:rPr>
          <w:sz w:val="24"/>
        </w:rPr>
      </w:pPr>
      <w:r w:rsidRPr="00B025A7">
        <w:rPr>
          <w:sz w:val="24"/>
          <w:lang w:val="en-US"/>
        </w:rPr>
        <w:t xml:space="preserve">REDDY, G. O. </w:t>
      </w:r>
      <w:r w:rsidRPr="00B025A7">
        <w:rPr>
          <w:b/>
          <w:bCs/>
          <w:sz w:val="24"/>
          <w:lang w:val="en-US"/>
        </w:rPr>
        <w:t>Geospatial technologies in land resources mapping, monitoring, and management: an overview</w:t>
      </w:r>
      <w:r w:rsidRPr="00B025A7">
        <w:rPr>
          <w:sz w:val="24"/>
          <w:lang w:val="en-US"/>
        </w:rPr>
        <w:t xml:space="preserve">. </w:t>
      </w:r>
      <w:r w:rsidRPr="00B025A7">
        <w:rPr>
          <w:sz w:val="24"/>
        </w:rPr>
        <w:t>[</w:t>
      </w:r>
      <w:r w:rsidRPr="00B025A7">
        <w:rPr>
          <w:i/>
          <w:iCs/>
          <w:sz w:val="24"/>
        </w:rPr>
        <w:t>S. l.</w:t>
      </w:r>
      <w:r w:rsidRPr="00B025A7">
        <w:rPr>
          <w:sz w:val="24"/>
        </w:rPr>
        <w:t>]: Springer, 2018. 2018. Disponível em: https://link.springer.com/chapter/10.1007/978-3-319-78711-4_1. Acesso em: 18 out. 2024.</w:t>
      </w:r>
    </w:p>
    <w:p w14:paraId="4E3B5FD8" w14:textId="77777777" w:rsidR="00B025A7" w:rsidRPr="00B025A7" w:rsidRDefault="00B025A7" w:rsidP="00B025A7">
      <w:pPr>
        <w:pStyle w:val="Bibliografia"/>
        <w:rPr>
          <w:sz w:val="24"/>
          <w:lang w:val="en-US"/>
        </w:rPr>
      </w:pPr>
      <w:r w:rsidRPr="00B025A7">
        <w:rPr>
          <w:sz w:val="24"/>
        </w:rPr>
        <w:t xml:space="preserve">RIZZATTI, M.; LAMPERT BATISTA, N.; CEZAR SPODE, P. L.; BOUVIER ERTHAL, D.; MAURO DE FARIA, R.; VOLPATO SCOTTI, A. A.; TRENTIN, R.; PETSCH, C.; TURBA COSTA, I.; QUOOS, J. H. Mapeamento da COVID-19 por meio da densidade de Kernel. </w:t>
      </w:r>
      <w:r w:rsidRPr="00B025A7">
        <w:rPr>
          <w:b/>
          <w:bCs/>
          <w:sz w:val="24"/>
          <w:lang w:val="en-US"/>
        </w:rPr>
        <w:t>Metodologias e Aprendizado</w:t>
      </w:r>
      <w:r w:rsidRPr="00B025A7">
        <w:rPr>
          <w:sz w:val="24"/>
          <w:lang w:val="en-US"/>
        </w:rPr>
        <w:t>, [</w:t>
      </w:r>
      <w:r w:rsidRPr="00B025A7">
        <w:rPr>
          <w:i/>
          <w:iCs/>
          <w:sz w:val="24"/>
          <w:lang w:val="en-US"/>
        </w:rPr>
        <w:t>s. l.</w:t>
      </w:r>
      <w:r w:rsidRPr="00B025A7">
        <w:rPr>
          <w:sz w:val="24"/>
          <w:lang w:val="en-US"/>
        </w:rPr>
        <w:t xml:space="preserve">], v. 3, p. 44–53, 2020. </w:t>
      </w:r>
    </w:p>
    <w:p w14:paraId="56D8B1F1" w14:textId="77777777" w:rsidR="00B025A7" w:rsidRPr="00B025A7" w:rsidRDefault="00B025A7" w:rsidP="00B025A7">
      <w:pPr>
        <w:pStyle w:val="Bibliografia"/>
        <w:rPr>
          <w:sz w:val="24"/>
          <w:lang w:val="en-US"/>
        </w:rPr>
      </w:pPr>
      <w:r w:rsidRPr="00B025A7">
        <w:rPr>
          <w:sz w:val="24"/>
          <w:lang w:val="en-US"/>
        </w:rPr>
        <w:t xml:space="preserve">SCHULER, K. L.; SCHROEDER, G. M.; JENKS, J. A.; KIE, J. G. Ad hoc smoothing parameter performance in kernel estimates of GPS‐derived home ranges. </w:t>
      </w:r>
      <w:r w:rsidRPr="00B025A7">
        <w:rPr>
          <w:b/>
          <w:bCs/>
          <w:sz w:val="24"/>
          <w:lang w:val="en-US"/>
        </w:rPr>
        <w:t>Wildlife Biology</w:t>
      </w:r>
      <w:r w:rsidRPr="00B025A7">
        <w:rPr>
          <w:sz w:val="24"/>
          <w:lang w:val="en-US"/>
        </w:rPr>
        <w:t>, [</w:t>
      </w:r>
      <w:r w:rsidRPr="00B025A7">
        <w:rPr>
          <w:i/>
          <w:iCs/>
          <w:sz w:val="24"/>
          <w:lang w:val="en-US"/>
        </w:rPr>
        <w:t>s. l.</w:t>
      </w:r>
      <w:r w:rsidRPr="00B025A7">
        <w:rPr>
          <w:sz w:val="24"/>
          <w:lang w:val="en-US"/>
        </w:rPr>
        <w:t xml:space="preserve">], v. 20, n. 5, p. 259–266, 2014. </w:t>
      </w:r>
    </w:p>
    <w:p w14:paraId="522F4789" w14:textId="77777777" w:rsidR="00B025A7" w:rsidRPr="00B025A7" w:rsidRDefault="00B025A7" w:rsidP="00B025A7">
      <w:pPr>
        <w:pStyle w:val="Bibliografia"/>
        <w:rPr>
          <w:sz w:val="24"/>
          <w:lang w:val="en-US"/>
        </w:rPr>
      </w:pPr>
      <w:r w:rsidRPr="00B025A7">
        <w:rPr>
          <w:sz w:val="24"/>
          <w:lang w:val="en-US"/>
        </w:rPr>
        <w:t xml:space="preserve">WOLFF, M.; KOCH, V.; ISAAC, V. A Trophic Flow Model of the Caeté Mangrove Estuary (North Brazil) with Considerations for the Sustainable Use of its Resources. </w:t>
      </w:r>
      <w:r w:rsidRPr="00B025A7">
        <w:rPr>
          <w:b/>
          <w:bCs/>
          <w:sz w:val="24"/>
          <w:lang w:val="en-US"/>
        </w:rPr>
        <w:t>Estuarine, Coastal and Shelf Science</w:t>
      </w:r>
      <w:r w:rsidRPr="00B025A7">
        <w:rPr>
          <w:sz w:val="24"/>
          <w:lang w:val="en-US"/>
        </w:rPr>
        <w:t>, [</w:t>
      </w:r>
      <w:r w:rsidRPr="00B025A7">
        <w:rPr>
          <w:i/>
          <w:iCs/>
          <w:sz w:val="24"/>
          <w:lang w:val="en-US"/>
        </w:rPr>
        <w:t>s. l.</w:t>
      </w:r>
      <w:r w:rsidRPr="00B025A7">
        <w:rPr>
          <w:sz w:val="24"/>
          <w:lang w:val="en-US"/>
        </w:rPr>
        <w:t xml:space="preserve">], v. 50, n. 6, p. 789–803, 2000. </w:t>
      </w:r>
    </w:p>
    <w:p w14:paraId="31C32E2D" w14:textId="549872CC" w:rsidR="0069696D" w:rsidRPr="0069696D" w:rsidRDefault="0069696D" w:rsidP="0069696D">
      <w:pPr>
        <w:widowControl/>
        <w:tabs>
          <w:tab w:val="left" w:pos="709"/>
        </w:tabs>
        <w:spacing w:after="160" w:line="360" w:lineRule="auto"/>
        <w:jc w:val="both"/>
        <w:rPr>
          <w:sz w:val="24"/>
          <w:szCs w:val="24"/>
          <w:lang w:val="en-US"/>
        </w:rPr>
      </w:pPr>
      <w:r>
        <w:rPr>
          <w:sz w:val="24"/>
          <w:szCs w:val="24"/>
        </w:rPr>
        <w:fldChar w:fldCharType="end"/>
      </w:r>
    </w:p>
    <w:sectPr w:rsidR="0069696D" w:rsidRPr="0069696D" w:rsidSect="005A1575">
      <w:headerReference w:type="default" r:id="rId10"/>
      <w:footerReference w:type="default" r:id="rId11"/>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1A6C5" w14:textId="77777777" w:rsidR="00071A40" w:rsidRDefault="00071A40" w:rsidP="005A1575">
      <w:r>
        <w:separator/>
      </w:r>
    </w:p>
  </w:endnote>
  <w:endnote w:type="continuationSeparator" w:id="0">
    <w:p w14:paraId="6856BEE6" w14:textId="77777777" w:rsidR="00071A40" w:rsidRDefault="00071A40"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Default="006458BF">
    <w:pPr>
      <w:pStyle w:val="Rodap"/>
    </w:pPr>
    <w:r>
      <w:rPr>
        <w:noProof/>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4D287" w14:textId="77777777" w:rsidR="00071A40" w:rsidRDefault="00071A40" w:rsidP="005A1575">
      <w:r>
        <w:separator/>
      </w:r>
    </w:p>
  </w:footnote>
  <w:footnote w:type="continuationSeparator" w:id="0">
    <w:p w14:paraId="1DC013E9" w14:textId="77777777" w:rsidR="00071A40" w:rsidRDefault="00071A40"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21DA4F8D" w:rsidR="005A1575" w:rsidRPr="005A1575" w:rsidRDefault="00B13EDB" w:rsidP="005A1575">
    <w:pPr>
      <w:pStyle w:val="Cabealho"/>
      <w:jc w:val="center"/>
    </w:pPr>
    <w:r>
      <w:rPr>
        <w:noProof/>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num w:numId="1" w16cid:durableId="145640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2652D"/>
    <w:rsid w:val="00051265"/>
    <w:rsid w:val="00056A5F"/>
    <w:rsid w:val="00071A40"/>
    <w:rsid w:val="00102668"/>
    <w:rsid w:val="001846E6"/>
    <w:rsid w:val="0031571D"/>
    <w:rsid w:val="0032621E"/>
    <w:rsid w:val="003949CE"/>
    <w:rsid w:val="003D334B"/>
    <w:rsid w:val="00440B68"/>
    <w:rsid w:val="00442652"/>
    <w:rsid w:val="00442E1F"/>
    <w:rsid w:val="004B3806"/>
    <w:rsid w:val="004E409D"/>
    <w:rsid w:val="004E7777"/>
    <w:rsid w:val="005144B8"/>
    <w:rsid w:val="00570D37"/>
    <w:rsid w:val="00585209"/>
    <w:rsid w:val="005A1575"/>
    <w:rsid w:val="00642BB0"/>
    <w:rsid w:val="006458BF"/>
    <w:rsid w:val="00694E4B"/>
    <w:rsid w:val="0069696D"/>
    <w:rsid w:val="006C1C9D"/>
    <w:rsid w:val="007113F4"/>
    <w:rsid w:val="007664DB"/>
    <w:rsid w:val="007A00D4"/>
    <w:rsid w:val="007B00E2"/>
    <w:rsid w:val="007B20B5"/>
    <w:rsid w:val="00814D9C"/>
    <w:rsid w:val="00836259"/>
    <w:rsid w:val="00886548"/>
    <w:rsid w:val="008B7562"/>
    <w:rsid w:val="008C77ED"/>
    <w:rsid w:val="00920754"/>
    <w:rsid w:val="00A108CA"/>
    <w:rsid w:val="00A43434"/>
    <w:rsid w:val="00A52233"/>
    <w:rsid w:val="00A83645"/>
    <w:rsid w:val="00AA1810"/>
    <w:rsid w:val="00B025A7"/>
    <w:rsid w:val="00B13EDB"/>
    <w:rsid w:val="00B2699B"/>
    <w:rsid w:val="00B348C8"/>
    <w:rsid w:val="00B46B0A"/>
    <w:rsid w:val="00B50874"/>
    <w:rsid w:val="00B55E8D"/>
    <w:rsid w:val="00B75D4C"/>
    <w:rsid w:val="00BD261C"/>
    <w:rsid w:val="00CC7902"/>
    <w:rsid w:val="00D35CF8"/>
    <w:rsid w:val="00D43C6B"/>
    <w:rsid w:val="00DB5854"/>
    <w:rsid w:val="00E06716"/>
    <w:rsid w:val="00EB6253"/>
    <w:rsid w:val="00F46632"/>
    <w:rsid w:val="00F948A7"/>
    <w:rsid w:val="00FB6DAE"/>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FAD613D7-FF0B-48D9-A31E-577DCAA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character" w:styleId="Hyperlink">
    <w:name w:val="Hyperlink"/>
    <w:basedOn w:val="Fontepargpadro"/>
    <w:uiPriority w:val="99"/>
    <w:unhideWhenUsed/>
    <w:rsid w:val="00442E1F"/>
    <w:rPr>
      <w:color w:val="0000FF" w:themeColor="hyperlink"/>
      <w:u w:val="single"/>
    </w:rPr>
  </w:style>
  <w:style w:type="character" w:styleId="MenoPendente">
    <w:name w:val="Unresolved Mention"/>
    <w:basedOn w:val="Fontepargpadro"/>
    <w:uiPriority w:val="99"/>
    <w:semiHidden/>
    <w:unhideWhenUsed/>
    <w:rsid w:val="00442E1F"/>
    <w:rPr>
      <w:color w:val="605E5C"/>
      <w:shd w:val="clear" w:color="auto" w:fill="E1DFDD"/>
    </w:rPr>
  </w:style>
  <w:style w:type="paragraph" w:styleId="Legenda">
    <w:name w:val="caption"/>
    <w:basedOn w:val="Normal"/>
    <w:next w:val="Normal"/>
    <w:uiPriority w:val="35"/>
    <w:unhideWhenUsed/>
    <w:qFormat/>
    <w:rsid w:val="006C1C9D"/>
    <w:pPr>
      <w:spacing w:after="200"/>
    </w:pPr>
    <w:rPr>
      <w:i/>
      <w:iCs/>
      <w:color w:val="1F497D" w:themeColor="text2"/>
      <w:sz w:val="18"/>
      <w:szCs w:val="18"/>
    </w:rPr>
  </w:style>
  <w:style w:type="table" w:styleId="Tabelacomgrade">
    <w:name w:val="Table Grid"/>
    <w:basedOn w:val="Tabelanormal"/>
    <w:uiPriority w:val="39"/>
    <w:qFormat/>
    <w:rsid w:val="00442652"/>
    <w:pPr>
      <w:widowControl/>
      <w:autoSpaceDE/>
      <w:autoSpaceDN/>
    </w:pPr>
    <w:rPr>
      <w:rFonts w:ascii="Times New Roman" w:eastAsia="Times New Roman" w:hAnsi="Times New Roman" w:cs="Times New Roman"/>
      <w:sz w:val="20"/>
      <w:szCs w:val="20"/>
      <w:lang w:val="pt-BR"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fia">
    <w:name w:val="Bibliography"/>
    <w:basedOn w:val="Normal"/>
    <w:next w:val="Normal"/>
    <w:uiPriority w:val="37"/>
    <w:unhideWhenUsed/>
    <w:rsid w:val="0069696D"/>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7560</Words>
  <Characters>40829</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Lucas Martins</cp:lastModifiedBy>
  <cp:revision>3</cp:revision>
  <dcterms:created xsi:type="dcterms:W3CDTF">2024-10-18T19:29:00Z</dcterms:created>
  <dcterms:modified xsi:type="dcterms:W3CDTF">2024-11-24T22:36:00Z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y fmtid="{D5CDD505-2E9C-101B-9397-08002B2CF9AE}" pid="5" name="ZOTERO_PREF_1">
    <vt:lpwstr>&lt;data data-version="3" zotero-version="7.0.9"&gt;&lt;session id="oKbobv4Z"/&gt;&lt;style id="http://www.zotero.org/styles/universidade-estadual-paulista-faculdade-de-engenharia-de-guaratingueta-abnt" hasBibliography="1" bibliographyStyleHasBeenSet="1"/&gt;&lt;prefs&gt;&lt;pref n</vt:lpwstr>
  </property>
  <property fmtid="{D5CDD505-2E9C-101B-9397-08002B2CF9AE}" pid="6" name="ZOTERO_PREF_2">
    <vt:lpwstr>ame="fieldType" value="Field"/&gt;&lt;/prefs&gt;&lt;/data&gt;</vt:lpwstr>
  </property>
</Properties>
</file>