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692A7" w14:textId="77777777" w:rsidR="007E3F75" w:rsidRDefault="00C5513C">
      <w:pPr>
        <w:spacing w:after="160" w:line="240" w:lineRule="auto"/>
        <w:rPr>
          <w:b/>
        </w:rPr>
      </w:pPr>
      <w:r>
        <w:rPr>
          <w:b/>
        </w:rPr>
        <w:t>USO DA CETAMINA NA PREVENÇÃO DO SUICÍDIO EM ADOLESCENTES: UMA REVISÃO DE ESCOPO</w:t>
      </w:r>
    </w:p>
    <w:p w14:paraId="15C504E2" w14:textId="77777777" w:rsidR="007E3F75" w:rsidRDefault="00C5513C">
      <w:pPr>
        <w:spacing w:after="160" w:line="240" w:lineRule="auto"/>
        <w:rPr>
          <w:sz w:val="20"/>
          <w:szCs w:val="20"/>
        </w:rPr>
      </w:pPr>
      <w:r>
        <w:rPr>
          <w:b/>
          <w:sz w:val="20"/>
          <w:szCs w:val="20"/>
          <w:u w:val="single"/>
        </w:rPr>
        <w:t>JOSÉ GABRIELL FEITOSA CAVALCANTE</w:t>
      </w:r>
      <w:r>
        <w:rPr>
          <w:b/>
          <w:sz w:val="20"/>
          <w:szCs w:val="20"/>
          <w:vertAlign w:val="superscript"/>
        </w:rPr>
        <w:t>1</w:t>
      </w:r>
      <w:r>
        <w:rPr>
          <w:sz w:val="20"/>
          <w:szCs w:val="20"/>
        </w:rPr>
        <w:t>; CHRISTINA MACHADO TAVARES VIANA</w:t>
      </w:r>
      <w:r>
        <w:rPr>
          <w:sz w:val="20"/>
          <w:szCs w:val="20"/>
          <w:vertAlign w:val="superscript"/>
        </w:rPr>
        <w:t>1</w:t>
      </w:r>
      <w:r>
        <w:rPr>
          <w:sz w:val="20"/>
          <w:szCs w:val="20"/>
        </w:rPr>
        <w:t>, GUILHERME ANTHONY DA SILVA BARBOSA¹, GUSTAVO KAUÊ LIMA DA COSTA¹, JULIA CAVALCANTE FURTADO ALBUQUERQUE</w:t>
      </w:r>
      <w:r>
        <w:rPr>
          <w:sz w:val="20"/>
          <w:szCs w:val="20"/>
          <w:vertAlign w:val="superscript"/>
        </w:rPr>
        <w:t>1</w:t>
      </w:r>
      <w:r>
        <w:rPr>
          <w:sz w:val="20"/>
          <w:szCs w:val="20"/>
        </w:rPr>
        <w:t>,MARINA VITAL SILVA DOS ANJOS¹, THIAGO JOSÉ MATOS ROCHA</w:t>
      </w:r>
      <w:r>
        <w:rPr>
          <w:sz w:val="20"/>
          <w:szCs w:val="20"/>
          <w:vertAlign w:val="superscript"/>
        </w:rPr>
        <w:t>1-2</w:t>
      </w:r>
      <w:r>
        <w:rPr>
          <w:sz w:val="20"/>
          <w:szCs w:val="20"/>
        </w:rPr>
        <w:t>, LAÉRCIO POL FACHIN</w:t>
      </w:r>
      <w:r>
        <w:rPr>
          <w:sz w:val="20"/>
          <w:szCs w:val="20"/>
          <w:vertAlign w:val="superscript"/>
        </w:rPr>
        <w:t>1</w:t>
      </w:r>
    </w:p>
    <w:p w14:paraId="42592173" w14:textId="77777777" w:rsidR="007E3F75" w:rsidRDefault="00C5513C">
      <w:pPr>
        <w:spacing w:line="240" w:lineRule="auto"/>
        <w:rPr>
          <w:sz w:val="18"/>
          <w:szCs w:val="18"/>
        </w:rPr>
      </w:pPr>
      <w:r>
        <w:rPr>
          <w:sz w:val="18"/>
          <w:szCs w:val="18"/>
          <w:vertAlign w:val="superscript"/>
        </w:rPr>
        <w:t>1</w:t>
      </w:r>
      <w:r>
        <w:rPr>
          <w:sz w:val="18"/>
          <w:szCs w:val="18"/>
        </w:rPr>
        <w:t xml:space="preserve">Centro Universitário Cesmac, Maceió, AL, Brasil. </w:t>
      </w:r>
    </w:p>
    <w:p w14:paraId="70652053" w14:textId="77777777" w:rsidR="007E3F75" w:rsidRDefault="00C5513C">
      <w:pPr>
        <w:spacing w:line="240" w:lineRule="auto"/>
        <w:rPr>
          <w:sz w:val="18"/>
          <w:szCs w:val="18"/>
        </w:rPr>
      </w:pPr>
      <w:r>
        <w:rPr>
          <w:sz w:val="18"/>
          <w:szCs w:val="18"/>
          <w:vertAlign w:val="superscript"/>
        </w:rPr>
        <w:t xml:space="preserve">2 </w:t>
      </w:r>
      <w:r>
        <w:rPr>
          <w:sz w:val="18"/>
          <w:szCs w:val="18"/>
        </w:rPr>
        <w:t>Universidade Estadual de Ciências da Saúde de Alagoas, Maceió, AL, Brasil.</w:t>
      </w:r>
    </w:p>
    <w:p w14:paraId="72961167" w14:textId="77777777" w:rsidR="007E3F75" w:rsidRDefault="007E3F75">
      <w:pPr>
        <w:spacing w:line="240" w:lineRule="auto"/>
        <w:rPr>
          <w:sz w:val="18"/>
          <w:szCs w:val="18"/>
        </w:rPr>
      </w:pPr>
    </w:p>
    <w:p w14:paraId="02268300" w14:textId="77777777" w:rsidR="007E3F75" w:rsidRDefault="00C5513C">
      <w:pPr>
        <w:spacing w:line="240" w:lineRule="auto"/>
        <w:rPr>
          <w:color w:val="000000"/>
          <w:sz w:val="18"/>
          <w:szCs w:val="18"/>
          <w:highlight w:val="white"/>
        </w:rPr>
      </w:pPr>
      <w:r>
        <w:rPr>
          <w:color w:val="000000"/>
          <w:sz w:val="18"/>
          <w:szCs w:val="18"/>
          <w:highlight w:val="white"/>
        </w:rPr>
        <w:t xml:space="preserve">E-mail do autor: </w:t>
      </w:r>
      <w:hyperlink r:id="rId6">
        <w:r>
          <w:rPr>
            <w:color w:val="0563C1"/>
            <w:sz w:val="18"/>
            <w:szCs w:val="18"/>
            <w:highlight w:val="white"/>
            <w:u w:val="single"/>
          </w:rPr>
          <w:t>jose.gabriell@hotmail.com</w:t>
        </w:r>
      </w:hyperlink>
      <w:r>
        <w:rPr>
          <w:color w:val="000000"/>
          <w:sz w:val="18"/>
          <w:szCs w:val="18"/>
          <w:highlight w:val="white"/>
        </w:rPr>
        <w:t xml:space="preserve"> </w:t>
      </w:r>
    </w:p>
    <w:p w14:paraId="1A7C3DBE" w14:textId="77777777" w:rsidR="007E3F75" w:rsidRDefault="00C5513C">
      <w:pPr>
        <w:spacing w:line="240" w:lineRule="auto"/>
        <w:rPr>
          <w:color w:val="000000"/>
          <w:sz w:val="18"/>
          <w:szCs w:val="18"/>
          <w:highlight w:val="white"/>
        </w:rPr>
      </w:pPr>
      <w:r>
        <w:rPr>
          <w:color w:val="000000"/>
          <w:sz w:val="18"/>
          <w:szCs w:val="18"/>
          <w:highlight w:val="white"/>
        </w:rPr>
        <w:t xml:space="preserve">E-mail do orientador: </w:t>
      </w:r>
      <w:hyperlink r:id="rId7">
        <w:r>
          <w:rPr>
            <w:color w:val="0563C1"/>
            <w:sz w:val="18"/>
            <w:szCs w:val="18"/>
            <w:highlight w:val="white"/>
            <w:u w:val="single"/>
          </w:rPr>
          <w:t>laercio.fachin@cesmac.edu.br</w:t>
        </w:r>
      </w:hyperlink>
      <w:r>
        <w:rPr>
          <w:color w:val="000000"/>
          <w:sz w:val="18"/>
          <w:szCs w:val="18"/>
          <w:highlight w:val="white"/>
        </w:rPr>
        <w:t xml:space="preserve"> </w:t>
      </w:r>
    </w:p>
    <w:p w14:paraId="2B5951FB" w14:textId="77777777" w:rsidR="007E3F75" w:rsidRDefault="007E3F75">
      <w:pPr>
        <w:spacing w:line="240" w:lineRule="auto"/>
        <w:rPr>
          <w:color w:val="000000"/>
          <w:sz w:val="18"/>
          <w:szCs w:val="18"/>
          <w:highlight w:val="white"/>
        </w:rPr>
      </w:pPr>
    </w:p>
    <w:p w14:paraId="1CAADE41" w14:textId="79E7B2AF" w:rsidR="007E3F75" w:rsidRDefault="00C5513C">
      <w:pPr>
        <w:spacing w:line="240" w:lineRule="auto"/>
        <w:rPr>
          <w:sz w:val="20"/>
          <w:szCs w:val="20"/>
        </w:rPr>
      </w:pPr>
      <w:r>
        <w:rPr>
          <w:b/>
          <w:sz w:val="20"/>
          <w:szCs w:val="20"/>
        </w:rPr>
        <w:t>INTRODUÇÃO:</w:t>
      </w:r>
      <w:r>
        <w:rPr>
          <w:sz w:val="20"/>
          <w:szCs w:val="20"/>
        </w:rPr>
        <w:t xml:space="preserve"> A ideação suicida (IS) é uma emergência médica que requer atenção imediata e desempenha papel fundamental na prevenção do suicídio. A cetamina intravenosa, um anestésico dissociativo, tem sido destacada por seus efeitos antidepressivos rápidos, especialmente na redução da IS. Embora essa droga apresenta resultados promissores em adolescentes, ainda há poucos estudos que avaliem sua eficácia e segurança nesta população. </w:t>
      </w:r>
      <w:r>
        <w:rPr>
          <w:b/>
          <w:sz w:val="20"/>
          <w:szCs w:val="20"/>
        </w:rPr>
        <w:t>OBJETIVO:</w:t>
      </w:r>
      <w:r>
        <w:rPr>
          <w:sz w:val="20"/>
          <w:szCs w:val="20"/>
        </w:rPr>
        <w:t xml:space="preserve"> Avaliar a eficácia da cetamina na prevenção do suicídio e analisar seus benefí</w:t>
      </w:r>
      <w:r>
        <w:rPr>
          <w:sz w:val="20"/>
          <w:szCs w:val="20"/>
        </w:rPr>
        <w:t xml:space="preserve">cios e limitações a longo prazo. </w:t>
      </w:r>
      <w:r>
        <w:rPr>
          <w:b/>
          <w:sz w:val="20"/>
          <w:szCs w:val="20"/>
        </w:rPr>
        <w:t>METODOLOGIA:</w:t>
      </w:r>
      <w:r>
        <w:rPr>
          <w:sz w:val="20"/>
          <w:szCs w:val="20"/>
        </w:rPr>
        <w:t xml:space="preserve"> Realizou-se uma revisão de escopo utilizando a base de dados MEDLINE</w:t>
      </w:r>
      <w:r w:rsidR="008C70AC">
        <w:rPr>
          <w:sz w:val="20"/>
          <w:szCs w:val="20"/>
        </w:rPr>
        <w:t>,</w:t>
      </w:r>
      <w:r>
        <w:rPr>
          <w:sz w:val="20"/>
          <w:szCs w:val="20"/>
        </w:rPr>
        <w:t xml:space="preserve"> via </w:t>
      </w:r>
      <w:proofErr w:type="spellStart"/>
      <w:r>
        <w:rPr>
          <w:sz w:val="20"/>
          <w:szCs w:val="20"/>
        </w:rPr>
        <w:t>PubMed</w:t>
      </w:r>
      <w:proofErr w:type="spellEnd"/>
      <w:r>
        <w:rPr>
          <w:sz w:val="20"/>
          <w:szCs w:val="20"/>
        </w:rPr>
        <w:t>. A estratégia de busca foi construída com os descritores do Medical Subject Headings (</w:t>
      </w:r>
      <w:proofErr w:type="spellStart"/>
      <w:r>
        <w:rPr>
          <w:sz w:val="20"/>
          <w:szCs w:val="20"/>
        </w:rPr>
        <w:t>MeSH</w:t>
      </w:r>
      <w:proofErr w:type="spellEnd"/>
      <w:r>
        <w:rPr>
          <w:sz w:val="20"/>
          <w:szCs w:val="20"/>
        </w:rPr>
        <w:t xml:space="preserve">) em inglês, </w:t>
      </w:r>
      <w:r w:rsidR="008C70AC" w:rsidRPr="008C70AC">
        <w:rPr>
          <w:sz w:val="20"/>
          <w:szCs w:val="20"/>
        </w:rPr>
        <w:t>“</w:t>
      </w:r>
      <w:proofErr w:type="spellStart"/>
      <w:r w:rsidR="008C70AC" w:rsidRPr="008C70AC">
        <w:rPr>
          <w:sz w:val="20"/>
          <w:szCs w:val="20"/>
        </w:rPr>
        <w:t>Adolescent</w:t>
      </w:r>
      <w:proofErr w:type="spellEnd"/>
      <w:r w:rsidR="008C70AC" w:rsidRPr="008C70AC">
        <w:rPr>
          <w:sz w:val="20"/>
          <w:szCs w:val="20"/>
        </w:rPr>
        <w:t>” AND “</w:t>
      </w:r>
      <w:proofErr w:type="spellStart"/>
      <w:r w:rsidR="008C70AC" w:rsidRPr="008C70AC">
        <w:rPr>
          <w:sz w:val="20"/>
          <w:szCs w:val="20"/>
        </w:rPr>
        <w:t>Ketamine</w:t>
      </w:r>
      <w:proofErr w:type="spellEnd"/>
      <w:r w:rsidR="008C70AC" w:rsidRPr="008C70AC">
        <w:rPr>
          <w:sz w:val="20"/>
          <w:szCs w:val="20"/>
        </w:rPr>
        <w:t>” AND Suicide”</w:t>
      </w:r>
      <w:r>
        <w:rPr>
          <w:sz w:val="20"/>
          <w:szCs w:val="20"/>
        </w:rPr>
        <w:t xml:space="preserve">. A pesquisa abrangeu artigos publicados entre 2014 e 2024. A busca incluiu termos relacionados a adolescentes e cetamina, focando em ensaios clínicos randomizados. Foram identificados 28 artigos, dos quais 4 atenderam aos critérios de inclusão (ensaios com cetamina intravenosa em adolescentes com IS). </w:t>
      </w:r>
      <w:r>
        <w:rPr>
          <w:b/>
          <w:sz w:val="20"/>
          <w:szCs w:val="20"/>
        </w:rPr>
        <w:t>RESULTADOS:</w:t>
      </w:r>
      <w:r>
        <w:rPr>
          <w:sz w:val="20"/>
          <w:szCs w:val="20"/>
        </w:rPr>
        <w:t xml:space="preserve"> Os estudos clínicos mostraram que uma única dose de cetamina intravenosa pode reduzir significativamente a IS dentro de poucas horas. No entanto, os efeitos são transitórios, e há preocupações sob</w:t>
      </w:r>
      <w:r>
        <w:rPr>
          <w:sz w:val="20"/>
          <w:szCs w:val="20"/>
        </w:rPr>
        <w:t xml:space="preserve">re a segurança do uso prolongado, como riscos de dissociação, abuso de substâncias e neurotoxicidade. </w:t>
      </w:r>
      <w:r>
        <w:rPr>
          <w:b/>
          <w:sz w:val="20"/>
          <w:szCs w:val="20"/>
        </w:rPr>
        <w:t>CONCLUSÃO:</w:t>
      </w:r>
      <w:r>
        <w:rPr>
          <w:sz w:val="20"/>
          <w:szCs w:val="20"/>
        </w:rPr>
        <w:t xml:space="preserve"> A cetamina mostra-se eficaz no curto prazo para tratar IS, mas mais estudos são necessários para entender seus efeitos a longo prazo. A rápida redução da IS com cetamina não garante a eliminação do risco de suicídio após a alta hospitalar.</w:t>
      </w:r>
    </w:p>
    <w:p w14:paraId="621D35CF" w14:textId="77777777" w:rsidR="007E3F75" w:rsidRDefault="007E3F75">
      <w:pPr>
        <w:spacing w:after="160" w:line="240" w:lineRule="auto"/>
        <w:rPr>
          <w:sz w:val="22"/>
          <w:szCs w:val="22"/>
        </w:rPr>
      </w:pPr>
    </w:p>
    <w:p w14:paraId="15A62A02" w14:textId="5360F212" w:rsidR="007E3F75" w:rsidRDefault="00C5513C">
      <w:pPr>
        <w:spacing w:line="240" w:lineRule="auto"/>
        <w:jc w:val="left"/>
      </w:pPr>
      <w:r>
        <w:rPr>
          <w:b/>
        </w:rPr>
        <w:t xml:space="preserve">Palavras-chave: </w:t>
      </w:r>
      <w:r>
        <w:t>Adolescente, cetamina, ideação</w:t>
      </w:r>
      <w:r>
        <w:t xml:space="preserve"> suicid</w:t>
      </w:r>
      <w:r w:rsidR="008C70AC">
        <w:t>a</w:t>
      </w:r>
      <w:r>
        <w:t xml:space="preserve"> </w:t>
      </w:r>
    </w:p>
    <w:p w14:paraId="22A6401B" w14:textId="77777777" w:rsidR="007E3F75" w:rsidRDefault="007E3F75">
      <w:pPr>
        <w:spacing w:line="240" w:lineRule="auto"/>
        <w:jc w:val="left"/>
      </w:pPr>
    </w:p>
    <w:p w14:paraId="5EF61A2F" w14:textId="77777777" w:rsidR="007E3F75" w:rsidRDefault="007E3F75">
      <w:pPr>
        <w:spacing w:line="240" w:lineRule="auto"/>
        <w:jc w:val="left"/>
      </w:pPr>
    </w:p>
    <w:p w14:paraId="225756C4" w14:textId="77777777" w:rsidR="007E3F75" w:rsidRDefault="007E3F75">
      <w:pPr>
        <w:spacing w:line="240" w:lineRule="auto"/>
        <w:jc w:val="left"/>
      </w:pPr>
    </w:p>
    <w:p w14:paraId="0BA860F1" w14:textId="77777777" w:rsidR="007E3F75" w:rsidRDefault="007E3F75">
      <w:pPr>
        <w:spacing w:line="240" w:lineRule="auto"/>
        <w:jc w:val="left"/>
      </w:pPr>
    </w:p>
    <w:p w14:paraId="559BB8D1" w14:textId="77777777" w:rsidR="007E3F75" w:rsidRDefault="00C5513C">
      <w:pPr>
        <w:spacing w:line="276" w:lineRule="auto"/>
        <w:rPr>
          <w:b/>
          <w:sz w:val="22"/>
          <w:szCs w:val="22"/>
        </w:rPr>
      </w:pPr>
      <w:r>
        <w:rPr>
          <w:b/>
          <w:sz w:val="22"/>
          <w:szCs w:val="22"/>
        </w:rPr>
        <w:t>REFERÊNCIAS BIBLIOGRÁFICAS</w:t>
      </w:r>
    </w:p>
    <w:p w14:paraId="520E1DC4" w14:textId="77777777" w:rsidR="007E3F75" w:rsidRDefault="007E3F75">
      <w:pPr>
        <w:spacing w:line="240" w:lineRule="auto"/>
        <w:rPr>
          <w:sz w:val="22"/>
          <w:szCs w:val="22"/>
        </w:rPr>
      </w:pPr>
    </w:p>
    <w:p w14:paraId="28650A61" w14:textId="77777777" w:rsidR="00C5513C" w:rsidRPr="00C5513C" w:rsidRDefault="00C5513C" w:rsidP="00C5513C">
      <w:pPr>
        <w:spacing w:line="240" w:lineRule="auto"/>
        <w:jc w:val="left"/>
        <w:rPr>
          <w:sz w:val="22"/>
          <w:szCs w:val="22"/>
        </w:rPr>
      </w:pPr>
      <w:bookmarkStart w:id="0" w:name="_Hlk183284246"/>
      <w:r w:rsidRPr="00C5513C">
        <w:rPr>
          <w:sz w:val="22"/>
          <w:szCs w:val="22"/>
        </w:rPr>
        <w:t xml:space="preserve">ABBAR, M.; DEMATTEI, C.; EL-HAGE, W.; LLORCA, PM; SAMALIN, L.; DEMARICOURT, P.; GAILLARD, R.; COURTET, P.; VAIVA, G.; FABBRO, P.; JOLLANT, F. </w:t>
      </w:r>
      <w:proofErr w:type="spellStart"/>
      <w:r w:rsidRPr="00C5513C">
        <w:rPr>
          <w:sz w:val="22"/>
          <w:szCs w:val="22"/>
        </w:rPr>
        <w:t>Ketamine</w:t>
      </w:r>
      <w:proofErr w:type="spellEnd"/>
      <w:r w:rsidRPr="00C5513C">
        <w:rPr>
          <w:sz w:val="22"/>
          <w:szCs w:val="22"/>
        </w:rPr>
        <w:t xml:space="preserve"> for </w:t>
      </w:r>
      <w:proofErr w:type="spellStart"/>
      <w:r w:rsidRPr="00C5513C">
        <w:rPr>
          <w:sz w:val="22"/>
          <w:szCs w:val="22"/>
        </w:rPr>
        <w:t>the</w:t>
      </w:r>
      <w:proofErr w:type="spellEnd"/>
      <w:r w:rsidRPr="00C5513C">
        <w:rPr>
          <w:sz w:val="22"/>
          <w:szCs w:val="22"/>
        </w:rPr>
        <w:t xml:space="preserve"> </w:t>
      </w:r>
      <w:proofErr w:type="spellStart"/>
      <w:r w:rsidRPr="00C5513C">
        <w:rPr>
          <w:sz w:val="22"/>
          <w:szCs w:val="22"/>
        </w:rPr>
        <w:t>acute</w:t>
      </w:r>
      <w:proofErr w:type="spellEnd"/>
      <w:r w:rsidRPr="00C5513C">
        <w:rPr>
          <w:sz w:val="22"/>
          <w:szCs w:val="22"/>
        </w:rPr>
        <w:t xml:space="preserve"> </w:t>
      </w:r>
      <w:proofErr w:type="spellStart"/>
      <w:r w:rsidRPr="00C5513C">
        <w:rPr>
          <w:sz w:val="22"/>
          <w:szCs w:val="22"/>
        </w:rPr>
        <w:t>treatment</w:t>
      </w:r>
      <w:proofErr w:type="spellEnd"/>
      <w:r w:rsidRPr="00C5513C">
        <w:rPr>
          <w:sz w:val="22"/>
          <w:szCs w:val="22"/>
        </w:rPr>
        <w:t xml:space="preserve"> </w:t>
      </w:r>
      <w:proofErr w:type="spellStart"/>
      <w:r w:rsidRPr="00C5513C">
        <w:rPr>
          <w:sz w:val="22"/>
          <w:szCs w:val="22"/>
        </w:rPr>
        <w:t>of</w:t>
      </w:r>
      <w:proofErr w:type="spellEnd"/>
      <w:r w:rsidRPr="00C5513C">
        <w:rPr>
          <w:sz w:val="22"/>
          <w:szCs w:val="22"/>
        </w:rPr>
        <w:t xml:space="preserve"> </w:t>
      </w:r>
      <w:proofErr w:type="spellStart"/>
      <w:r w:rsidRPr="00C5513C">
        <w:rPr>
          <w:sz w:val="22"/>
          <w:szCs w:val="22"/>
        </w:rPr>
        <w:t>severe</w:t>
      </w:r>
      <w:proofErr w:type="spellEnd"/>
      <w:r w:rsidRPr="00C5513C">
        <w:rPr>
          <w:sz w:val="22"/>
          <w:szCs w:val="22"/>
        </w:rPr>
        <w:t xml:space="preserve"> </w:t>
      </w:r>
      <w:proofErr w:type="spellStart"/>
      <w:r w:rsidRPr="00C5513C">
        <w:rPr>
          <w:sz w:val="22"/>
          <w:szCs w:val="22"/>
        </w:rPr>
        <w:t>suicidal</w:t>
      </w:r>
      <w:proofErr w:type="spellEnd"/>
      <w:r w:rsidRPr="00C5513C">
        <w:rPr>
          <w:sz w:val="22"/>
          <w:szCs w:val="22"/>
        </w:rPr>
        <w:t xml:space="preserve"> </w:t>
      </w:r>
      <w:proofErr w:type="spellStart"/>
      <w:r w:rsidRPr="00C5513C">
        <w:rPr>
          <w:sz w:val="22"/>
          <w:szCs w:val="22"/>
        </w:rPr>
        <w:t>ideation</w:t>
      </w:r>
      <w:proofErr w:type="spellEnd"/>
      <w:r w:rsidRPr="00C5513C">
        <w:rPr>
          <w:sz w:val="22"/>
          <w:szCs w:val="22"/>
        </w:rPr>
        <w:t xml:space="preserve">: </w:t>
      </w:r>
      <w:proofErr w:type="spellStart"/>
      <w:r w:rsidRPr="00C5513C">
        <w:rPr>
          <w:sz w:val="22"/>
          <w:szCs w:val="22"/>
        </w:rPr>
        <w:t>double</w:t>
      </w:r>
      <w:proofErr w:type="spellEnd"/>
      <w:r w:rsidRPr="00C5513C">
        <w:rPr>
          <w:sz w:val="22"/>
          <w:szCs w:val="22"/>
        </w:rPr>
        <w:t xml:space="preserve"> </w:t>
      </w:r>
      <w:proofErr w:type="spellStart"/>
      <w:r w:rsidRPr="00C5513C">
        <w:rPr>
          <w:sz w:val="22"/>
          <w:szCs w:val="22"/>
        </w:rPr>
        <w:t>blind</w:t>
      </w:r>
      <w:proofErr w:type="spellEnd"/>
      <w:r w:rsidRPr="00C5513C">
        <w:rPr>
          <w:sz w:val="22"/>
          <w:szCs w:val="22"/>
        </w:rPr>
        <w:t xml:space="preserve">, </w:t>
      </w:r>
      <w:proofErr w:type="spellStart"/>
      <w:r w:rsidRPr="00C5513C">
        <w:rPr>
          <w:sz w:val="22"/>
          <w:szCs w:val="22"/>
        </w:rPr>
        <w:t>randomised</w:t>
      </w:r>
      <w:proofErr w:type="spellEnd"/>
      <w:r w:rsidRPr="00C5513C">
        <w:rPr>
          <w:sz w:val="22"/>
          <w:szCs w:val="22"/>
        </w:rPr>
        <w:t xml:space="preserve"> placebo </w:t>
      </w:r>
      <w:proofErr w:type="spellStart"/>
      <w:r w:rsidRPr="00C5513C">
        <w:rPr>
          <w:sz w:val="22"/>
          <w:szCs w:val="22"/>
        </w:rPr>
        <w:t>controlled</w:t>
      </w:r>
      <w:proofErr w:type="spellEnd"/>
      <w:r w:rsidRPr="00C5513C">
        <w:rPr>
          <w:sz w:val="22"/>
          <w:szCs w:val="22"/>
        </w:rPr>
        <w:t xml:space="preserve"> </w:t>
      </w:r>
      <w:proofErr w:type="spellStart"/>
      <w:r w:rsidRPr="00C5513C">
        <w:rPr>
          <w:sz w:val="22"/>
          <w:szCs w:val="22"/>
        </w:rPr>
        <w:t>trial</w:t>
      </w:r>
      <w:proofErr w:type="spellEnd"/>
      <w:r w:rsidRPr="00C5513C">
        <w:rPr>
          <w:sz w:val="22"/>
          <w:szCs w:val="22"/>
        </w:rPr>
        <w:t xml:space="preserve">. BMJ, v. 376, p. e067194, 2022. </w:t>
      </w:r>
    </w:p>
    <w:p w14:paraId="474BE90E" w14:textId="77777777" w:rsidR="00C5513C" w:rsidRPr="00C5513C" w:rsidRDefault="00C5513C" w:rsidP="00C5513C">
      <w:pPr>
        <w:spacing w:line="240" w:lineRule="auto"/>
        <w:jc w:val="left"/>
        <w:rPr>
          <w:sz w:val="22"/>
          <w:szCs w:val="22"/>
        </w:rPr>
      </w:pPr>
      <w:r w:rsidRPr="00C5513C">
        <w:rPr>
          <w:sz w:val="22"/>
          <w:szCs w:val="22"/>
        </w:rPr>
        <w:t xml:space="preserve"> </w:t>
      </w:r>
    </w:p>
    <w:p w14:paraId="4638924E" w14:textId="77777777" w:rsidR="00C5513C" w:rsidRPr="00C5513C" w:rsidRDefault="00C5513C" w:rsidP="00C5513C">
      <w:pPr>
        <w:spacing w:line="240" w:lineRule="auto"/>
        <w:jc w:val="left"/>
        <w:rPr>
          <w:sz w:val="22"/>
          <w:szCs w:val="22"/>
        </w:rPr>
      </w:pPr>
      <w:r w:rsidRPr="00C5513C">
        <w:rPr>
          <w:sz w:val="22"/>
          <w:szCs w:val="22"/>
        </w:rPr>
        <w:t xml:space="preserve">LAN, X.; WANG, C.; ZHANG, F.; LIU, H.; LI, W.; YE, Y.; HU, Z.; MAI, S.; NING, Y.; ZHOU, Y. Efeitos cognitivos de curto prazo da escetamina em doses repetidas em adolescentes com transtorno depressivo maior e ideação suicida: um ensaio clínico randomizado. </w:t>
      </w:r>
      <w:proofErr w:type="spellStart"/>
      <w:r w:rsidRPr="00C5513C">
        <w:rPr>
          <w:sz w:val="22"/>
          <w:szCs w:val="22"/>
        </w:rPr>
        <w:t>Child</w:t>
      </w:r>
      <w:proofErr w:type="spellEnd"/>
      <w:r w:rsidRPr="00C5513C">
        <w:rPr>
          <w:sz w:val="22"/>
          <w:szCs w:val="22"/>
        </w:rPr>
        <w:t xml:space="preserve"> </w:t>
      </w:r>
      <w:proofErr w:type="spellStart"/>
      <w:r w:rsidRPr="00C5513C">
        <w:rPr>
          <w:sz w:val="22"/>
          <w:szCs w:val="22"/>
        </w:rPr>
        <w:t>and</w:t>
      </w:r>
      <w:proofErr w:type="spellEnd"/>
      <w:r w:rsidRPr="00C5513C">
        <w:rPr>
          <w:sz w:val="22"/>
          <w:szCs w:val="22"/>
        </w:rPr>
        <w:t xml:space="preserve"> </w:t>
      </w:r>
      <w:proofErr w:type="spellStart"/>
      <w:r w:rsidRPr="00C5513C">
        <w:rPr>
          <w:sz w:val="22"/>
          <w:szCs w:val="22"/>
        </w:rPr>
        <w:t>Adolescent</w:t>
      </w:r>
      <w:proofErr w:type="spellEnd"/>
      <w:r w:rsidRPr="00C5513C">
        <w:rPr>
          <w:sz w:val="22"/>
          <w:szCs w:val="22"/>
        </w:rPr>
        <w:t xml:space="preserve"> </w:t>
      </w:r>
      <w:proofErr w:type="spellStart"/>
      <w:r w:rsidRPr="00C5513C">
        <w:rPr>
          <w:sz w:val="22"/>
          <w:szCs w:val="22"/>
        </w:rPr>
        <w:t>Psychiatry</w:t>
      </w:r>
      <w:proofErr w:type="spellEnd"/>
      <w:r w:rsidRPr="00C5513C">
        <w:rPr>
          <w:sz w:val="22"/>
          <w:szCs w:val="22"/>
        </w:rPr>
        <w:t xml:space="preserve"> </w:t>
      </w:r>
      <w:proofErr w:type="spellStart"/>
      <w:r w:rsidRPr="00C5513C">
        <w:rPr>
          <w:sz w:val="22"/>
          <w:szCs w:val="22"/>
        </w:rPr>
        <w:t>and</w:t>
      </w:r>
      <w:proofErr w:type="spellEnd"/>
      <w:r w:rsidRPr="00C5513C">
        <w:rPr>
          <w:sz w:val="22"/>
          <w:szCs w:val="22"/>
        </w:rPr>
        <w:t xml:space="preserve"> Mental </w:t>
      </w:r>
      <w:proofErr w:type="gramStart"/>
      <w:r w:rsidRPr="00C5513C">
        <w:rPr>
          <w:sz w:val="22"/>
          <w:szCs w:val="22"/>
        </w:rPr>
        <w:t>Health ,</w:t>
      </w:r>
      <w:proofErr w:type="gramEnd"/>
      <w:r w:rsidRPr="00C5513C">
        <w:rPr>
          <w:sz w:val="22"/>
          <w:szCs w:val="22"/>
        </w:rPr>
        <w:t xml:space="preserve"> v. 17, n. 1, p. 108, 2023.</w:t>
      </w:r>
    </w:p>
    <w:p w14:paraId="03519A79" w14:textId="77777777" w:rsidR="00C5513C" w:rsidRPr="00C5513C" w:rsidRDefault="00C5513C" w:rsidP="00C5513C">
      <w:pPr>
        <w:spacing w:line="240" w:lineRule="auto"/>
        <w:jc w:val="left"/>
        <w:rPr>
          <w:sz w:val="22"/>
          <w:szCs w:val="22"/>
        </w:rPr>
      </w:pPr>
      <w:r w:rsidRPr="00C5513C">
        <w:rPr>
          <w:sz w:val="22"/>
          <w:szCs w:val="22"/>
        </w:rPr>
        <w:t xml:space="preserve"> </w:t>
      </w:r>
    </w:p>
    <w:p w14:paraId="6C9FC927" w14:textId="77777777" w:rsidR="00C5513C" w:rsidRPr="00C5513C" w:rsidRDefault="00C5513C" w:rsidP="00C5513C">
      <w:pPr>
        <w:spacing w:line="240" w:lineRule="auto"/>
        <w:jc w:val="left"/>
        <w:rPr>
          <w:sz w:val="22"/>
          <w:szCs w:val="22"/>
        </w:rPr>
      </w:pPr>
      <w:r w:rsidRPr="00C5513C">
        <w:rPr>
          <w:sz w:val="22"/>
          <w:szCs w:val="22"/>
        </w:rPr>
        <w:t xml:space="preserve">SCHLEGELMILCH, M.; BARROWMAN, N.; BHATT, M. Cetamina intravenosa para tratamento de ideação suicida em departamento de emergência em uma população pediátrica: protocolo para um estudo piloto duplo-cego, randomizado, controlado por placebo e de braços paralelos (estudo KSI). BMJ </w:t>
      </w:r>
      <w:proofErr w:type="gramStart"/>
      <w:r w:rsidRPr="00C5513C">
        <w:rPr>
          <w:sz w:val="22"/>
          <w:szCs w:val="22"/>
        </w:rPr>
        <w:t>Open ,</w:t>
      </w:r>
      <w:proofErr w:type="gramEnd"/>
      <w:r w:rsidRPr="00C5513C">
        <w:rPr>
          <w:sz w:val="22"/>
          <w:szCs w:val="22"/>
        </w:rPr>
        <w:t xml:space="preserve"> [</w:t>
      </w:r>
      <w:proofErr w:type="spellStart"/>
      <w:r w:rsidRPr="00C5513C">
        <w:rPr>
          <w:sz w:val="22"/>
          <w:szCs w:val="22"/>
        </w:rPr>
        <w:t>Sl</w:t>
      </w:r>
      <w:proofErr w:type="spellEnd"/>
      <w:r w:rsidRPr="00C5513C">
        <w:rPr>
          <w:sz w:val="22"/>
          <w:szCs w:val="22"/>
        </w:rPr>
        <w:t>], v. 14, n. 7, p. e085681, 2024.</w:t>
      </w:r>
    </w:p>
    <w:p w14:paraId="48F4DC06" w14:textId="77777777" w:rsidR="00C5513C" w:rsidRPr="00C5513C" w:rsidRDefault="00C5513C" w:rsidP="00C5513C">
      <w:pPr>
        <w:spacing w:line="240" w:lineRule="auto"/>
        <w:jc w:val="left"/>
        <w:rPr>
          <w:sz w:val="22"/>
          <w:szCs w:val="22"/>
        </w:rPr>
      </w:pPr>
      <w:r w:rsidRPr="00C5513C">
        <w:rPr>
          <w:sz w:val="22"/>
          <w:szCs w:val="22"/>
        </w:rPr>
        <w:t xml:space="preserve"> </w:t>
      </w:r>
    </w:p>
    <w:p w14:paraId="74A9B083" w14:textId="77777777" w:rsidR="00C5513C" w:rsidRPr="00C5513C" w:rsidRDefault="00C5513C" w:rsidP="00C5513C">
      <w:pPr>
        <w:spacing w:line="240" w:lineRule="auto"/>
        <w:jc w:val="left"/>
        <w:rPr>
          <w:sz w:val="22"/>
          <w:szCs w:val="22"/>
        </w:rPr>
      </w:pPr>
      <w:r w:rsidRPr="00C5513C">
        <w:rPr>
          <w:sz w:val="22"/>
          <w:szCs w:val="22"/>
        </w:rPr>
        <w:t xml:space="preserve">ZHOU, </w:t>
      </w:r>
      <w:proofErr w:type="spellStart"/>
      <w:r w:rsidRPr="00C5513C">
        <w:rPr>
          <w:sz w:val="22"/>
          <w:szCs w:val="22"/>
        </w:rPr>
        <w:t>Yanling</w:t>
      </w:r>
      <w:proofErr w:type="spellEnd"/>
      <w:r w:rsidRPr="00C5513C">
        <w:rPr>
          <w:sz w:val="22"/>
          <w:szCs w:val="22"/>
        </w:rPr>
        <w:t xml:space="preserve">; LAN, </w:t>
      </w:r>
      <w:proofErr w:type="spellStart"/>
      <w:r w:rsidRPr="00C5513C">
        <w:rPr>
          <w:sz w:val="22"/>
          <w:szCs w:val="22"/>
        </w:rPr>
        <w:t>Xiaofeng</w:t>
      </w:r>
      <w:proofErr w:type="spellEnd"/>
      <w:r w:rsidRPr="00C5513C">
        <w:rPr>
          <w:sz w:val="22"/>
          <w:szCs w:val="22"/>
        </w:rPr>
        <w:t xml:space="preserve">; WANG, </w:t>
      </w:r>
      <w:proofErr w:type="spellStart"/>
      <w:r w:rsidRPr="00C5513C">
        <w:rPr>
          <w:sz w:val="22"/>
          <w:szCs w:val="22"/>
        </w:rPr>
        <w:t>Chengyu</w:t>
      </w:r>
      <w:proofErr w:type="spellEnd"/>
      <w:r w:rsidRPr="00C5513C">
        <w:rPr>
          <w:sz w:val="22"/>
          <w:szCs w:val="22"/>
        </w:rPr>
        <w:t xml:space="preserve">; ZHANG, Fan; LIU, </w:t>
      </w:r>
      <w:proofErr w:type="spellStart"/>
      <w:r w:rsidRPr="00C5513C">
        <w:rPr>
          <w:sz w:val="22"/>
          <w:szCs w:val="22"/>
        </w:rPr>
        <w:t>Haiyan</w:t>
      </w:r>
      <w:proofErr w:type="spellEnd"/>
      <w:r w:rsidRPr="00C5513C">
        <w:rPr>
          <w:sz w:val="22"/>
          <w:szCs w:val="22"/>
        </w:rPr>
        <w:t xml:space="preserve">; FU, </w:t>
      </w:r>
      <w:proofErr w:type="spellStart"/>
      <w:r w:rsidRPr="00C5513C">
        <w:rPr>
          <w:sz w:val="22"/>
          <w:szCs w:val="22"/>
        </w:rPr>
        <w:t>Ling</w:t>
      </w:r>
      <w:proofErr w:type="spellEnd"/>
      <w:r w:rsidRPr="00C5513C">
        <w:rPr>
          <w:sz w:val="22"/>
          <w:szCs w:val="22"/>
        </w:rPr>
        <w:t xml:space="preserve">; LI, </w:t>
      </w:r>
      <w:proofErr w:type="spellStart"/>
      <w:r w:rsidRPr="00C5513C">
        <w:rPr>
          <w:sz w:val="22"/>
          <w:szCs w:val="22"/>
        </w:rPr>
        <w:t>Weicheng</w:t>
      </w:r>
      <w:proofErr w:type="spellEnd"/>
      <w:r w:rsidRPr="00C5513C">
        <w:rPr>
          <w:sz w:val="22"/>
          <w:szCs w:val="22"/>
        </w:rPr>
        <w:t xml:space="preserve">; YE, </w:t>
      </w:r>
      <w:proofErr w:type="spellStart"/>
      <w:r w:rsidRPr="00C5513C">
        <w:rPr>
          <w:sz w:val="22"/>
          <w:szCs w:val="22"/>
        </w:rPr>
        <w:t>Yanxiang</w:t>
      </w:r>
      <w:proofErr w:type="spellEnd"/>
      <w:r w:rsidRPr="00C5513C">
        <w:rPr>
          <w:sz w:val="22"/>
          <w:szCs w:val="22"/>
        </w:rPr>
        <w:t xml:space="preserve">; HU, </w:t>
      </w:r>
      <w:proofErr w:type="spellStart"/>
      <w:r w:rsidRPr="00C5513C">
        <w:rPr>
          <w:sz w:val="22"/>
          <w:szCs w:val="22"/>
        </w:rPr>
        <w:t>Zhibo</w:t>
      </w:r>
      <w:proofErr w:type="spellEnd"/>
      <w:r w:rsidRPr="00C5513C">
        <w:rPr>
          <w:sz w:val="22"/>
          <w:szCs w:val="22"/>
        </w:rPr>
        <w:t xml:space="preserve">; CHAO, </w:t>
      </w:r>
      <w:proofErr w:type="spellStart"/>
      <w:r w:rsidRPr="00C5513C">
        <w:rPr>
          <w:sz w:val="22"/>
          <w:szCs w:val="22"/>
        </w:rPr>
        <w:t>Ziyuan</w:t>
      </w:r>
      <w:proofErr w:type="spellEnd"/>
      <w:r w:rsidRPr="00C5513C">
        <w:rPr>
          <w:sz w:val="22"/>
          <w:szCs w:val="22"/>
        </w:rPr>
        <w:t xml:space="preserve">; NING, </w:t>
      </w:r>
      <w:proofErr w:type="spellStart"/>
      <w:r w:rsidRPr="00C5513C">
        <w:rPr>
          <w:sz w:val="22"/>
          <w:szCs w:val="22"/>
        </w:rPr>
        <w:t>Yuping</w:t>
      </w:r>
      <w:proofErr w:type="spellEnd"/>
      <w:r w:rsidRPr="00C5513C">
        <w:rPr>
          <w:sz w:val="22"/>
          <w:szCs w:val="22"/>
        </w:rPr>
        <w:t xml:space="preserve">. Efeito da escetamina intravenosa repetida em adolescentes com transtorno depressivo maior e ideação suicida: um ensaio randomizado controlado por placebo ativo. </w:t>
      </w:r>
      <w:proofErr w:type="spellStart"/>
      <w:r w:rsidRPr="00C5513C">
        <w:rPr>
          <w:sz w:val="22"/>
          <w:szCs w:val="22"/>
        </w:rPr>
        <w:t>Journal</w:t>
      </w:r>
      <w:proofErr w:type="spellEnd"/>
      <w:r w:rsidRPr="00C5513C">
        <w:rPr>
          <w:sz w:val="22"/>
          <w:szCs w:val="22"/>
        </w:rPr>
        <w:t xml:space="preserve"> </w:t>
      </w:r>
      <w:proofErr w:type="spellStart"/>
      <w:r w:rsidRPr="00C5513C">
        <w:rPr>
          <w:sz w:val="22"/>
          <w:szCs w:val="22"/>
        </w:rPr>
        <w:t>of</w:t>
      </w:r>
      <w:proofErr w:type="spellEnd"/>
      <w:r w:rsidRPr="00C5513C">
        <w:rPr>
          <w:sz w:val="22"/>
          <w:szCs w:val="22"/>
        </w:rPr>
        <w:t xml:space="preserve"> </w:t>
      </w:r>
      <w:proofErr w:type="spellStart"/>
      <w:r w:rsidRPr="00C5513C">
        <w:rPr>
          <w:sz w:val="22"/>
          <w:szCs w:val="22"/>
        </w:rPr>
        <w:t>the</w:t>
      </w:r>
      <w:proofErr w:type="spellEnd"/>
      <w:r w:rsidRPr="00C5513C">
        <w:rPr>
          <w:sz w:val="22"/>
          <w:szCs w:val="22"/>
        </w:rPr>
        <w:t xml:space="preserve"> American </w:t>
      </w:r>
      <w:proofErr w:type="spellStart"/>
      <w:r w:rsidRPr="00C5513C">
        <w:rPr>
          <w:sz w:val="22"/>
          <w:szCs w:val="22"/>
        </w:rPr>
        <w:t>Academy</w:t>
      </w:r>
      <w:proofErr w:type="spellEnd"/>
      <w:r w:rsidRPr="00C5513C">
        <w:rPr>
          <w:sz w:val="22"/>
          <w:szCs w:val="22"/>
        </w:rPr>
        <w:t xml:space="preserve"> </w:t>
      </w:r>
      <w:proofErr w:type="spellStart"/>
      <w:r w:rsidRPr="00C5513C">
        <w:rPr>
          <w:sz w:val="22"/>
          <w:szCs w:val="22"/>
        </w:rPr>
        <w:t>of</w:t>
      </w:r>
      <w:proofErr w:type="spellEnd"/>
      <w:r w:rsidRPr="00C5513C">
        <w:rPr>
          <w:sz w:val="22"/>
          <w:szCs w:val="22"/>
        </w:rPr>
        <w:t xml:space="preserve"> </w:t>
      </w:r>
      <w:proofErr w:type="spellStart"/>
      <w:r w:rsidRPr="00C5513C">
        <w:rPr>
          <w:sz w:val="22"/>
          <w:szCs w:val="22"/>
        </w:rPr>
        <w:t>Child</w:t>
      </w:r>
      <w:proofErr w:type="spellEnd"/>
      <w:r w:rsidRPr="00C5513C">
        <w:rPr>
          <w:sz w:val="22"/>
          <w:szCs w:val="22"/>
        </w:rPr>
        <w:t xml:space="preserve"> &amp; </w:t>
      </w:r>
      <w:proofErr w:type="spellStart"/>
      <w:r w:rsidRPr="00C5513C">
        <w:rPr>
          <w:sz w:val="22"/>
          <w:szCs w:val="22"/>
        </w:rPr>
        <w:t>Adolescent</w:t>
      </w:r>
      <w:proofErr w:type="spellEnd"/>
      <w:r w:rsidRPr="00C5513C">
        <w:rPr>
          <w:sz w:val="22"/>
          <w:szCs w:val="22"/>
        </w:rPr>
        <w:t xml:space="preserve"> </w:t>
      </w:r>
      <w:proofErr w:type="spellStart"/>
      <w:proofErr w:type="gramStart"/>
      <w:r w:rsidRPr="00C5513C">
        <w:rPr>
          <w:sz w:val="22"/>
          <w:szCs w:val="22"/>
        </w:rPr>
        <w:t>Psychiatry</w:t>
      </w:r>
      <w:proofErr w:type="spellEnd"/>
      <w:r w:rsidRPr="00C5513C">
        <w:rPr>
          <w:sz w:val="22"/>
          <w:szCs w:val="22"/>
        </w:rPr>
        <w:t xml:space="preserve"> ,</w:t>
      </w:r>
      <w:proofErr w:type="gramEnd"/>
      <w:r w:rsidRPr="00C5513C">
        <w:rPr>
          <w:sz w:val="22"/>
          <w:szCs w:val="22"/>
        </w:rPr>
        <w:t xml:space="preserve"> v. 63, n. 5, p. 507-518, 2024. </w:t>
      </w:r>
    </w:p>
    <w:p w14:paraId="61038B0C" w14:textId="7F588637" w:rsidR="007E3F75" w:rsidRDefault="007E3F75">
      <w:pPr>
        <w:spacing w:line="240" w:lineRule="auto"/>
        <w:jc w:val="left"/>
        <w:rPr>
          <w:sz w:val="22"/>
          <w:szCs w:val="22"/>
        </w:rPr>
      </w:pPr>
    </w:p>
    <w:bookmarkEnd w:id="0"/>
    <w:p w14:paraId="5FFA44D1" w14:textId="77777777" w:rsidR="007E3F75" w:rsidRDefault="007E3F75"/>
    <w:sectPr w:rsidR="007E3F75">
      <w:headerReference w:type="default" r:id="rId8"/>
      <w:footerReference w:type="default" r:id="rId9"/>
      <w:headerReference w:type="first" r:id="rId10"/>
      <w:footerReference w:type="first" r:id="rId11"/>
      <w:pgSz w:w="8419" w:h="11906"/>
      <w:pgMar w:top="567" w:right="567" w:bottom="567" w:left="567" w:header="709"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DDB69" w14:textId="77777777" w:rsidR="00C5513C" w:rsidRDefault="00C5513C">
      <w:pPr>
        <w:spacing w:line="240" w:lineRule="auto"/>
      </w:pPr>
      <w:r>
        <w:separator/>
      </w:r>
    </w:p>
  </w:endnote>
  <w:endnote w:type="continuationSeparator" w:id="0">
    <w:p w14:paraId="1E9FE00E" w14:textId="77777777" w:rsidR="00C5513C" w:rsidRDefault="00C55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63A3C" w14:textId="77777777" w:rsidR="007E3F75" w:rsidRDefault="00C5513C">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C70AC">
      <w:rPr>
        <w:noProof/>
        <w:color w:val="000000"/>
      </w:rPr>
      <w:t>1</w:t>
    </w:r>
    <w:r>
      <w:rPr>
        <w:color w:val="000000"/>
      </w:rPr>
      <w:fldChar w:fldCharType="end"/>
    </w:r>
  </w:p>
  <w:p w14:paraId="1514E9DD" w14:textId="77777777" w:rsidR="007E3F75" w:rsidRDefault="007E3F75">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A27E2" w14:textId="77777777" w:rsidR="007E3F75" w:rsidRDefault="00C5513C">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648BDA0" w14:textId="77777777" w:rsidR="007E3F75" w:rsidRDefault="007E3F75">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1F6C6" w14:textId="77777777" w:rsidR="00C5513C" w:rsidRDefault="00C5513C">
      <w:pPr>
        <w:spacing w:line="240" w:lineRule="auto"/>
      </w:pPr>
      <w:r>
        <w:separator/>
      </w:r>
    </w:p>
  </w:footnote>
  <w:footnote w:type="continuationSeparator" w:id="0">
    <w:p w14:paraId="1587380E" w14:textId="77777777" w:rsidR="00C5513C" w:rsidRDefault="00C55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BE4A" w14:textId="77777777" w:rsidR="007E3F75" w:rsidRDefault="007E3F75">
    <w:pPr>
      <w:widowControl w:val="0"/>
      <w:pBdr>
        <w:top w:val="nil"/>
        <w:left w:val="nil"/>
        <w:bottom w:val="nil"/>
        <w:right w:val="nil"/>
        <w:between w:val="nil"/>
      </w:pBdr>
      <w:spacing w:line="276" w:lineRule="auto"/>
      <w:jc w:val="left"/>
    </w:pPr>
  </w:p>
  <w:tbl>
    <w:tblPr>
      <w:tblStyle w:val="a"/>
      <w:tblW w:w="6705" w:type="dxa"/>
      <w:tblInd w:w="0" w:type="dxa"/>
      <w:tblLayout w:type="fixed"/>
      <w:tblLook w:val="0600" w:firstRow="0" w:lastRow="0" w:firstColumn="0" w:lastColumn="0" w:noHBand="1" w:noVBand="1"/>
    </w:tblPr>
    <w:tblGrid>
      <w:gridCol w:w="2235"/>
      <w:gridCol w:w="2235"/>
      <w:gridCol w:w="2235"/>
    </w:tblGrid>
    <w:tr w:rsidR="007E3F75" w14:paraId="3AA478A4" w14:textId="77777777">
      <w:tc>
        <w:tcPr>
          <w:tcW w:w="2235" w:type="dxa"/>
        </w:tcPr>
        <w:p w14:paraId="74F303E8" w14:textId="77777777" w:rsidR="007E3F75" w:rsidRDefault="007E3F75">
          <w:pPr>
            <w:pBdr>
              <w:top w:val="nil"/>
              <w:left w:val="nil"/>
              <w:bottom w:val="nil"/>
              <w:right w:val="nil"/>
              <w:between w:val="nil"/>
            </w:pBdr>
            <w:tabs>
              <w:tab w:val="center" w:pos="4252"/>
              <w:tab w:val="right" w:pos="8504"/>
            </w:tabs>
            <w:spacing w:line="240" w:lineRule="auto"/>
            <w:ind w:left="-115"/>
            <w:jc w:val="left"/>
            <w:rPr>
              <w:color w:val="000000"/>
            </w:rPr>
          </w:pPr>
        </w:p>
      </w:tc>
      <w:tc>
        <w:tcPr>
          <w:tcW w:w="2235" w:type="dxa"/>
        </w:tcPr>
        <w:p w14:paraId="29E9D21F" w14:textId="77777777" w:rsidR="007E3F75" w:rsidRDefault="00C5513C">
          <w:pPr>
            <w:pBdr>
              <w:top w:val="nil"/>
              <w:left w:val="nil"/>
              <w:bottom w:val="nil"/>
              <w:right w:val="nil"/>
              <w:between w:val="nil"/>
            </w:pBdr>
            <w:tabs>
              <w:tab w:val="center" w:pos="4252"/>
              <w:tab w:val="right" w:pos="8504"/>
            </w:tabs>
            <w:spacing w:line="240" w:lineRule="auto"/>
            <w:jc w:val="center"/>
            <w:rPr>
              <w:color w:val="000000"/>
            </w:rPr>
          </w:pPr>
          <w:r>
            <w:rPr>
              <w:noProof/>
            </w:rPr>
            <w:drawing>
              <wp:anchor distT="0" distB="0" distL="114300" distR="114300" simplePos="0" relativeHeight="251658240" behindDoc="0" locked="0" layoutInCell="1" hidden="0" allowOverlap="1" wp14:anchorId="1514ED68" wp14:editId="5EE47690">
                <wp:simplePos x="0" y="0"/>
                <wp:positionH relativeFrom="column">
                  <wp:posOffset>527050</wp:posOffset>
                </wp:positionH>
                <wp:positionV relativeFrom="paragraph">
                  <wp:posOffset>-215264</wp:posOffset>
                </wp:positionV>
                <wp:extent cx="742370" cy="5213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2370" cy="521335"/>
                        </a:xfrm>
                        <a:prstGeom prst="rect">
                          <a:avLst/>
                        </a:prstGeom>
                        <a:ln/>
                      </pic:spPr>
                    </pic:pic>
                  </a:graphicData>
                </a:graphic>
              </wp:anchor>
            </w:drawing>
          </w:r>
        </w:p>
      </w:tc>
      <w:tc>
        <w:tcPr>
          <w:tcW w:w="2235" w:type="dxa"/>
        </w:tcPr>
        <w:p w14:paraId="0A2EA60A" w14:textId="77777777" w:rsidR="007E3F75" w:rsidRDefault="007E3F75">
          <w:pPr>
            <w:pBdr>
              <w:top w:val="nil"/>
              <w:left w:val="nil"/>
              <w:bottom w:val="nil"/>
              <w:right w:val="nil"/>
              <w:between w:val="nil"/>
            </w:pBdr>
            <w:tabs>
              <w:tab w:val="center" w:pos="4252"/>
              <w:tab w:val="right" w:pos="8504"/>
            </w:tabs>
            <w:spacing w:line="240" w:lineRule="auto"/>
            <w:ind w:right="-115"/>
            <w:jc w:val="right"/>
            <w:rPr>
              <w:color w:val="000000"/>
            </w:rPr>
          </w:pPr>
        </w:p>
      </w:tc>
    </w:tr>
  </w:tbl>
  <w:p w14:paraId="52B50F75" w14:textId="77777777" w:rsidR="007E3F75" w:rsidRDefault="007E3F75">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D9287" w14:textId="77777777" w:rsidR="007E3F75" w:rsidRDefault="00C5513C">
    <w:pPr>
      <w:spacing w:line="276" w:lineRule="auto"/>
      <w:jc w:val="center"/>
      <w:rPr>
        <w:sz w:val="12"/>
        <w:szCs w:val="12"/>
      </w:rPr>
    </w:pPr>
    <w:r>
      <w:rPr>
        <w:sz w:val="12"/>
        <w:szCs w:val="12"/>
      </w:rPr>
      <w:t>Educação em Saúde: Percepção de Profissionais atuantes na Atenção Básica à Saúde de um município paraibano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75"/>
    <w:rsid w:val="007E3F75"/>
    <w:rsid w:val="00831928"/>
    <w:rsid w:val="008C70AC"/>
    <w:rsid w:val="00C55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8510"/>
  <w15:docId w15:val="{9C942CAA-F10C-4CF2-9078-7E47F0BF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jc w:val="left"/>
      <w:outlineLvl w:val="0"/>
    </w:pPr>
    <w:rPr>
      <w:b/>
      <w:color w:val="365F91"/>
      <w:sz w:val="28"/>
      <w:szCs w:val="28"/>
    </w:rPr>
  </w:style>
  <w:style w:type="paragraph" w:styleId="Ttulo2">
    <w:name w:val="heading 2"/>
    <w:basedOn w:val="Normal"/>
    <w:next w:val="Normal"/>
    <w:uiPriority w:val="9"/>
    <w:semiHidden/>
    <w:unhideWhenUsed/>
    <w:qFormat/>
    <w:pPr>
      <w:keepNext/>
      <w:keepLines/>
      <w:spacing w:before="200"/>
      <w:outlineLvl w:val="1"/>
    </w:pPr>
    <w:rPr>
      <w:rFonts w:ascii="Calibri" w:eastAsia="Calibri" w:hAnsi="Calibri" w:cs="Calibri"/>
      <w:b/>
      <w:color w:val="5B9BD5"/>
      <w:sz w:val="26"/>
      <w:szCs w:val="26"/>
    </w:rPr>
  </w:style>
  <w:style w:type="paragraph" w:styleId="Ttulo3">
    <w:name w:val="heading 3"/>
    <w:basedOn w:val="Normal"/>
    <w:next w:val="Normal"/>
    <w:uiPriority w:val="9"/>
    <w:semiHidden/>
    <w:unhideWhenUsed/>
    <w:qFormat/>
    <w:pPr>
      <w:keepNext/>
      <w:keepLines/>
      <w:spacing w:before="200"/>
      <w:outlineLvl w:val="2"/>
    </w:pPr>
    <w:rPr>
      <w:rFonts w:ascii="Calibri" w:eastAsia="Calibri" w:hAnsi="Calibri" w:cs="Calibri"/>
      <w:b/>
      <w:color w:val="5B9BD5"/>
    </w:rPr>
  </w:style>
  <w:style w:type="paragraph" w:styleId="Ttulo4">
    <w:name w:val="heading 4"/>
    <w:basedOn w:val="Normal"/>
    <w:next w:val="Normal"/>
    <w:uiPriority w:val="9"/>
    <w:semiHidden/>
    <w:unhideWhenUsed/>
    <w:qFormat/>
    <w:pPr>
      <w:keepNext/>
      <w:keepLines/>
      <w:spacing w:before="40"/>
      <w:jc w:val="left"/>
      <w:outlineLvl w:val="3"/>
    </w:pPr>
    <w:rPr>
      <w:rFonts w:ascii="Calibri" w:eastAsia="Calibri" w:hAnsi="Calibri" w:cs="Calibri"/>
      <w:i/>
      <w:color w:val="2E74B5"/>
    </w:rPr>
  </w:style>
  <w:style w:type="paragraph" w:styleId="Ttulo5">
    <w:name w:val="heading 5"/>
    <w:basedOn w:val="Normal"/>
    <w:next w:val="Normal"/>
    <w:uiPriority w:val="9"/>
    <w:semiHidden/>
    <w:unhideWhenUsed/>
    <w:qFormat/>
    <w:pPr>
      <w:keepNext/>
      <w:keepLines/>
      <w:spacing w:before="40"/>
      <w:jc w:val="left"/>
      <w:outlineLvl w:val="4"/>
    </w:pPr>
    <w:rPr>
      <w:rFonts w:ascii="Calibri" w:eastAsia="Calibri" w:hAnsi="Calibri" w:cs="Calibri"/>
      <w:color w:val="2E74B5"/>
    </w:rPr>
  </w:style>
  <w:style w:type="paragraph" w:styleId="Ttulo6">
    <w:name w:val="heading 6"/>
    <w:basedOn w:val="Normal"/>
    <w:next w:val="Normal"/>
    <w:uiPriority w:val="9"/>
    <w:semiHidden/>
    <w:unhideWhenUsed/>
    <w:qFormat/>
    <w:pPr>
      <w:keepNext/>
      <w:keepLines/>
      <w:spacing w:before="40"/>
      <w:jc w:val="left"/>
      <w:outlineLvl w:val="5"/>
    </w:pPr>
    <w:rPr>
      <w:rFonts w:ascii="Calibri" w:eastAsia="Calibri" w:hAnsi="Calibri" w:cs="Calibri"/>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line="240" w:lineRule="auto"/>
      <w:jc w:val="center"/>
    </w:pPr>
    <w:rPr>
      <w:rFonts w:ascii="Times New Roman" w:eastAsia="Times New Roman" w:hAnsi="Times New Roman" w:cs="Times New Roman"/>
      <w:b/>
    </w:rPr>
  </w:style>
  <w:style w:type="paragraph" w:styleId="Subttulo">
    <w:name w:val="Subtitle"/>
    <w:basedOn w:val="Normal"/>
    <w:next w:val="Normal"/>
    <w:uiPriority w:val="11"/>
    <w:qFormat/>
    <w:pPr>
      <w:spacing w:after="60" w:line="240" w:lineRule="auto"/>
      <w:jc w:val="center"/>
    </w:pPr>
    <w:rPr>
      <w:rFonts w:ascii="Calibri" w:eastAsia="Calibri" w:hAnsi="Calibri" w:cs="Calibri"/>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aercio.fachin@cesmac.edu.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gabriell@hotmail.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3181</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gabriell feitosa calvacante</dc:creator>
  <cp:lastModifiedBy>jose gabriell feitosa calvacante</cp:lastModifiedBy>
  <cp:revision>2</cp:revision>
  <dcterms:created xsi:type="dcterms:W3CDTF">2024-11-23T22:59:00Z</dcterms:created>
  <dcterms:modified xsi:type="dcterms:W3CDTF">2024-11-23T22:59:00Z</dcterms:modified>
</cp:coreProperties>
</file>