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 CONTRIBUIÇÃO DA TECNOLOGIA NO CUIDADO EM SAÚDE MENTAL DE PROFISSIONAIS MÉDICOS DE EMERGÊNCIA</w:t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  <w:vertAlign w:val="superscript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FERNANDA BEATRIZ DE OLIVEIRA FERREIRA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; LETÍCIA ALVES BARBOSA LEITE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ANNY CAROLINY ABS DA SILVA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; ANA SORAYA LIMA BARBOSA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3">
      <w:pPr>
        <w:spacing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1,2,3,4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Centro universitário CESMAC, Maceió-AL 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  <w:vertAlign w:val="subscript"/>
        </w:rPr>
      </w:pPr>
      <w:r w:rsidDel="00000000" w:rsidR="00000000" w:rsidRPr="00000000">
        <w:rPr>
          <w:sz w:val="18"/>
          <w:szCs w:val="18"/>
          <w:rtl w:val="0"/>
        </w:rPr>
        <w:t xml:space="preserve">*E-mail do primeiro autor: nanda-olli@hotmail.com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*E-mail: do orientador: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anasoraya.farma@yahoo.com.br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 rotina de profissionais de saúde de emergência é exposta a traumas e estresses, aumentando o risco de problemas como depressão, ansiedade e estresse pós-traumático. Com isso, atualmente, a colaboração de recursos virtuais é um auxílio de promoção à saúde mental, garantindo cuidados acessíveis na palma da mão, por exemplo, via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smartphones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Objetivo: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Analisar a contribuição da tecnologia nos tratamentos da saúde mental dos profissionais médicos de emergência.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Métodos: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Foi realizada uma revisão integrativa de literatura, com leitura de títulos, resumos e artigos completos nas bases de dados MEDLINE (via PubMed) utilizando  a estratégia de busca “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Mental health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smartphone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emergency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”. Foram incluídos  artigos dos últimos 10 anos, sem delimitação de idiomas, que abordassem as tecnologias e intervenções psicossociais a profissionais médicos de emergência.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Foram encontrados 313 trabalhos, dos quais 309 foram descartados, restando quatro estudos utilizados nessa revisão. O papel das tecnologias digitais no âmbito da saúde mental é crescente, com inovações impulsionadas pela pandemia COVID-19, evidenciando a telessaúde, que fornece intervenções escaláveis e facilmente acessíveis. De fato, essas ferramentas virtuais dão apoio psicossocial remoto à população, especialmente importante para profissionais de emergência, com rotinas agitadas e plantões diversos. Nesse contexto, demonstra-se a  necessidade de uma sensibilização dessa população da importância do cuidado em saúde mental também através de ferramentas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online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Conclusão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:A literatura indica que a tecnologia pode apoiar a saúde mental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 médicos emergenci</w:t>
      </w:r>
      <w:r w:rsidDel="00000000" w:rsidR="00000000" w:rsidRPr="00000000">
        <w:rPr>
          <w:sz w:val="22"/>
          <w:szCs w:val="22"/>
          <w:rtl w:val="0"/>
        </w:rPr>
        <w:t xml:space="preserve">stas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mas sua eficácia exige foco no autocuidado e em estratégias que atendam demandas específicas do grupo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rtl w:val="0"/>
        </w:rPr>
        <w:t xml:space="preserve">Telessaúde. Tecnologia. Saúde mental.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AGARWAL, A. K. et al. Estratégia de engajamento digital e saúde mental do trabalhador da saúde: um ensaio clínico randomizado. </w:t>
      </w: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JAMA Network Open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, v. 7, n. 5, p.e2410994-e2410994, 2024.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EZEONU, N. A. et al. Aplicativos móveis para dar suporte à resposta de saúde mental em desastres naturais: revisão de escopo. </w:t>
      </w: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Journal of medical internet research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, v. 26, p. e49929, 2024.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METCALF, O. et al. Design, desenvolvimento e protocolo de ensaio controlado randomizado de uma versão entregue por </w:t>
      </w:r>
      <w:r w:rsidDel="00000000" w:rsidR="00000000" w:rsidRPr="00000000">
        <w:rPr>
          <w:i w:val="1"/>
          <w:color w:val="000000"/>
          <w:sz w:val="20"/>
          <w:szCs w:val="20"/>
          <w:highlight w:val="white"/>
          <w:rtl w:val="0"/>
        </w:rPr>
        <w:t xml:space="preserve">smartphone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do 'SOLAR' para trabalhadores de serviços de emergência para gerenciar estresse e trauma. </w:t>
      </w: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BMJ open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, v. 13, n. 2, p. e062710, 2023.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TOROUS, J. et al. The growing field of digital psychiatry: current evidence and the future of apps, social media, chatbots, and virtual reality. </w:t>
      </w: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World Psychiatry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, v. 20, n. 3, p. 318-335, 2021.</w:t>
      </w:r>
    </w:p>
    <w:p w:rsidR="00000000" w:rsidDel="00000000" w:rsidP="00000000" w:rsidRDefault="00000000" w:rsidRPr="00000000" w14:paraId="0000000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8419" w:orient="portrait"/>
      <w:pgMar w:bottom="567" w:top="567" w:left="567" w:right="567" w:header="709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Ind w:w="-115.0" w:type="dxa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61811" cy="5349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811" cy="5349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