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398C31DB" w:rsidR="00534CB2" w:rsidRPr="00534CB2" w:rsidRDefault="006275AD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TERAPIAS ALVO: A REVOLUÇÃO NO TRATAMENTO DE CÂNCER DE MAMA HER2-POSITIVO.</w:t>
      </w:r>
    </w:p>
    <w:p w14:paraId="48F08DA2" w14:textId="646E5CBD" w:rsidR="00534CB2" w:rsidRPr="006275AD" w:rsidRDefault="006275AD" w:rsidP="006275AD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KARYNNE MARIA MARINHO CHAVES SANTOS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CLARA PEREIRA MIRANDA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WALLESKA FERNANDA BARBOSA CALHEIROS GUSMÃO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BEATRIZ COSTA NOBRE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>
        <w:rPr>
          <w:rFonts w:eastAsia="Calibri" w:cs="Arial"/>
          <w:sz w:val="20"/>
          <w:szCs w:val="20"/>
        </w:rPr>
        <w:t>; BRUNO GUSTAVO GONZAGA DE ANDRADE</w:t>
      </w:r>
      <w:r>
        <w:rPr>
          <w:rFonts w:eastAsia="Calibri" w:cs="Arial"/>
          <w:sz w:val="20"/>
          <w:szCs w:val="20"/>
          <w:vertAlign w:val="superscript"/>
        </w:rPr>
        <w:t>5</w:t>
      </w:r>
      <w:r>
        <w:rPr>
          <w:rFonts w:eastAsia="Calibri" w:cs="Arial"/>
          <w:sz w:val="20"/>
          <w:szCs w:val="20"/>
        </w:rPr>
        <w:t>; LIRIEL FERRO CORREIA COSTA</w:t>
      </w:r>
      <w:r>
        <w:rPr>
          <w:rFonts w:eastAsia="Calibri" w:cs="Arial"/>
          <w:sz w:val="20"/>
          <w:szCs w:val="20"/>
          <w:vertAlign w:val="superscript"/>
        </w:rPr>
        <w:t>6</w:t>
      </w:r>
      <w:r w:rsidR="0029036D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</w:t>
      </w:r>
      <w:r w:rsidR="0029036D">
        <w:rPr>
          <w:rFonts w:eastAsia="Calibri" w:cs="Arial"/>
          <w:sz w:val="20"/>
          <w:szCs w:val="20"/>
        </w:rPr>
        <w:t>LAÉRCIO POL FACHIN</w:t>
      </w:r>
      <w:r>
        <w:rPr>
          <w:rFonts w:eastAsia="Calibri" w:cs="Arial"/>
          <w:sz w:val="20"/>
          <w:szCs w:val="20"/>
          <w:vertAlign w:val="superscript"/>
        </w:rPr>
        <w:t>7</w:t>
      </w:r>
      <w:r w:rsidR="0029036D">
        <w:rPr>
          <w:rFonts w:eastAsia="Calibri" w:cs="Arial"/>
          <w:sz w:val="20"/>
          <w:szCs w:val="20"/>
        </w:rPr>
        <w:t>.</w:t>
      </w:r>
    </w:p>
    <w:p w14:paraId="6EA47D63" w14:textId="5E10378D" w:rsidR="00414378" w:rsidRDefault="006275AD" w:rsidP="006275AD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1,2,3,4,5,6,7</w:t>
      </w:r>
      <w:r w:rsidR="00B10D42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 w:rsidR="00B10D42"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3E21CCB6" w14:textId="6F69D119" w:rsidR="006275AD" w:rsidRDefault="006275AD" w:rsidP="006275AD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Pr="00803CA0">
        <w:rPr>
          <w:rFonts w:eastAsia="Calibri" w:cs="Arial"/>
          <w:sz w:val="18"/>
          <w:szCs w:val="18"/>
        </w:rPr>
        <w:t>Email</w:t>
      </w:r>
      <w:proofErr w:type="spellEnd"/>
      <w:r w:rsidRPr="00803CA0">
        <w:rPr>
          <w:rFonts w:eastAsia="Calibri" w:cs="Arial"/>
          <w:sz w:val="18"/>
          <w:szCs w:val="18"/>
        </w:rPr>
        <w:t xml:space="preserve"> do primeiro autor</w:t>
      </w:r>
      <w:r>
        <w:rPr>
          <w:rFonts w:eastAsia="Calibri" w:cs="Arial"/>
          <w:sz w:val="18"/>
          <w:szCs w:val="18"/>
        </w:rPr>
        <w:t xml:space="preserve">: </w:t>
      </w:r>
      <w:hyperlink r:id="rId8" w:history="1">
        <w:r w:rsidR="0029036D" w:rsidRPr="001F3235">
          <w:rPr>
            <w:rStyle w:val="Hyperlink"/>
            <w:rFonts w:eastAsia="Calibri" w:cs="Arial"/>
            <w:sz w:val="18"/>
            <w:szCs w:val="18"/>
          </w:rPr>
          <w:t>marinhokarynne@gmail.com</w:t>
        </w:r>
      </w:hyperlink>
    </w:p>
    <w:p w14:paraId="46259C2F" w14:textId="22369777" w:rsidR="0029036D" w:rsidRPr="00803CA0" w:rsidRDefault="0029036D" w:rsidP="006275AD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*</w:t>
      </w:r>
      <w:proofErr w:type="spellStart"/>
      <w:r>
        <w:rPr>
          <w:rFonts w:eastAsia="Calibri" w:cs="Arial"/>
          <w:sz w:val="18"/>
          <w:szCs w:val="18"/>
        </w:rPr>
        <w:t>Email</w:t>
      </w:r>
      <w:proofErr w:type="spellEnd"/>
      <w:r>
        <w:rPr>
          <w:rFonts w:eastAsia="Calibri" w:cs="Arial"/>
          <w:sz w:val="18"/>
          <w:szCs w:val="18"/>
        </w:rPr>
        <w:t xml:space="preserve"> do orientador: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B9B48F3" w14:textId="0EEA12FA" w:rsidR="0029036D" w:rsidRDefault="00534CB2" w:rsidP="0029036D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275AD">
        <w:rPr>
          <w:rFonts w:eastAsia="Calibri" w:cs="Arial"/>
          <w:sz w:val="22"/>
          <w:szCs w:val="22"/>
        </w:rPr>
        <w:t xml:space="preserve">O câncer de mama é a principal causa de morte por câncer em mulheres no mundo, </w:t>
      </w:r>
      <w:r w:rsidR="000D6F7A">
        <w:rPr>
          <w:rFonts w:eastAsia="Calibri" w:cs="Arial"/>
          <w:sz w:val="22"/>
          <w:szCs w:val="22"/>
        </w:rPr>
        <w:t>acometendo</w:t>
      </w:r>
      <w:r w:rsidR="006275AD">
        <w:rPr>
          <w:rFonts w:eastAsia="Calibri" w:cs="Arial"/>
          <w:sz w:val="22"/>
          <w:szCs w:val="22"/>
        </w:rPr>
        <w:t xml:space="preserve"> 12,5% dos novos casos anuais mundialmente.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275AD">
        <w:rPr>
          <w:rFonts w:eastAsia="Calibri" w:cs="Arial"/>
          <w:sz w:val="22"/>
          <w:szCs w:val="22"/>
        </w:rPr>
        <w:t>O subtipo HER2+ constitui aproximadamente 15% dos casos de câncer de mama, com maiores taxas de proliferação</w:t>
      </w:r>
      <w:r w:rsidR="0029036D">
        <w:rPr>
          <w:rFonts w:eastAsia="Calibri" w:cs="Arial"/>
          <w:sz w:val="22"/>
          <w:szCs w:val="22"/>
        </w:rPr>
        <w:t xml:space="preserve"> e</w:t>
      </w:r>
      <w:r w:rsidR="006275AD">
        <w:rPr>
          <w:rFonts w:eastAsia="Calibri" w:cs="Arial"/>
          <w:sz w:val="22"/>
          <w:szCs w:val="22"/>
        </w:rPr>
        <w:t xml:space="preserve"> de recorrência</w:t>
      </w:r>
      <w:r w:rsidR="000D6F7A">
        <w:rPr>
          <w:rFonts w:eastAsia="Calibri" w:cs="Arial"/>
          <w:sz w:val="22"/>
          <w:szCs w:val="22"/>
        </w:rPr>
        <w:t xml:space="preserve">. </w:t>
      </w:r>
      <w:r w:rsidR="000D6F7A" w:rsidRPr="000D6F7A">
        <w:rPr>
          <w:rFonts w:eastAsia="Calibri" w:cs="Arial"/>
          <w:sz w:val="22"/>
          <w:szCs w:val="22"/>
        </w:rPr>
        <w:t xml:space="preserve">A terapia direcionada é um </w:t>
      </w:r>
      <w:r w:rsidR="000D6F7A">
        <w:rPr>
          <w:rFonts w:eastAsia="Calibri" w:cs="Arial"/>
          <w:sz w:val="22"/>
          <w:szCs w:val="22"/>
        </w:rPr>
        <w:t>tipo de</w:t>
      </w:r>
      <w:r w:rsidR="000D6F7A" w:rsidRPr="000D6F7A">
        <w:rPr>
          <w:rFonts w:eastAsia="Calibri" w:cs="Arial"/>
          <w:sz w:val="22"/>
          <w:szCs w:val="22"/>
        </w:rPr>
        <w:t xml:space="preserve"> tratamento</w:t>
      </w:r>
      <w:r w:rsidR="000D6F7A">
        <w:rPr>
          <w:rFonts w:eastAsia="Calibri" w:cs="Arial"/>
          <w:sz w:val="22"/>
          <w:szCs w:val="22"/>
        </w:rPr>
        <w:t xml:space="preserve"> </w:t>
      </w:r>
      <w:proofErr w:type="gramStart"/>
      <w:r w:rsidR="000D6F7A" w:rsidRPr="000D6F7A">
        <w:rPr>
          <w:rFonts w:eastAsia="Calibri" w:cs="Arial"/>
          <w:sz w:val="22"/>
          <w:szCs w:val="22"/>
        </w:rPr>
        <w:t>que  ataca</w:t>
      </w:r>
      <w:proofErr w:type="gramEnd"/>
      <w:r w:rsidR="000D6F7A" w:rsidRPr="000D6F7A">
        <w:rPr>
          <w:rFonts w:eastAsia="Calibri" w:cs="Arial"/>
          <w:sz w:val="22"/>
          <w:szCs w:val="22"/>
        </w:rPr>
        <w:t xml:space="preserve"> com precisão células cancerígenas</w:t>
      </w:r>
      <w:r w:rsidR="000D6F7A">
        <w:rPr>
          <w:rFonts w:eastAsia="Calibri" w:cs="Arial"/>
          <w:sz w:val="22"/>
          <w:szCs w:val="22"/>
        </w:rPr>
        <w:t xml:space="preserve">, e apresenta um ótimo </w:t>
      </w:r>
      <w:proofErr w:type="spellStart"/>
      <w:r w:rsidR="000D6F7A">
        <w:rPr>
          <w:rFonts w:eastAsia="Calibri" w:cs="Arial"/>
          <w:sz w:val="22"/>
          <w:szCs w:val="22"/>
        </w:rPr>
        <w:t>prognótico</w:t>
      </w:r>
      <w:proofErr w:type="spellEnd"/>
      <w:r w:rsidR="000D6F7A">
        <w:rPr>
          <w:rFonts w:eastAsia="Calibri" w:cs="Arial"/>
          <w:sz w:val="22"/>
          <w:szCs w:val="22"/>
        </w:rPr>
        <w:t xml:space="preserve"> no câncer de mama HER2+.</w:t>
      </w:r>
      <w:r w:rsidR="006275AD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6275AD">
        <w:rPr>
          <w:rFonts w:eastAsia="Calibri" w:cs="Arial"/>
          <w:sz w:val="22"/>
          <w:szCs w:val="22"/>
        </w:rPr>
        <w:t xml:space="preserve">Analisar a aplicabilidade das terapias alvo no tratamento de câncer de mama her2-positivo, visando melhora acerca do prognóstico da doença.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275AD">
        <w:rPr>
          <w:rFonts w:eastAsia="Calibri" w:cs="Arial"/>
          <w:sz w:val="22"/>
          <w:szCs w:val="22"/>
        </w:rPr>
        <w:t xml:space="preserve">Revisão de literatura qualitativa, realizada através das plataformas Cochrane, </w:t>
      </w:r>
      <w:proofErr w:type="spellStart"/>
      <w:r w:rsidR="006275AD">
        <w:rPr>
          <w:rFonts w:eastAsia="Calibri" w:cs="Arial"/>
          <w:sz w:val="22"/>
          <w:szCs w:val="22"/>
        </w:rPr>
        <w:t>Pubmed</w:t>
      </w:r>
      <w:proofErr w:type="spellEnd"/>
      <w:r w:rsidR="006275AD">
        <w:rPr>
          <w:rFonts w:eastAsia="Calibri" w:cs="Arial"/>
          <w:sz w:val="22"/>
          <w:szCs w:val="22"/>
        </w:rPr>
        <w:t xml:space="preserve"> e </w:t>
      </w:r>
      <w:proofErr w:type="spellStart"/>
      <w:r w:rsidR="006275AD">
        <w:rPr>
          <w:rFonts w:eastAsia="Calibri" w:cs="Arial"/>
          <w:sz w:val="22"/>
          <w:szCs w:val="22"/>
        </w:rPr>
        <w:t>Scielo</w:t>
      </w:r>
      <w:proofErr w:type="spellEnd"/>
      <w:r w:rsidR="006275AD">
        <w:rPr>
          <w:rFonts w:eastAsia="Calibri" w:cs="Arial"/>
          <w:sz w:val="22"/>
          <w:szCs w:val="22"/>
        </w:rPr>
        <w:t>, com a utilização dos operadores booleanos “AND” e “OR” intercalados às palavras “</w:t>
      </w:r>
      <w:proofErr w:type="spellStart"/>
      <w:r w:rsidR="006275AD">
        <w:rPr>
          <w:rFonts w:eastAsia="Calibri" w:cs="Arial"/>
          <w:sz w:val="22"/>
          <w:szCs w:val="22"/>
        </w:rPr>
        <w:t>breast</w:t>
      </w:r>
      <w:proofErr w:type="spellEnd"/>
      <w:r w:rsidR="006275AD">
        <w:rPr>
          <w:rFonts w:eastAsia="Calibri" w:cs="Arial"/>
          <w:sz w:val="22"/>
          <w:szCs w:val="22"/>
        </w:rPr>
        <w:t xml:space="preserve"> câncer”, “</w:t>
      </w:r>
      <w:proofErr w:type="spellStart"/>
      <w:r w:rsidR="006275AD">
        <w:rPr>
          <w:rFonts w:eastAsia="Calibri" w:cs="Arial"/>
          <w:sz w:val="22"/>
          <w:szCs w:val="22"/>
        </w:rPr>
        <w:t>breast</w:t>
      </w:r>
      <w:proofErr w:type="spellEnd"/>
      <w:r w:rsidR="006275AD">
        <w:rPr>
          <w:rFonts w:eastAsia="Calibri" w:cs="Arial"/>
          <w:sz w:val="22"/>
          <w:szCs w:val="22"/>
        </w:rPr>
        <w:t xml:space="preserve"> tumor”, “target therapy” e “HER2+”. 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275AD">
        <w:rPr>
          <w:rFonts w:eastAsia="Calibri" w:cs="Arial"/>
          <w:sz w:val="22"/>
          <w:szCs w:val="22"/>
        </w:rPr>
        <w:t>Evidenciou-se que, a adição de terapias alvo à quimioterapia</w:t>
      </w:r>
      <w:r w:rsidR="0029036D">
        <w:rPr>
          <w:rFonts w:eastAsia="Calibri" w:cs="Arial"/>
          <w:sz w:val="22"/>
          <w:szCs w:val="22"/>
        </w:rPr>
        <w:t>,</w:t>
      </w:r>
      <w:r w:rsidR="006275AD">
        <w:rPr>
          <w:rFonts w:eastAsia="Calibri" w:cs="Arial"/>
          <w:sz w:val="22"/>
          <w:szCs w:val="22"/>
        </w:rPr>
        <w:t xml:space="preserve"> aumenta </w:t>
      </w:r>
      <w:r w:rsidR="0029036D">
        <w:rPr>
          <w:rFonts w:eastAsia="Calibri" w:cs="Arial"/>
          <w:sz w:val="22"/>
          <w:szCs w:val="22"/>
        </w:rPr>
        <w:t xml:space="preserve">significativamente </w:t>
      </w:r>
      <w:r w:rsidR="006275AD">
        <w:rPr>
          <w:rFonts w:eastAsia="Calibri" w:cs="Arial"/>
          <w:sz w:val="22"/>
          <w:szCs w:val="22"/>
        </w:rPr>
        <w:t>a sobrevida livre de doença (SLD)</w:t>
      </w:r>
      <w:r w:rsidR="0029036D">
        <w:rPr>
          <w:rFonts w:eastAsia="Calibri" w:cs="Arial"/>
          <w:sz w:val="22"/>
          <w:szCs w:val="22"/>
        </w:rPr>
        <w:t>,</w:t>
      </w:r>
      <w:r w:rsidR="006275AD">
        <w:rPr>
          <w:rFonts w:eastAsia="Calibri" w:cs="Arial"/>
          <w:sz w:val="22"/>
          <w:szCs w:val="22"/>
        </w:rPr>
        <w:t xml:space="preserve"> a sobrevida global (SG) </w:t>
      </w:r>
      <w:r w:rsidR="0029036D">
        <w:rPr>
          <w:rFonts w:eastAsia="Calibri" w:cs="Arial"/>
          <w:sz w:val="22"/>
          <w:szCs w:val="22"/>
        </w:rPr>
        <w:t>e a resposta patológica completa (</w:t>
      </w:r>
      <w:proofErr w:type="spellStart"/>
      <w:r w:rsidR="0029036D">
        <w:rPr>
          <w:rFonts w:eastAsia="Calibri" w:cs="Arial"/>
          <w:sz w:val="22"/>
          <w:szCs w:val="22"/>
        </w:rPr>
        <w:t>pCR</w:t>
      </w:r>
      <w:proofErr w:type="spellEnd"/>
      <w:r w:rsidR="0029036D">
        <w:rPr>
          <w:rFonts w:eastAsia="Calibri" w:cs="Arial"/>
          <w:sz w:val="22"/>
          <w:szCs w:val="22"/>
        </w:rPr>
        <w:t>), os quais, quando associados, são importantes fatores de prognóstico</w:t>
      </w:r>
      <w:r w:rsidRPr="00803CA0">
        <w:rPr>
          <w:rFonts w:eastAsia="Calibri" w:cs="Arial"/>
          <w:sz w:val="22"/>
          <w:szCs w:val="22"/>
        </w:rPr>
        <w:t xml:space="preserve">. </w:t>
      </w:r>
      <w:r w:rsidR="0029036D">
        <w:rPr>
          <w:rFonts w:eastAsia="Calibri" w:cs="Arial"/>
          <w:sz w:val="22"/>
          <w:szCs w:val="22"/>
        </w:rPr>
        <w:t>Além disso, estudos compartilham dos mesmos resultados em relação ao momento de administração da terapia, confirmando não haver diferença no prognóstico se usada de forma adjuvante ou neoadjuvante.</w:t>
      </w:r>
      <w:r w:rsidR="006275AD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29036D">
        <w:rPr>
          <w:rFonts w:eastAsia="Calibri" w:cs="Arial"/>
          <w:sz w:val="22"/>
          <w:szCs w:val="22"/>
        </w:rPr>
        <w:t>Ainda há resistência às terapias direcionadas em relação ao HER2+, porém é evidente a melhora dos resultados e prognóstico da doença com a combinação da quimioterapia com a terapia alvo. Atualmente, o tratamento geralmente consiste no conjunto de mecanismos sistêmicos, radioterapia e cirurgia. Em relação aos estudos, visam refinar as abordagens futuras e diminuir os efeitos adversos.</w:t>
      </w:r>
    </w:p>
    <w:p w14:paraId="672A6659" w14:textId="16692222" w:rsidR="00D7675A" w:rsidRPr="006275AD" w:rsidRDefault="00534CB2" w:rsidP="006275AD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6275AD">
        <w:rPr>
          <w:rFonts w:eastAsia="Calibri" w:cs="Arial"/>
          <w:sz w:val="22"/>
          <w:szCs w:val="22"/>
        </w:rPr>
        <w:t xml:space="preserve">Câncer. HER2+. Terapias alvo. </w:t>
      </w:r>
    </w:p>
    <w:p w14:paraId="05AFF1D2" w14:textId="77777777" w:rsidR="0029036D" w:rsidRDefault="0029036D" w:rsidP="006275AD">
      <w:pPr>
        <w:spacing w:line="276" w:lineRule="auto"/>
        <w:rPr>
          <w:rFonts w:cs="Arial"/>
          <w:b/>
          <w:bCs/>
        </w:rPr>
      </w:pPr>
    </w:p>
    <w:p w14:paraId="1F7D0EFE" w14:textId="086E2C8E" w:rsidR="006275AD" w:rsidRPr="0029036D" w:rsidRDefault="00191423" w:rsidP="006275AD">
      <w:pPr>
        <w:spacing w:line="276" w:lineRule="auto"/>
        <w:rPr>
          <w:rFonts w:cs="Arial"/>
          <w:sz w:val="20"/>
          <w:szCs w:val="20"/>
        </w:rPr>
      </w:pPr>
      <w:r w:rsidRPr="419BEB8E">
        <w:rPr>
          <w:rFonts w:cs="Arial"/>
          <w:b/>
          <w:bCs/>
        </w:rPr>
        <w:t>REFERÊNCIAS BIBLIOGRÁFICAS</w:t>
      </w:r>
    </w:p>
    <w:p w14:paraId="0770C5A1" w14:textId="77777777" w:rsidR="006275AD" w:rsidRPr="0029036D" w:rsidRDefault="006275AD" w:rsidP="006275AD">
      <w:pPr>
        <w:spacing w:line="276" w:lineRule="auto"/>
        <w:rPr>
          <w:rFonts w:cs="Arial"/>
          <w:sz w:val="20"/>
          <w:szCs w:val="20"/>
        </w:rPr>
      </w:pPr>
    </w:p>
    <w:p w14:paraId="3CDA3D99" w14:textId="1BB4F03B" w:rsidR="006275AD" w:rsidRPr="006275AD" w:rsidRDefault="006275AD" w:rsidP="006275AD">
      <w:pPr>
        <w:spacing w:line="276" w:lineRule="auto"/>
        <w:rPr>
          <w:rStyle w:val="apple-converted-space"/>
          <w:rFonts w:cs="Arial"/>
          <w:b/>
          <w:bCs/>
        </w:rPr>
      </w:pPr>
      <w:r w:rsidRPr="0029036D">
        <w:rPr>
          <w:rFonts w:cs="Arial"/>
          <w:color w:val="000000"/>
          <w:sz w:val="20"/>
          <w:szCs w:val="20"/>
        </w:rPr>
        <w:t xml:space="preserve">ALI-THOMPSON, S. et al. </w:t>
      </w:r>
      <w:r w:rsidRPr="006275AD">
        <w:rPr>
          <w:rFonts w:cs="Arial"/>
          <w:color w:val="000000"/>
          <w:sz w:val="20"/>
          <w:szCs w:val="20"/>
          <w:lang w:val="en-US"/>
        </w:rPr>
        <w:t>A bibliometric analysis of HER2-positive breast cancer: 1987–2024.</w:t>
      </w:r>
      <w:r w:rsidRPr="006275AD">
        <w:rPr>
          <w:rStyle w:val="apple-converted-space"/>
          <w:rFonts w:eastAsia="Calibri" w:cs="Arial"/>
          <w:color w:val="000000"/>
          <w:sz w:val="20"/>
          <w:szCs w:val="20"/>
          <w:lang w:val="en-US"/>
        </w:rPr>
        <w:t> </w:t>
      </w:r>
      <w:proofErr w:type="spellStart"/>
      <w:r w:rsidRPr="006275AD">
        <w:rPr>
          <w:rFonts w:cs="Arial"/>
          <w:b/>
          <w:bCs/>
          <w:color w:val="000000"/>
          <w:sz w:val="20"/>
          <w:szCs w:val="20"/>
        </w:rPr>
        <w:t>Frontiers</w:t>
      </w:r>
      <w:proofErr w:type="spellEnd"/>
      <w:r w:rsidRPr="006275AD">
        <w:rPr>
          <w:rFonts w:cs="Arial"/>
          <w:b/>
          <w:bCs/>
          <w:color w:val="000000"/>
          <w:sz w:val="20"/>
          <w:szCs w:val="20"/>
        </w:rPr>
        <w:t xml:space="preserve"> in </w:t>
      </w:r>
      <w:proofErr w:type="spellStart"/>
      <w:r w:rsidRPr="006275AD">
        <w:rPr>
          <w:rFonts w:cs="Arial"/>
          <w:b/>
          <w:bCs/>
          <w:color w:val="000000"/>
          <w:sz w:val="20"/>
          <w:szCs w:val="20"/>
        </w:rPr>
        <w:t>Oncology</w:t>
      </w:r>
      <w:proofErr w:type="spellEnd"/>
      <w:r w:rsidRPr="006275AD">
        <w:rPr>
          <w:rFonts w:cs="Arial"/>
          <w:color w:val="000000"/>
          <w:sz w:val="20"/>
          <w:szCs w:val="20"/>
        </w:rPr>
        <w:t>, v. 14, 1 maio 2024.</w:t>
      </w:r>
      <w:r w:rsidRPr="006275AD">
        <w:rPr>
          <w:rStyle w:val="apple-converted-space"/>
          <w:rFonts w:eastAsia="Calibri" w:cs="Arial"/>
          <w:color w:val="000000"/>
          <w:sz w:val="20"/>
          <w:szCs w:val="20"/>
        </w:rPr>
        <w:t> </w:t>
      </w:r>
    </w:p>
    <w:p w14:paraId="53128261" w14:textId="77777777" w:rsidR="00CD07AD" w:rsidRDefault="00CD07AD" w:rsidP="00AD685C"/>
    <w:p w14:paraId="2CF87437" w14:textId="77777777" w:rsidR="006275AD" w:rsidRDefault="006275AD" w:rsidP="006275A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eastAsia="Calibri" w:hAnsi="Arial" w:cs="Arial"/>
          <w:color w:val="000000"/>
          <w:sz w:val="20"/>
          <w:szCs w:val="20"/>
        </w:rPr>
      </w:pPr>
      <w:r w:rsidRPr="006275AD">
        <w:rPr>
          <w:rFonts w:ascii="Arial" w:hAnsi="Arial" w:cs="Arial"/>
          <w:color w:val="000000"/>
          <w:sz w:val="20"/>
          <w:szCs w:val="20"/>
        </w:rPr>
        <w:t>‌</w:t>
      </w:r>
      <w:proofErr w:type="spellStart"/>
      <w:r w:rsidRPr="006275AD">
        <w:rPr>
          <w:rFonts w:ascii="Arial" w:hAnsi="Arial" w:cs="Arial"/>
          <w:b/>
          <w:bCs/>
          <w:color w:val="000000"/>
          <w:sz w:val="20"/>
          <w:szCs w:val="20"/>
        </w:rPr>
        <w:t>Breast</w:t>
      </w:r>
      <w:proofErr w:type="spellEnd"/>
      <w:r w:rsidRPr="006275A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75AD">
        <w:rPr>
          <w:rFonts w:ascii="Arial" w:hAnsi="Arial" w:cs="Arial"/>
          <w:b/>
          <w:bCs/>
          <w:color w:val="000000"/>
          <w:sz w:val="20"/>
          <w:szCs w:val="20"/>
        </w:rPr>
        <w:t>cancer</w:t>
      </w:r>
      <w:proofErr w:type="spellEnd"/>
      <w:r w:rsidRPr="006275AD">
        <w:rPr>
          <w:rFonts w:ascii="Arial" w:hAnsi="Arial" w:cs="Arial"/>
          <w:b/>
          <w:bCs/>
          <w:color w:val="000000"/>
          <w:sz w:val="20"/>
          <w:szCs w:val="20"/>
        </w:rPr>
        <w:t xml:space="preserve"> – IARC</w:t>
      </w:r>
      <w:r w:rsidRPr="006275AD">
        <w:rPr>
          <w:rFonts w:ascii="Arial" w:hAnsi="Arial" w:cs="Arial"/>
          <w:color w:val="000000"/>
          <w:sz w:val="20"/>
          <w:szCs w:val="20"/>
        </w:rPr>
        <w:t>. 2024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275AD">
        <w:rPr>
          <w:rFonts w:ascii="Arial" w:hAnsi="Arial" w:cs="Arial"/>
          <w:color w:val="000000"/>
          <w:sz w:val="20"/>
          <w:szCs w:val="20"/>
        </w:rPr>
        <w:t>Disponível em: &lt;https://www.iarc.who.int/</w:t>
      </w:r>
      <w:proofErr w:type="spellStart"/>
      <w:r w:rsidRPr="006275AD">
        <w:rPr>
          <w:rFonts w:ascii="Arial" w:hAnsi="Arial" w:cs="Arial"/>
          <w:color w:val="000000"/>
          <w:sz w:val="20"/>
          <w:szCs w:val="20"/>
        </w:rPr>
        <w:t>cancer-type</w:t>
      </w:r>
      <w:proofErr w:type="spellEnd"/>
      <w:r w:rsidRPr="006275AD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6275AD">
        <w:rPr>
          <w:rFonts w:ascii="Arial" w:hAnsi="Arial" w:cs="Arial"/>
          <w:color w:val="000000"/>
          <w:sz w:val="20"/>
          <w:szCs w:val="20"/>
        </w:rPr>
        <w:t>breast-cancer</w:t>
      </w:r>
      <w:proofErr w:type="spellEnd"/>
      <w:r w:rsidRPr="006275AD">
        <w:rPr>
          <w:rFonts w:ascii="Arial" w:hAnsi="Arial" w:cs="Arial"/>
          <w:color w:val="000000"/>
          <w:sz w:val="20"/>
          <w:szCs w:val="20"/>
        </w:rPr>
        <w:t>/&gt;.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Acesso em: 20 de outubro de 2024.</w:t>
      </w:r>
    </w:p>
    <w:p w14:paraId="25B3B10A" w14:textId="77777777" w:rsidR="006275AD" w:rsidRPr="006275AD" w:rsidRDefault="006275AD" w:rsidP="006275AD">
      <w:pPr>
        <w:rPr>
          <w:rFonts w:ascii="Times New Roman" w:hAnsi="Times New Roman"/>
        </w:rPr>
      </w:pPr>
    </w:p>
    <w:p w14:paraId="5805C65A" w14:textId="77777777" w:rsidR="006275AD" w:rsidRPr="0029036D" w:rsidRDefault="006275AD" w:rsidP="006275A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</w:pPr>
      <w:r w:rsidRPr="006275AD">
        <w:rPr>
          <w:rFonts w:ascii="Arial" w:hAnsi="Arial" w:cs="Arial"/>
          <w:color w:val="000000"/>
          <w:sz w:val="20"/>
          <w:szCs w:val="20"/>
          <w:lang w:val="en-US"/>
        </w:rPr>
        <w:t xml:space="preserve">DOWLING, G. P. et al. Efficacy and Safety of Trastuzumab </w:t>
      </w:r>
      <w:proofErr w:type="spellStart"/>
      <w:r w:rsidRPr="006275AD">
        <w:rPr>
          <w:rFonts w:ascii="Arial" w:hAnsi="Arial" w:cs="Arial"/>
          <w:color w:val="000000"/>
          <w:sz w:val="20"/>
          <w:szCs w:val="20"/>
          <w:lang w:val="en-US"/>
        </w:rPr>
        <w:t>Deruxtecan</w:t>
      </w:r>
      <w:proofErr w:type="spellEnd"/>
      <w:r w:rsidRPr="006275AD">
        <w:rPr>
          <w:rFonts w:ascii="Arial" w:hAnsi="Arial" w:cs="Arial"/>
          <w:color w:val="000000"/>
          <w:sz w:val="20"/>
          <w:szCs w:val="20"/>
          <w:lang w:val="en-US"/>
        </w:rPr>
        <w:t xml:space="preserve"> in Breast Cancer: A Systematic Review and Meta-Analysis.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  <w:r w:rsidRPr="00290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Clinical Breast Cancer</w:t>
      </w:r>
      <w:r w:rsidRPr="0029036D">
        <w:rPr>
          <w:rFonts w:ascii="Arial" w:hAnsi="Arial" w:cs="Arial"/>
          <w:color w:val="000000"/>
          <w:sz w:val="20"/>
          <w:szCs w:val="20"/>
          <w:lang w:val="en-US"/>
        </w:rPr>
        <w:t xml:space="preserve">, v. 23, n. 8, p. 847-855.e2, 1 </w:t>
      </w:r>
      <w:proofErr w:type="spellStart"/>
      <w:r w:rsidRPr="0029036D">
        <w:rPr>
          <w:rFonts w:ascii="Arial" w:hAnsi="Arial" w:cs="Arial"/>
          <w:color w:val="000000"/>
          <w:sz w:val="20"/>
          <w:szCs w:val="20"/>
          <w:lang w:val="en-US"/>
        </w:rPr>
        <w:t>dez</w:t>
      </w:r>
      <w:proofErr w:type="spellEnd"/>
      <w:r w:rsidRPr="0029036D">
        <w:rPr>
          <w:rFonts w:ascii="Arial" w:hAnsi="Arial" w:cs="Arial"/>
          <w:color w:val="000000"/>
          <w:sz w:val="20"/>
          <w:szCs w:val="20"/>
          <w:lang w:val="en-US"/>
        </w:rPr>
        <w:t>. 2023.</w:t>
      </w:r>
      <w:r w:rsidRPr="0029036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</w:p>
    <w:p w14:paraId="4CD2B568" w14:textId="68E26D70" w:rsidR="006275AD" w:rsidRPr="0029036D" w:rsidRDefault="006275AD" w:rsidP="00AD685C">
      <w:pPr>
        <w:rPr>
          <w:lang w:val="en-US"/>
        </w:rPr>
      </w:pPr>
    </w:p>
    <w:p w14:paraId="326DB234" w14:textId="77777777" w:rsidR="006275AD" w:rsidRDefault="006275AD" w:rsidP="006275A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</w:pPr>
      <w:r w:rsidRPr="006275AD">
        <w:rPr>
          <w:rFonts w:ascii="Arial" w:hAnsi="Arial" w:cs="Arial"/>
          <w:color w:val="000000"/>
          <w:sz w:val="20"/>
          <w:szCs w:val="20"/>
          <w:lang w:val="en-US"/>
        </w:rPr>
        <w:t>MARTÍNEZ-SÁEZ, O.; PRAT, A. Current and Future Management of HER2-Positive Metastatic Breast Cancer.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  <w:r w:rsidRPr="006275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JCO Oncology Practice</w:t>
      </w:r>
      <w:r w:rsidRPr="006275AD">
        <w:rPr>
          <w:rFonts w:ascii="Arial" w:hAnsi="Arial" w:cs="Arial"/>
          <w:color w:val="000000"/>
          <w:sz w:val="20"/>
          <w:szCs w:val="20"/>
          <w:lang w:val="en-US"/>
        </w:rPr>
        <w:t>, v. 17, n. 10, p. 594–604, out. 2021.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</w:p>
    <w:p w14:paraId="250E58B4" w14:textId="77777777" w:rsidR="006275AD" w:rsidRPr="0029036D" w:rsidRDefault="006275AD" w:rsidP="00AD685C">
      <w:pPr>
        <w:rPr>
          <w:lang w:val="en-US"/>
        </w:rPr>
      </w:pPr>
    </w:p>
    <w:p w14:paraId="5FC2F99F" w14:textId="77777777" w:rsidR="006275AD" w:rsidRDefault="006275AD" w:rsidP="006275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275AD">
        <w:rPr>
          <w:rFonts w:ascii="Arial" w:hAnsi="Arial" w:cs="Arial"/>
          <w:color w:val="000000"/>
          <w:sz w:val="20"/>
          <w:szCs w:val="20"/>
          <w:lang w:val="en-US"/>
        </w:rPr>
        <w:t>‌SUNG, H. et al. Global Cancer Statistics 2020: GLOBOCAN Estimates of Incidence and Mortality Worldwide for 36 Cancers in 185 Countries.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  <w:r w:rsidRPr="006275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CA: a Cancer Journal for Clinicians</w:t>
      </w:r>
      <w:r w:rsidRPr="006275AD">
        <w:rPr>
          <w:rFonts w:ascii="Arial" w:hAnsi="Arial" w:cs="Arial"/>
          <w:color w:val="000000"/>
          <w:sz w:val="20"/>
          <w:szCs w:val="20"/>
          <w:lang w:val="en-US"/>
        </w:rPr>
        <w:t xml:space="preserve">, v. 71, n. 3, p. 209–249, 4 </w:t>
      </w:r>
      <w:proofErr w:type="spellStart"/>
      <w:r w:rsidRPr="006275AD">
        <w:rPr>
          <w:rFonts w:ascii="Arial" w:hAnsi="Arial" w:cs="Arial"/>
          <w:color w:val="000000"/>
          <w:sz w:val="20"/>
          <w:szCs w:val="20"/>
          <w:lang w:val="en-US"/>
        </w:rPr>
        <w:t>fev</w:t>
      </w:r>
      <w:proofErr w:type="spellEnd"/>
      <w:r w:rsidRPr="006275AD">
        <w:rPr>
          <w:rFonts w:ascii="Arial" w:hAnsi="Arial" w:cs="Arial"/>
          <w:color w:val="000000"/>
          <w:sz w:val="20"/>
          <w:szCs w:val="20"/>
          <w:lang w:val="en-US"/>
        </w:rPr>
        <w:t>. 2021.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</w:p>
    <w:p w14:paraId="1128A808" w14:textId="77777777" w:rsidR="006275AD" w:rsidRDefault="006275AD" w:rsidP="00AD685C">
      <w:pPr>
        <w:rPr>
          <w:lang w:val="en-US"/>
        </w:rPr>
      </w:pPr>
    </w:p>
    <w:p w14:paraId="4BE08C0E" w14:textId="77777777" w:rsidR="006275AD" w:rsidRPr="0029036D" w:rsidRDefault="006275AD" w:rsidP="006275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275AD">
        <w:rPr>
          <w:rFonts w:ascii="Arial" w:hAnsi="Arial" w:cs="Arial"/>
          <w:color w:val="000000"/>
          <w:sz w:val="20"/>
          <w:szCs w:val="20"/>
          <w:lang w:val="en-US"/>
        </w:rPr>
        <w:t>‌SWAIN, S. M.; SHASTRY, M.; HAMILTON, E. Targeting HER2-positive breast cancer: advances and future directions.</w:t>
      </w:r>
      <w:r w:rsidRPr="006275AD">
        <w:rPr>
          <w:rStyle w:val="apple-converted-space"/>
          <w:rFonts w:ascii="Arial" w:eastAsia="Calibri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9036D">
        <w:rPr>
          <w:rFonts w:ascii="Arial" w:hAnsi="Arial" w:cs="Arial"/>
          <w:b/>
          <w:bCs/>
          <w:color w:val="000000"/>
          <w:sz w:val="20"/>
          <w:szCs w:val="20"/>
        </w:rPr>
        <w:t>Nature</w:t>
      </w:r>
      <w:proofErr w:type="spellEnd"/>
      <w:r w:rsidRPr="0029036D">
        <w:rPr>
          <w:rFonts w:ascii="Arial" w:hAnsi="Arial" w:cs="Arial"/>
          <w:b/>
          <w:bCs/>
          <w:color w:val="000000"/>
          <w:sz w:val="20"/>
          <w:szCs w:val="20"/>
        </w:rPr>
        <w:t xml:space="preserve"> Reviews </w:t>
      </w:r>
      <w:proofErr w:type="spellStart"/>
      <w:r w:rsidRPr="0029036D">
        <w:rPr>
          <w:rFonts w:ascii="Arial" w:hAnsi="Arial" w:cs="Arial"/>
          <w:b/>
          <w:bCs/>
          <w:color w:val="000000"/>
          <w:sz w:val="20"/>
          <w:szCs w:val="20"/>
        </w:rPr>
        <w:t>Drug</w:t>
      </w:r>
      <w:proofErr w:type="spellEnd"/>
      <w:r w:rsidRPr="0029036D">
        <w:rPr>
          <w:rFonts w:ascii="Arial" w:hAnsi="Arial" w:cs="Arial"/>
          <w:b/>
          <w:bCs/>
          <w:color w:val="000000"/>
          <w:sz w:val="20"/>
          <w:szCs w:val="20"/>
        </w:rPr>
        <w:t xml:space="preserve"> Discovery</w:t>
      </w:r>
      <w:r w:rsidRPr="0029036D">
        <w:rPr>
          <w:rFonts w:ascii="Arial" w:hAnsi="Arial" w:cs="Arial"/>
          <w:color w:val="000000"/>
          <w:sz w:val="20"/>
          <w:szCs w:val="20"/>
        </w:rPr>
        <w:t>, v. 22, n. 2, p. 1–26, 7 nov. 2022.</w:t>
      </w:r>
      <w:r w:rsidRPr="0029036D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</w:p>
    <w:p w14:paraId="00B571EF" w14:textId="77777777" w:rsidR="006275AD" w:rsidRPr="0029036D" w:rsidRDefault="006275AD" w:rsidP="00AD685C"/>
    <w:p w14:paraId="096C780B" w14:textId="77777777" w:rsidR="0029036D" w:rsidRPr="0029036D" w:rsidRDefault="0029036D" w:rsidP="00AD685C"/>
    <w:p w14:paraId="153BEA63" w14:textId="77777777" w:rsidR="0029036D" w:rsidRPr="0029036D" w:rsidRDefault="0029036D" w:rsidP="00AD685C"/>
    <w:p w14:paraId="0B325DD8" w14:textId="77777777" w:rsidR="0029036D" w:rsidRPr="0029036D" w:rsidRDefault="0029036D" w:rsidP="00AD685C"/>
    <w:p w14:paraId="5AE40DBC" w14:textId="77777777" w:rsidR="0029036D" w:rsidRDefault="0029036D" w:rsidP="0029036D">
      <w:pPr>
        <w:spacing w:after="160" w:line="24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 </w:t>
      </w:r>
    </w:p>
    <w:p w14:paraId="066451F0" w14:textId="77777777" w:rsidR="0029036D" w:rsidRPr="0029036D" w:rsidRDefault="0029036D" w:rsidP="00AD685C"/>
    <w:sectPr w:rsidR="0029036D" w:rsidRPr="0029036D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4011" w14:textId="77777777" w:rsidR="00550309" w:rsidRDefault="00550309" w:rsidP="00EE20DF">
      <w:pPr>
        <w:spacing w:line="240" w:lineRule="auto"/>
      </w:pPr>
      <w:r>
        <w:separator/>
      </w:r>
    </w:p>
  </w:endnote>
  <w:endnote w:type="continuationSeparator" w:id="0">
    <w:p w14:paraId="6AD29E48" w14:textId="77777777" w:rsidR="00550309" w:rsidRDefault="00550309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27E5" w14:textId="77777777" w:rsidR="00550309" w:rsidRDefault="00550309" w:rsidP="00EE20DF">
      <w:pPr>
        <w:spacing w:line="240" w:lineRule="auto"/>
      </w:pPr>
      <w:r>
        <w:separator/>
      </w:r>
    </w:p>
  </w:footnote>
  <w:footnote w:type="continuationSeparator" w:id="0">
    <w:p w14:paraId="4E94F1E5" w14:textId="77777777" w:rsidR="00550309" w:rsidRDefault="00550309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A443A33"/>
    <w:multiLevelType w:val="multilevel"/>
    <w:tmpl w:val="D2EE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7"/>
  </w:num>
  <w:num w:numId="5" w16cid:durableId="840320553">
    <w:abstractNumId w:val="16"/>
  </w:num>
  <w:num w:numId="6" w16cid:durableId="1280378960">
    <w:abstractNumId w:val="28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5"/>
  </w:num>
  <w:num w:numId="15" w16cid:durableId="94837013">
    <w:abstractNumId w:val="23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9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2"/>
  </w:num>
  <w:num w:numId="25" w16cid:durableId="496306188">
    <w:abstractNumId w:val="20"/>
  </w:num>
  <w:num w:numId="26" w16cid:durableId="847863229">
    <w:abstractNumId w:val="24"/>
  </w:num>
  <w:num w:numId="27" w16cid:durableId="1779174960">
    <w:abstractNumId w:val="26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 w:numId="34" w16cid:durableId="4182128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5847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D6F7A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036D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661C7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309"/>
    <w:rsid w:val="00550CFF"/>
    <w:rsid w:val="00550DC5"/>
    <w:rsid w:val="00556203"/>
    <w:rsid w:val="00564EE9"/>
    <w:rsid w:val="00571CB0"/>
    <w:rsid w:val="0057754A"/>
    <w:rsid w:val="005879AC"/>
    <w:rsid w:val="005954F4"/>
    <w:rsid w:val="005F1516"/>
    <w:rsid w:val="005F44E2"/>
    <w:rsid w:val="005F799E"/>
    <w:rsid w:val="00607AFB"/>
    <w:rsid w:val="006275AD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label">
    <w:name w:val="label"/>
    <w:basedOn w:val="Fontepargpadro"/>
    <w:rsid w:val="006275AD"/>
  </w:style>
  <w:style w:type="character" w:styleId="CitaoHTML">
    <w:name w:val="HTML Cite"/>
    <w:basedOn w:val="Fontepargpadro"/>
    <w:uiPriority w:val="99"/>
    <w:semiHidden/>
    <w:unhideWhenUsed/>
    <w:rsid w:val="006275AD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275AD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hokarynn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karynnemaria_marinho@icloud.com</cp:lastModifiedBy>
  <cp:revision>3</cp:revision>
  <dcterms:created xsi:type="dcterms:W3CDTF">2024-11-15T00:26:00Z</dcterms:created>
  <dcterms:modified xsi:type="dcterms:W3CDTF">2024-11-15T00:39:00Z</dcterms:modified>
</cp:coreProperties>
</file>