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33447BF0" w:rsidR="00534CB2" w:rsidRPr="00534CB2" w:rsidRDefault="00111A03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AVANÇOS EM TECNOLOGIAS DE DIAGNÓSTICO:</w:t>
      </w:r>
      <w:r w:rsidR="00534CB2" w:rsidRPr="00534CB2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O PAPEL D</w:t>
      </w:r>
      <w:r w:rsidR="00BF7ACB">
        <w:rPr>
          <w:rFonts w:eastAsia="Calibri" w:cs="Arial"/>
          <w:b/>
        </w:rPr>
        <w:t>OS</w:t>
      </w:r>
      <w:r>
        <w:rPr>
          <w:rFonts w:eastAsia="Calibri" w:cs="Arial"/>
          <w:b/>
        </w:rPr>
        <w:t xml:space="preserve"> NOVOS</w:t>
      </w:r>
      <w:r w:rsidR="00BF7ACB">
        <w:rPr>
          <w:rFonts w:eastAsia="Calibri" w:cs="Arial"/>
          <w:b/>
        </w:rPr>
        <w:t xml:space="preserve"> AVALIADORES DE DOENÇAS HEPÁTICAS.</w:t>
      </w:r>
    </w:p>
    <w:p w14:paraId="0AD3EF8B" w14:textId="4C563DB3" w:rsidR="00534CB2" w:rsidRPr="00BF7ACB" w:rsidRDefault="00111A03" w:rsidP="00534CB2">
      <w:pPr>
        <w:spacing w:after="160" w:line="240" w:lineRule="auto"/>
        <w:rPr>
          <w:rFonts w:eastAsia="Calibri" w:cs="Arial"/>
          <w:sz w:val="20"/>
          <w:szCs w:val="20"/>
          <w:vertAlign w:val="superscript"/>
        </w:rPr>
      </w:pPr>
      <w:r>
        <w:rPr>
          <w:rFonts w:eastAsia="Calibri" w:cs="Arial"/>
          <w:b/>
          <w:bCs/>
          <w:sz w:val="20"/>
          <w:szCs w:val="20"/>
          <w:u w:val="single"/>
        </w:rPr>
        <w:t>CECÍLIA AZEVÊDO DE SOUZA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 w:rsidR="00620693">
        <w:rPr>
          <w:rFonts w:eastAsia="Calibri" w:cs="Arial"/>
          <w:sz w:val="20"/>
          <w:szCs w:val="20"/>
        </w:rPr>
        <w:t>LAISA BARROS DE ARAÚJO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620693">
        <w:rPr>
          <w:rFonts w:eastAsia="Calibri" w:cs="Arial"/>
          <w:sz w:val="20"/>
          <w:szCs w:val="20"/>
        </w:rPr>
        <w:t>VINICIUS LIMA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620693">
        <w:rPr>
          <w:rFonts w:eastAsia="Calibri" w:cs="Arial"/>
          <w:sz w:val="20"/>
          <w:szCs w:val="20"/>
        </w:rPr>
        <w:t>ROSAMARIA RODRIGUES GOMES</w:t>
      </w:r>
      <w:r w:rsidR="00534CB2" w:rsidRPr="00803CA0">
        <w:rPr>
          <w:rFonts w:eastAsia="Calibri" w:cs="Arial"/>
          <w:sz w:val="20"/>
          <w:szCs w:val="20"/>
          <w:vertAlign w:val="superscript"/>
        </w:rPr>
        <w:t>4</w:t>
      </w:r>
      <w:r w:rsidR="00BF7ACB">
        <w:rPr>
          <w:rFonts w:eastAsia="Calibri" w:cs="Arial"/>
          <w:sz w:val="20"/>
          <w:szCs w:val="20"/>
        </w:rPr>
        <w:t>; JULIANA BRASIL DE OLIVEIRA BATISTA</w:t>
      </w:r>
      <w:r w:rsidR="00BF7ACB">
        <w:rPr>
          <w:rFonts w:eastAsia="Calibri" w:cs="Arial"/>
          <w:sz w:val="20"/>
          <w:szCs w:val="20"/>
          <w:vertAlign w:val="superscript"/>
        </w:rPr>
        <w:t>5</w:t>
      </w:r>
    </w:p>
    <w:p w14:paraId="06159523" w14:textId="522B019E" w:rsidR="00B10D42" w:rsidRDefault="00B10D42" w:rsidP="50192890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</w:t>
      </w:r>
      <w:r w:rsidR="00D453CB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Discentes do 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56E9E955" w14:textId="6DE1D749" w:rsidR="00D453CB" w:rsidRPr="00B742A6" w:rsidRDefault="00D453CB" w:rsidP="50192890">
      <w:pPr>
        <w:spacing w:line="240" w:lineRule="auto"/>
        <w:rPr>
          <w:rStyle w:val="eop"/>
          <w:rFonts w:eastAsia="Calibri" w:cs="Arial"/>
          <w:sz w:val="18"/>
          <w:szCs w:val="18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4,5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Docentes do Centro Universitário CESMAC, Maceió, AL, Brasil.</w:t>
      </w:r>
    </w:p>
    <w:p w14:paraId="4ABD76A1" w14:textId="77777777" w:rsidR="003D0CD3" w:rsidRDefault="6A842BA2" w:rsidP="003D0CD3">
      <w:pPr>
        <w:spacing w:line="240" w:lineRule="auto"/>
        <w:rPr>
          <w:rFonts w:eastAsia="Calibri" w:cs="Arial"/>
          <w:sz w:val="18"/>
          <w:szCs w:val="18"/>
        </w:rPr>
      </w:pPr>
      <w:proofErr w:type="spellStart"/>
      <w:r w:rsidRPr="00803CA0">
        <w:rPr>
          <w:rFonts w:eastAsia="Calibri" w:cs="Arial"/>
          <w:sz w:val="18"/>
          <w:szCs w:val="18"/>
        </w:rPr>
        <w:t>Email</w:t>
      </w:r>
      <w:proofErr w:type="spellEnd"/>
      <w:r w:rsidRPr="00803CA0">
        <w:rPr>
          <w:rFonts w:eastAsia="Calibri" w:cs="Arial"/>
          <w:sz w:val="18"/>
          <w:szCs w:val="18"/>
        </w:rPr>
        <w:t xml:space="preserve"> do primeiro autor</w:t>
      </w:r>
      <w:r w:rsidR="00D54FBA">
        <w:rPr>
          <w:rFonts w:eastAsia="Calibri" w:cs="Arial"/>
          <w:sz w:val="18"/>
          <w:szCs w:val="18"/>
        </w:rPr>
        <w:t>:</w:t>
      </w:r>
      <w:r w:rsidR="00620693">
        <w:rPr>
          <w:rFonts w:eastAsia="Calibri" w:cs="Arial"/>
          <w:sz w:val="18"/>
          <w:szCs w:val="18"/>
        </w:rPr>
        <w:t xml:space="preserve"> </w:t>
      </w:r>
      <w:hyperlink r:id="rId8" w:history="1">
        <w:r w:rsidR="003D0CD3" w:rsidRPr="00DE026A">
          <w:rPr>
            <w:rStyle w:val="Hyperlink"/>
            <w:rFonts w:eastAsia="Calibri" w:cs="Arial"/>
            <w:sz w:val="18"/>
            <w:szCs w:val="18"/>
          </w:rPr>
          <w:t>ceciaazevedos@gmail.com</w:t>
        </w:r>
      </w:hyperlink>
      <w:r w:rsidR="003D0CD3">
        <w:rPr>
          <w:rFonts w:eastAsia="Calibri" w:cs="Arial"/>
          <w:sz w:val="18"/>
          <w:szCs w:val="18"/>
        </w:rPr>
        <w:t xml:space="preserve"> </w:t>
      </w:r>
    </w:p>
    <w:p w14:paraId="70A12549" w14:textId="373015B4" w:rsidR="003D0CD3" w:rsidRPr="00803CA0" w:rsidRDefault="003D0CD3" w:rsidP="003D0CD3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E-mail: do orientador:</w:t>
      </w:r>
      <w:r w:rsidRPr="003D0CD3">
        <w:t xml:space="preserve"> </w:t>
      </w:r>
      <w:hyperlink r:id="rId9" w:history="1">
        <w:r w:rsidRPr="00DE026A">
          <w:rPr>
            <w:rStyle w:val="Hyperlink"/>
            <w:rFonts w:eastAsia="Calibri" w:cs="Arial"/>
            <w:sz w:val="18"/>
            <w:szCs w:val="18"/>
          </w:rPr>
          <w:t>rosamaria.rg@gmail.com</w:t>
        </w:r>
      </w:hyperlink>
      <w:r>
        <w:rPr>
          <w:rFonts w:eastAsia="Calibri" w:cs="Arial"/>
          <w:sz w:val="18"/>
          <w:szCs w:val="18"/>
        </w:rPr>
        <w:t xml:space="preserve"> </w:t>
      </w:r>
    </w:p>
    <w:p w14:paraId="116B3E03" w14:textId="7120567B" w:rsidR="003D0CD3" w:rsidRPr="00D453CB" w:rsidRDefault="003D0CD3" w:rsidP="50192890">
      <w:pPr>
        <w:spacing w:line="240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 </w:t>
      </w:r>
    </w:p>
    <w:p w14:paraId="781EEE45" w14:textId="77777777" w:rsidR="003D0CD3" w:rsidRPr="003D0CD3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3D0CD3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620693" w:rsidRPr="003D0CD3">
        <w:rPr>
          <w:sz w:val="22"/>
          <w:szCs w:val="22"/>
        </w:rPr>
        <w:t xml:space="preserve"> As doenças hepáticas se manifestam de diversas formas e intensidades e, por isso, merecem uma observação minuciosa, já que alteram as funções de um órgão primordial para o funcionamento do organismo. </w:t>
      </w:r>
      <w:r w:rsidRPr="003D0CD3">
        <w:rPr>
          <w:rFonts w:eastAsia="Calibri" w:cs="Arial"/>
          <w:b/>
          <w:bCs/>
          <w:sz w:val="22"/>
          <w:szCs w:val="22"/>
          <w:u w:val="single"/>
        </w:rPr>
        <w:t>Objetivos</w:t>
      </w:r>
      <w:r w:rsidR="00620693" w:rsidRPr="003D0CD3">
        <w:rPr>
          <w:rFonts w:eastAsia="Calibri" w:cs="Arial"/>
          <w:b/>
          <w:bCs/>
          <w:sz w:val="22"/>
          <w:szCs w:val="22"/>
          <w:u w:val="single"/>
        </w:rPr>
        <w:t>:</w:t>
      </w:r>
      <w:r w:rsidR="00620693" w:rsidRPr="003D0CD3">
        <w:rPr>
          <w:sz w:val="22"/>
          <w:szCs w:val="22"/>
        </w:rPr>
        <w:t xml:space="preserve"> Discutir a precisão de diferentes métodos de avaliação hepática que esclarecem os níveis de comprometimento hepático.</w:t>
      </w:r>
      <w:r w:rsidR="00620693" w:rsidRPr="003D0CD3">
        <w:rPr>
          <w:rFonts w:eastAsia="Calibri" w:cs="Arial"/>
          <w:b/>
          <w:bCs/>
          <w:sz w:val="22"/>
          <w:szCs w:val="22"/>
        </w:rPr>
        <w:t xml:space="preserve"> </w:t>
      </w:r>
      <w:r w:rsidRPr="003D0CD3">
        <w:rPr>
          <w:rFonts w:eastAsia="Calibri" w:cs="Arial"/>
          <w:b/>
          <w:bCs/>
          <w:sz w:val="22"/>
          <w:szCs w:val="22"/>
          <w:u w:val="single"/>
        </w:rPr>
        <w:t>Métodos</w:t>
      </w:r>
      <w:r w:rsidR="001B0DCE" w:rsidRPr="003D0CD3">
        <w:rPr>
          <w:rFonts w:eastAsia="Calibri" w:cs="Arial"/>
          <w:b/>
          <w:bCs/>
          <w:sz w:val="22"/>
          <w:szCs w:val="22"/>
          <w:u w:val="single"/>
        </w:rPr>
        <w:t>:</w:t>
      </w:r>
      <w:r w:rsidR="00620693" w:rsidRPr="003D0CD3">
        <w:rPr>
          <w:sz w:val="22"/>
          <w:szCs w:val="22"/>
        </w:rPr>
        <w:t xml:space="preserve"> Revisão bibliográfica de artigos gratuitos dos últimos 5 anos, selecionados nas bases de dados </w:t>
      </w:r>
      <w:proofErr w:type="spellStart"/>
      <w:r w:rsidR="00620693" w:rsidRPr="003D0CD3">
        <w:rPr>
          <w:sz w:val="22"/>
          <w:szCs w:val="22"/>
        </w:rPr>
        <w:t>Pubmed</w:t>
      </w:r>
      <w:proofErr w:type="spellEnd"/>
      <w:r w:rsidR="00620693" w:rsidRPr="003D0CD3">
        <w:rPr>
          <w:sz w:val="22"/>
          <w:szCs w:val="22"/>
        </w:rPr>
        <w:t xml:space="preserve"> e Biblioteca Virtual em Saúde (BVS) com os descritores “</w:t>
      </w:r>
      <w:proofErr w:type="spellStart"/>
      <w:r w:rsidR="00620693" w:rsidRPr="003D0CD3">
        <w:rPr>
          <w:sz w:val="22"/>
          <w:szCs w:val="22"/>
        </w:rPr>
        <w:t>biomarkers</w:t>
      </w:r>
      <w:proofErr w:type="spellEnd"/>
      <w:r w:rsidR="00620693" w:rsidRPr="003D0CD3">
        <w:rPr>
          <w:sz w:val="22"/>
          <w:szCs w:val="22"/>
        </w:rPr>
        <w:t xml:space="preserve"> </w:t>
      </w:r>
      <w:proofErr w:type="spellStart"/>
      <w:r w:rsidR="00620693" w:rsidRPr="003D0CD3">
        <w:rPr>
          <w:sz w:val="22"/>
          <w:szCs w:val="22"/>
        </w:rPr>
        <w:t>and</w:t>
      </w:r>
      <w:proofErr w:type="spellEnd"/>
      <w:r w:rsidR="00620693" w:rsidRPr="003D0CD3">
        <w:rPr>
          <w:sz w:val="22"/>
          <w:szCs w:val="22"/>
        </w:rPr>
        <w:t xml:space="preserve"> </w:t>
      </w:r>
      <w:proofErr w:type="spellStart"/>
      <w:r w:rsidR="00620693" w:rsidRPr="003D0CD3">
        <w:rPr>
          <w:sz w:val="22"/>
          <w:szCs w:val="22"/>
        </w:rPr>
        <w:t>liver</w:t>
      </w:r>
      <w:proofErr w:type="spellEnd"/>
      <w:r w:rsidR="00620693" w:rsidRPr="003D0CD3">
        <w:rPr>
          <w:sz w:val="22"/>
          <w:szCs w:val="22"/>
        </w:rPr>
        <w:t xml:space="preserve"> </w:t>
      </w:r>
      <w:proofErr w:type="spellStart"/>
      <w:r w:rsidR="00620693" w:rsidRPr="003D0CD3">
        <w:rPr>
          <w:sz w:val="22"/>
          <w:szCs w:val="22"/>
        </w:rPr>
        <w:t>diseases</w:t>
      </w:r>
      <w:proofErr w:type="spellEnd"/>
      <w:r w:rsidR="00620693" w:rsidRPr="003D0CD3">
        <w:rPr>
          <w:sz w:val="22"/>
          <w:szCs w:val="22"/>
        </w:rPr>
        <w:t>” e “</w:t>
      </w:r>
      <w:proofErr w:type="spellStart"/>
      <w:r w:rsidR="00620693" w:rsidRPr="003D0CD3">
        <w:rPr>
          <w:sz w:val="22"/>
          <w:szCs w:val="22"/>
        </w:rPr>
        <w:t>technologies</w:t>
      </w:r>
      <w:proofErr w:type="spellEnd"/>
      <w:r w:rsidR="00620693" w:rsidRPr="003D0CD3">
        <w:rPr>
          <w:sz w:val="22"/>
          <w:szCs w:val="22"/>
        </w:rPr>
        <w:t xml:space="preserve"> </w:t>
      </w:r>
      <w:proofErr w:type="spellStart"/>
      <w:r w:rsidR="00620693" w:rsidRPr="003D0CD3">
        <w:rPr>
          <w:sz w:val="22"/>
          <w:szCs w:val="22"/>
        </w:rPr>
        <w:t>and</w:t>
      </w:r>
      <w:proofErr w:type="spellEnd"/>
      <w:r w:rsidR="00620693" w:rsidRPr="003D0CD3">
        <w:rPr>
          <w:sz w:val="22"/>
          <w:szCs w:val="22"/>
        </w:rPr>
        <w:t xml:space="preserve"> </w:t>
      </w:r>
      <w:proofErr w:type="spellStart"/>
      <w:r w:rsidR="00620693" w:rsidRPr="003D0CD3">
        <w:rPr>
          <w:sz w:val="22"/>
          <w:szCs w:val="22"/>
        </w:rPr>
        <w:t>liver</w:t>
      </w:r>
      <w:proofErr w:type="spellEnd"/>
      <w:r w:rsidR="00620693" w:rsidRPr="003D0CD3">
        <w:rPr>
          <w:sz w:val="22"/>
          <w:szCs w:val="22"/>
        </w:rPr>
        <w:t xml:space="preserve"> </w:t>
      </w:r>
      <w:proofErr w:type="spellStart"/>
      <w:r w:rsidR="00620693" w:rsidRPr="003D0CD3">
        <w:rPr>
          <w:sz w:val="22"/>
          <w:szCs w:val="22"/>
        </w:rPr>
        <w:t>diseases</w:t>
      </w:r>
      <w:proofErr w:type="spellEnd"/>
      <w:r w:rsidR="00620693" w:rsidRPr="003D0CD3">
        <w:rPr>
          <w:sz w:val="22"/>
          <w:szCs w:val="22"/>
        </w:rPr>
        <w:t xml:space="preserve">” publicados em inglês e/ou português na forma de ensaios clínicos, </w:t>
      </w:r>
      <w:proofErr w:type="spellStart"/>
      <w:r w:rsidR="00620693" w:rsidRPr="003D0CD3">
        <w:rPr>
          <w:sz w:val="22"/>
          <w:szCs w:val="22"/>
        </w:rPr>
        <w:t>metanálises</w:t>
      </w:r>
      <w:proofErr w:type="spellEnd"/>
      <w:r w:rsidR="00620693" w:rsidRPr="003D0CD3">
        <w:rPr>
          <w:sz w:val="22"/>
          <w:szCs w:val="22"/>
        </w:rPr>
        <w:t xml:space="preserve"> e revisões sistemáticas. Assim, dos 1.528 achados depois dos critérios de inclusões, 6 artigos embasaram esse trabalho. </w:t>
      </w:r>
      <w:r w:rsidRPr="003D0CD3">
        <w:rPr>
          <w:rFonts w:eastAsia="Calibri" w:cs="Arial"/>
          <w:b/>
          <w:bCs/>
          <w:sz w:val="22"/>
          <w:szCs w:val="22"/>
          <w:u w:val="single"/>
        </w:rPr>
        <w:t>Resultados</w:t>
      </w:r>
      <w:r w:rsidR="00620693" w:rsidRPr="003D0CD3">
        <w:rPr>
          <w:rFonts w:eastAsia="Calibri" w:cs="Arial"/>
          <w:b/>
          <w:bCs/>
          <w:sz w:val="22"/>
          <w:szCs w:val="22"/>
          <w:u w:val="single"/>
        </w:rPr>
        <w:t>:</w:t>
      </w:r>
      <w:r w:rsidR="00620693" w:rsidRPr="003D0CD3">
        <w:rPr>
          <w:sz w:val="22"/>
          <w:szCs w:val="22"/>
        </w:rPr>
        <w:t xml:space="preserve"> A doença hepática, que varia desde hepatites, esteatose, doença alcoólica, podendo chegar à forma crônica, tem como evolução a fibrose hepática. Devido a importância dessa condição como fator preditor de mortalidade geral e específica do fígado, as tecnologias e os novos marcadores hepáticos podem ser utilizados para entender o estágio da doença e o risco de progressão. Por serem não invasivos, facilitam avaliação frequente do paciente como um modelo prognóstico de prever a gravidade hepática e se destacam como métodos de avaliação de primeira linha. Importantes para garantir triagem eficaz e traçar a provável evolução da doença. </w:t>
      </w:r>
      <w:r w:rsidRPr="003D0CD3">
        <w:rPr>
          <w:rFonts w:eastAsia="Calibri" w:cs="Arial"/>
          <w:b/>
          <w:bCs/>
          <w:sz w:val="22"/>
          <w:szCs w:val="22"/>
          <w:u w:val="single"/>
        </w:rPr>
        <w:t>Conclusões</w:t>
      </w:r>
      <w:r w:rsidR="00B742A6" w:rsidRPr="003D0CD3">
        <w:rPr>
          <w:rFonts w:eastAsia="Calibri" w:cs="Arial"/>
          <w:b/>
          <w:bCs/>
          <w:sz w:val="22"/>
          <w:szCs w:val="22"/>
          <w:u w:val="single"/>
        </w:rPr>
        <w:t>:</w:t>
      </w:r>
      <w:r w:rsidR="00620693" w:rsidRPr="003D0CD3">
        <w:rPr>
          <w:sz w:val="22"/>
          <w:szCs w:val="22"/>
        </w:rPr>
        <w:t xml:space="preserve"> A utilização de métodos específicos como Pontuação Albumina-Bilirrubina (ALBI), Fibrosis-4 score, </w:t>
      </w:r>
      <w:proofErr w:type="spellStart"/>
      <w:r w:rsidR="00620693" w:rsidRPr="003D0CD3">
        <w:rPr>
          <w:sz w:val="22"/>
          <w:szCs w:val="22"/>
        </w:rPr>
        <w:t>FibroTest</w:t>
      </w:r>
      <w:proofErr w:type="spellEnd"/>
      <w:r w:rsidR="00620693" w:rsidRPr="003D0CD3">
        <w:rPr>
          <w:sz w:val="22"/>
          <w:szCs w:val="22"/>
        </w:rPr>
        <w:t xml:space="preserve"> e </w:t>
      </w:r>
      <w:proofErr w:type="spellStart"/>
      <w:r w:rsidR="00620693" w:rsidRPr="003D0CD3">
        <w:rPr>
          <w:sz w:val="22"/>
          <w:szCs w:val="22"/>
        </w:rPr>
        <w:t>Hepascore</w:t>
      </w:r>
      <w:proofErr w:type="spellEnd"/>
      <w:r w:rsidR="00620693" w:rsidRPr="003D0CD3">
        <w:rPr>
          <w:sz w:val="22"/>
          <w:szCs w:val="22"/>
        </w:rPr>
        <w:t>, ajuda a personalizar a abordagem e a identificar pacientes em risco de desenvolvimento de complicações, possibilitando melhores opções de tratamento e bons resultados clínicos.</w:t>
      </w:r>
    </w:p>
    <w:p w14:paraId="2EFF805A" w14:textId="0FB0439F" w:rsidR="00534CB2" w:rsidRPr="003D0CD3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3D0CD3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B742A6" w:rsidRPr="003D0CD3">
        <w:rPr>
          <w:rFonts w:eastAsia="Calibri" w:cs="Arial"/>
          <w:sz w:val="22"/>
          <w:szCs w:val="22"/>
        </w:rPr>
        <w:t>Hepatopatias. Biomarcadores. Fibrose.</w:t>
      </w:r>
      <w:r w:rsidRPr="003D0CD3">
        <w:rPr>
          <w:rFonts w:eastAsia="Calibri" w:cs="Arial"/>
          <w:sz w:val="22"/>
          <w:szCs w:val="22"/>
        </w:rPr>
        <w:t xml:space="preserve"> </w:t>
      </w:r>
    </w:p>
    <w:p w14:paraId="3C061787" w14:textId="44A4B555" w:rsidR="00191423" w:rsidRPr="00055610" w:rsidRDefault="00D7675A" w:rsidP="00055610">
      <w:pPr>
        <w:spacing w:line="240" w:lineRule="auto"/>
        <w:jc w:val="left"/>
        <w:rPr>
          <w:rFonts w:cs="Arial"/>
          <w:sz w:val="22"/>
          <w:szCs w:val="22"/>
        </w:rPr>
      </w:pPr>
      <w:r>
        <w:rPr>
          <w:rFonts w:cs="Arial"/>
        </w:rPr>
        <w:br w:type="page"/>
      </w:r>
      <w:r w:rsidR="00191423" w:rsidRPr="00055610">
        <w:rPr>
          <w:rFonts w:cs="Arial"/>
          <w:b/>
          <w:bCs/>
          <w:sz w:val="22"/>
          <w:szCs w:val="22"/>
        </w:rPr>
        <w:lastRenderedPageBreak/>
        <w:t>REFERÊNCIAS BIBLIOGRÁFICAS</w:t>
      </w:r>
    </w:p>
    <w:p w14:paraId="4A66C77E" w14:textId="77777777" w:rsidR="00B742A6" w:rsidRPr="00055610" w:rsidRDefault="00B742A6" w:rsidP="00B742A6">
      <w:pPr>
        <w:rPr>
          <w:rFonts w:cs="Arial"/>
          <w:sz w:val="22"/>
          <w:szCs w:val="22"/>
        </w:rPr>
      </w:pPr>
    </w:p>
    <w:p w14:paraId="41673CF9" w14:textId="7D553F35" w:rsidR="00B742A6" w:rsidRPr="003D0CD3" w:rsidRDefault="00B742A6" w:rsidP="00B742A6">
      <w:pPr>
        <w:rPr>
          <w:rStyle w:val="Forte"/>
          <w:rFonts w:eastAsia="Calibri"/>
          <w:sz w:val="20"/>
          <w:szCs w:val="20"/>
        </w:rPr>
      </w:pPr>
      <w:r w:rsidRPr="003D0CD3">
        <w:rPr>
          <w:rStyle w:val="Forte"/>
          <w:rFonts w:eastAsia="Calibri"/>
          <w:sz w:val="20"/>
          <w:szCs w:val="20"/>
        </w:rPr>
        <w:t>LÓPEZ TÓRREZ, S. M. et al.</w:t>
      </w:r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Accuracy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of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prognostic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serological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biomarkers</w:t>
      </w:r>
      <w:proofErr w:type="spellEnd"/>
      <w:r w:rsidRPr="003D0CD3">
        <w:rPr>
          <w:sz w:val="20"/>
          <w:szCs w:val="20"/>
        </w:rPr>
        <w:t xml:space="preserve"> in </w:t>
      </w:r>
      <w:proofErr w:type="spellStart"/>
      <w:r w:rsidRPr="003D0CD3">
        <w:rPr>
          <w:sz w:val="20"/>
          <w:szCs w:val="20"/>
        </w:rPr>
        <w:t>predicting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liver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fibrosis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severity</w:t>
      </w:r>
      <w:proofErr w:type="spellEnd"/>
      <w:r w:rsidRPr="003D0CD3">
        <w:rPr>
          <w:sz w:val="20"/>
          <w:szCs w:val="20"/>
        </w:rPr>
        <w:t xml:space="preserve"> in </w:t>
      </w:r>
      <w:proofErr w:type="spellStart"/>
      <w:r w:rsidRPr="003D0CD3">
        <w:rPr>
          <w:sz w:val="20"/>
          <w:szCs w:val="20"/>
        </w:rPr>
        <w:t>people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with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metabolic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dysfunction-associated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steatotic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liver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disease</w:t>
      </w:r>
      <w:proofErr w:type="spellEnd"/>
      <w:r w:rsidRPr="003D0CD3">
        <w:rPr>
          <w:sz w:val="20"/>
          <w:szCs w:val="20"/>
        </w:rPr>
        <w:t>: a meta-</w:t>
      </w:r>
      <w:proofErr w:type="spellStart"/>
      <w:r w:rsidRPr="003D0CD3">
        <w:rPr>
          <w:sz w:val="20"/>
          <w:szCs w:val="20"/>
        </w:rPr>
        <w:t>analysis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of</w:t>
      </w:r>
      <w:proofErr w:type="spellEnd"/>
      <w:r w:rsidRPr="003D0CD3">
        <w:rPr>
          <w:sz w:val="20"/>
          <w:szCs w:val="20"/>
        </w:rPr>
        <w:t xml:space="preserve"> over 40,000 </w:t>
      </w:r>
      <w:proofErr w:type="spellStart"/>
      <w:r w:rsidRPr="003D0CD3">
        <w:rPr>
          <w:sz w:val="20"/>
          <w:szCs w:val="20"/>
        </w:rPr>
        <w:t>participants</w:t>
      </w:r>
      <w:proofErr w:type="spellEnd"/>
      <w:r w:rsidRPr="003D0CD3">
        <w:rPr>
          <w:sz w:val="20"/>
          <w:szCs w:val="20"/>
        </w:rPr>
        <w:t xml:space="preserve">. </w:t>
      </w:r>
      <w:proofErr w:type="spellStart"/>
      <w:r w:rsidRPr="003D0CD3">
        <w:rPr>
          <w:rStyle w:val="nfase"/>
          <w:sz w:val="20"/>
          <w:szCs w:val="20"/>
        </w:rPr>
        <w:t>Frontiers</w:t>
      </w:r>
      <w:proofErr w:type="spellEnd"/>
      <w:r w:rsidRPr="003D0CD3">
        <w:rPr>
          <w:rStyle w:val="nfase"/>
          <w:sz w:val="20"/>
          <w:szCs w:val="20"/>
        </w:rPr>
        <w:t xml:space="preserve"> in </w:t>
      </w:r>
      <w:proofErr w:type="spellStart"/>
      <w:r w:rsidRPr="003D0CD3">
        <w:rPr>
          <w:rStyle w:val="nfase"/>
          <w:sz w:val="20"/>
          <w:szCs w:val="20"/>
        </w:rPr>
        <w:t>Nutrition</w:t>
      </w:r>
      <w:proofErr w:type="spellEnd"/>
      <w:r w:rsidRPr="003D0CD3">
        <w:rPr>
          <w:sz w:val="20"/>
          <w:szCs w:val="20"/>
        </w:rPr>
        <w:t xml:space="preserve">, 2024. DOI: 10.3389/fnut.2024.1284509. </w:t>
      </w:r>
    </w:p>
    <w:p w14:paraId="309B0416" w14:textId="77777777" w:rsidR="00B742A6" w:rsidRPr="003D0CD3" w:rsidRDefault="00B742A6" w:rsidP="00B742A6">
      <w:pPr>
        <w:rPr>
          <w:b/>
          <w:bCs/>
          <w:sz w:val="20"/>
          <w:szCs w:val="20"/>
        </w:rPr>
      </w:pPr>
      <w:r w:rsidRPr="003D0CD3">
        <w:rPr>
          <w:rStyle w:val="Forte"/>
          <w:rFonts w:eastAsia="Calibri"/>
          <w:sz w:val="20"/>
          <w:szCs w:val="20"/>
        </w:rPr>
        <w:t>JENSEN, J. M. et al.</w:t>
      </w:r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Using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the</w:t>
      </w:r>
      <w:proofErr w:type="spellEnd"/>
      <w:r w:rsidRPr="003D0CD3">
        <w:rPr>
          <w:sz w:val="20"/>
          <w:szCs w:val="20"/>
        </w:rPr>
        <w:t xml:space="preserve"> ELF </w:t>
      </w:r>
      <w:proofErr w:type="spellStart"/>
      <w:r w:rsidRPr="003D0CD3">
        <w:rPr>
          <w:sz w:val="20"/>
          <w:szCs w:val="20"/>
        </w:rPr>
        <w:t>test</w:t>
      </w:r>
      <w:proofErr w:type="spellEnd"/>
      <w:r w:rsidRPr="003D0CD3">
        <w:rPr>
          <w:sz w:val="20"/>
          <w:szCs w:val="20"/>
        </w:rPr>
        <w:t xml:space="preserve">, FIB-4 </w:t>
      </w:r>
      <w:proofErr w:type="spellStart"/>
      <w:r w:rsidRPr="003D0CD3">
        <w:rPr>
          <w:sz w:val="20"/>
          <w:szCs w:val="20"/>
        </w:rPr>
        <w:t>and</w:t>
      </w:r>
      <w:proofErr w:type="spellEnd"/>
      <w:r w:rsidRPr="003D0CD3">
        <w:rPr>
          <w:sz w:val="20"/>
          <w:szCs w:val="20"/>
        </w:rPr>
        <w:t xml:space="preserve"> NAFLD </w:t>
      </w:r>
      <w:proofErr w:type="spellStart"/>
      <w:r w:rsidRPr="003D0CD3">
        <w:rPr>
          <w:sz w:val="20"/>
          <w:szCs w:val="20"/>
        </w:rPr>
        <w:t>fibrosis</w:t>
      </w:r>
      <w:proofErr w:type="spellEnd"/>
      <w:r w:rsidRPr="003D0CD3">
        <w:rPr>
          <w:sz w:val="20"/>
          <w:szCs w:val="20"/>
        </w:rPr>
        <w:t xml:space="preserve"> score </w:t>
      </w:r>
      <w:proofErr w:type="spellStart"/>
      <w:r w:rsidRPr="003D0CD3">
        <w:rPr>
          <w:sz w:val="20"/>
          <w:szCs w:val="20"/>
        </w:rPr>
        <w:t>to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screen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the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population</w:t>
      </w:r>
      <w:proofErr w:type="spellEnd"/>
      <w:r w:rsidRPr="003D0CD3">
        <w:rPr>
          <w:sz w:val="20"/>
          <w:szCs w:val="20"/>
        </w:rPr>
        <w:t xml:space="preserve"> for </w:t>
      </w:r>
      <w:proofErr w:type="spellStart"/>
      <w:r w:rsidRPr="003D0CD3">
        <w:rPr>
          <w:sz w:val="20"/>
          <w:szCs w:val="20"/>
        </w:rPr>
        <w:t>liver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disease</w:t>
      </w:r>
      <w:proofErr w:type="spellEnd"/>
      <w:r w:rsidRPr="003D0CD3">
        <w:rPr>
          <w:sz w:val="20"/>
          <w:szCs w:val="20"/>
        </w:rPr>
        <w:t xml:space="preserve">. </w:t>
      </w:r>
      <w:proofErr w:type="spellStart"/>
      <w:r w:rsidRPr="003D0CD3">
        <w:rPr>
          <w:rStyle w:val="nfase"/>
          <w:sz w:val="20"/>
          <w:szCs w:val="20"/>
        </w:rPr>
        <w:t>Journal</w:t>
      </w:r>
      <w:proofErr w:type="spellEnd"/>
      <w:r w:rsidRPr="003D0CD3">
        <w:rPr>
          <w:rStyle w:val="nfase"/>
          <w:sz w:val="20"/>
          <w:szCs w:val="20"/>
        </w:rPr>
        <w:t xml:space="preserve"> </w:t>
      </w:r>
      <w:proofErr w:type="spellStart"/>
      <w:r w:rsidRPr="003D0CD3">
        <w:rPr>
          <w:rStyle w:val="nfase"/>
          <w:sz w:val="20"/>
          <w:szCs w:val="20"/>
        </w:rPr>
        <w:t>of</w:t>
      </w:r>
      <w:proofErr w:type="spellEnd"/>
      <w:r w:rsidRPr="003D0CD3">
        <w:rPr>
          <w:rStyle w:val="nfase"/>
          <w:sz w:val="20"/>
          <w:szCs w:val="20"/>
        </w:rPr>
        <w:t xml:space="preserve"> </w:t>
      </w:r>
      <w:proofErr w:type="spellStart"/>
      <w:r w:rsidRPr="003D0CD3">
        <w:rPr>
          <w:rStyle w:val="nfase"/>
          <w:sz w:val="20"/>
          <w:szCs w:val="20"/>
        </w:rPr>
        <w:t>Hepatology</w:t>
      </w:r>
      <w:proofErr w:type="spellEnd"/>
      <w:r w:rsidRPr="003D0CD3">
        <w:rPr>
          <w:sz w:val="20"/>
          <w:szCs w:val="20"/>
        </w:rPr>
        <w:t xml:space="preserve">, v. 79, n. 2, p. 277-286, ago. 2023. DOI: 10.1016/j.jhep.2023.04.002. </w:t>
      </w:r>
    </w:p>
    <w:p w14:paraId="45F87B7C" w14:textId="77777777" w:rsidR="00B742A6" w:rsidRPr="003D0CD3" w:rsidRDefault="00B742A6" w:rsidP="00B742A6">
      <w:pPr>
        <w:rPr>
          <w:b/>
          <w:bCs/>
          <w:sz w:val="20"/>
          <w:szCs w:val="20"/>
        </w:rPr>
      </w:pPr>
      <w:r w:rsidRPr="003D0CD3">
        <w:rPr>
          <w:rStyle w:val="Forte"/>
          <w:rFonts w:eastAsia="Calibri"/>
          <w:sz w:val="20"/>
          <w:szCs w:val="20"/>
        </w:rPr>
        <w:t>GONZALEZ-QUINTELA, A. et al.</w:t>
      </w:r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Serum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levels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of</w:t>
      </w:r>
      <w:proofErr w:type="spellEnd"/>
      <w:r w:rsidRPr="003D0CD3">
        <w:rPr>
          <w:sz w:val="20"/>
          <w:szCs w:val="20"/>
        </w:rPr>
        <w:t xml:space="preserve"> cytokeratin-18 (</w:t>
      </w:r>
      <w:proofErr w:type="spellStart"/>
      <w:r w:rsidRPr="003D0CD3">
        <w:rPr>
          <w:sz w:val="20"/>
          <w:szCs w:val="20"/>
        </w:rPr>
        <w:t>tissue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polypeptide-specific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antigen</w:t>
      </w:r>
      <w:proofErr w:type="spellEnd"/>
      <w:r w:rsidRPr="003D0CD3">
        <w:rPr>
          <w:sz w:val="20"/>
          <w:szCs w:val="20"/>
        </w:rPr>
        <w:t xml:space="preserve">) in </w:t>
      </w:r>
      <w:proofErr w:type="spellStart"/>
      <w:r w:rsidRPr="003D0CD3">
        <w:rPr>
          <w:sz w:val="20"/>
          <w:szCs w:val="20"/>
        </w:rPr>
        <w:t>liver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diseases</w:t>
      </w:r>
      <w:proofErr w:type="spellEnd"/>
      <w:r w:rsidRPr="003D0CD3">
        <w:rPr>
          <w:sz w:val="20"/>
          <w:szCs w:val="20"/>
        </w:rPr>
        <w:t xml:space="preserve">. </w:t>
      </w:r>
      <w:proofErr w:type="spellStart"/>
      <w:r w:rsidRPr="003D0CD3">
        <w:rPr>
          <w:rStyle w:val="nfase"/>
          <w:sz w:val="20"/>
          <w:szCs w:val="20"/>
        </w:rPr>
        <w:t>Liver</w:t>
      </w:r>
      <w:proofErr w:type="spellEnd"/>
      <w:r w:rsidRPr="003D0CD3">
        <w:rPr>
          <w:rStyle w:val="nfase"/>
          <w:sz w:val="20"/>
          <w:szCs w:val="20"/>
        </w:rPr>
        <w:t xml:space="preserve"> </w:t>
      </w:r>
      <w:proofErr w:type="spellStart"/>
      <w:r w:rsidRPr="003D0CD3">
        <w:rPr>
          <w:rStyle w:val="nfase"/>
          <w:sz w:val="20"/>
          <w:szCs w:val="20"/>
        </w:rPr>
        <w:t>International</w:t>
      </w:r>
      <w:proofErr w:type="spellEnd"/>
      <w:r w:rsidRPr="003D0CD3">
        <w:rPr>
          <w:sz w:val="20"/>
          <w:szCs w:val="20"/>
        </w:rPr>
        <w:t xml:space="preserve">, v. 26, n. 10, p. 1217-1224, dez. 2006. DOI: 10.1111/j.1478-3231.2006.01380.  </w:t>
      </w:r>
    </w:p>
    <w:p w14:paraId="68A6266D" w14:textId="77777777" w:rsidR="00B742A6" w:rsidRPr="003D0CD3" w:rsidRDefault="00B742A6" w:rsidP="00B742A6">
      <w:pPr>
        <w:rPr>
          <w:b/>
          <w:bCs/>
          <w:sz w:val="20"/>
          <w:szCs w:val="20"/>
        </w:rPr>
      </w:pPr>
      <w:r w:rsidRPr="003D0CD3">
        <w:rPr>
          <w:rStyle w:val="Forte"/>
          <w:rFonts w:eastAsia="Calibri"/>
          <w:sz w:val="20"/>
          <w:szCs w:val="20"/>
        </w:rPr>
        <w:t>RENLING, Y. et al.</w:t>
      </w:r>
      <w:r w:rsidRPr="003D0CD3">
        <w:rPr>
          <w:sz w:val="20"/>
          <w:szCs w:val="20"/>
        </w:rPr>
        <w:t xml:space="preserve"> NAFLD </w:t>
      </w:r>
      <w:proofErr w:type="spellStart"/>
      <w:r w:rsidRPr="003D0CD3">
        <w:rPr>
          <w:sz w:val="20"/>
          <w:szCs w:val="20"/>
        </w:rPr>
        <w:t>is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associated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with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less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severe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liver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fibrosis</w:t>
      </w:r>
      <w:proofErr w:type="spellEnd"/>
      <w:r w:rsidRPr="003D0CD3">
        <w:rPr>
          <w:sz w:val="20"/>
          <w:szCs w:val="20"/>
        </w:rPr>
        <w:t xml:space="preserve"> in </w:t>
      </w:r>
      <w:proofErr w:type="spellStart"/>
      <w:r w:rsidRPr="003D0CD3">
        <w:rPr>
          <w:sz w:val="20"/>
          <w:szCs w:val="20"/>
        </w:rPr>
        <w:t>chronic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hepatitis</w:t>
      </w:r>
      <w:proofErr w:type="spellEnd"/>
      <w:r w:rsidRPr="003D0CD3">
        <w:rPr>
          <w:sz w:val="20"/>
          <w:szCs w:val="20"/>
        </w:rPr>
        <w:t xml:space="preserve"> B: A </w:t>
      </w:r>
      <w:proofErr w:type="spellStart"/>
      <w:r w:rsidRPr="003D0CD3">
        <w:rPr>
          <w:sz w:val="20"/>
          <w:szCs w:val="20"/>
        </w:rPr>
        <w:t>multi-center</w:t>
      </w:r>
      <w:proofErr w:type="spellEnd"/>
      <w:r w:rsidRPr="003D0CD3">
        <w:rPr>
          <w:sz w:val="20"/>
          <w:szCs w:val="20"/>
        </w:rPr>
        <w:t xml:space="preserve">, </w:t>
      </w:r>
      <w:proofErr w:type="spellStart"/>
      <w:r w:rsidRPr="003D0CD3">
        <w:rPr>
          <w:sz w:val="20"/>
          <w:szCs w:val="20"/>
        </w:rPr>
        <w:t>retrospective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study</w:t>
      </w:r>
      <w:proofErr w:type="spellEnd"/>
      <w:r w:rsidRPr="003D0CD3">
        <w:rPr>
          <w:sz w:val="20"/>
          <w:szCs w:val="20"/>
        </w:rPr>
        <w:t xml:space="preserve">. </w:t>
      </w:r>
      <w:proofErr w:type="spellStart"/>
      <w:r w:rsidRPr="003D0CD3">
        <w:rPr>
          <w:rStyle w:val="nfase"/>
          <w:sz w:val="20"/>
          <w:szCs w:val="20"/>
        </w:rPr>
        <w:t>Annals</w:t>
      </w:r>
      <w:proofErr w:type="spellEnd"/>
      <w:r w:rsidRPr="003D0CD3">
        <w:rPr>
          <w:rStyle w:val="nfase"/>
          <w:sz w:val="20"/>
          <w:szCs w:val="20"/>
        </w:rPr>
        <w:t xml:space="preserve"> </w:t>
      </w:r>
      <w:proofErr w:type="spellStart"/>
      <w:r w:rsidRPr="003D0CD3">
        <w:rPr>
          <w:rStyle w:val="nfase"/>
          <w:sz w:val="20"/>
          <w:szCs w:val="20"/>
        </w:rPr>
        <w:t>of</w:t>
      </w:r>
      <w:proofErr w:type="spellEnd"/>
      <w:r w:rsidRPr="003D0CD3">
        <w:rPr>
          <w:rStyle w:val="nfase"/>
          <w:sz w:val="20"/>
          <w:szCs w:val="20"/>
        </w:rPr>
        <w:t xml:space="preserve"> </w:t>
      </w:r>
      <w:proofErr w:type="spellStart"/>
      <w:r w:rsidRPr="003D0CD3">
        <w:rPr>
          <w:rStyle w:val="nfase"/>
          <w:sz w:val="20"/>
          <w:szCs w:val="20"/>
        </w:rPr>
        <w:t>Hepatology</w:t>
      </w:r>
      <w:proofErr w:type="spellEnd"/>
      <w:r w:rsidRPr="003D0CD3">
        <w:rPr>
          <w:sz w:val="20"/>
          <w:szCs w:val="20"/>
        </w:rPr>
        <w:t>, v. 30, p. 101155, 2023. DOI: 10.1016/j.aohep.2023.101155.</w:t>
      </w:r>
    </w:p>
    <w:p w14:paraId="53128261" w14:textId="76289AA8" w:rsidR="00CD07AD" w:rsidRPr="003D0CD3" w:rsidRDefault="00B742A6" w:rsidP="00B742A6">
      <w:pPr>
        <w:rPr>
          <w:sz w:val="20"/>
          <w:szCs w:val="20"/>
        </w:rPr>
      </w:pPr>
      <w:r w:rsidRPr="003D0CD3">
        <w:rPr>
          <w:rStyle w:val="Forte"/>
          <w:rFonts w:eastAsia="Calibri"/>
          <w:sz w:val="20"/>
          <w:szCs w:val="20"/>
        </w:rPr>
        <w:t>RAMOS, S. N. et al.</w:t>
      </w:r>
      <w:r w:rsidRPr="003D0CD3">
        <w:rPr>
          <w:sz w:val="20"/>
          <w:szCs w:val="20"/>
        </w:rPr>
        <w:t xml:space="preserve"> Perfil de biomarcadores hepáticos e a sua relação com a esteatose hepática. </w:t>
      </w:r>
      <w:r w:rsidRPr="003D0CD3">
        <w:rPr>
          <w:rStyle w:val="nfase"/>
          <w:sz w:val="20"/>
          <w:szCs w:val="20"/>
        </w:rPr>
        <w:t>Revista Foco</w:t>
      </w:r>
      <w:r w:rsidRPr="003D0CD3">
        <w:rPr>
          <w:sz w:val="20"/>
          <w:szCs w:val="20"/>
        </w:rPr>
        <w:t>, v. 16, n. 11, p. 197, 2023. DOI: 10.54751/</w:t>
      </w:r>
      <w:proofErr w:type="gramStart"/>
      <w:r w:rsidRPr="003D0CD3">
        <w:rPr>
          <w:sz w:val="20"/>
          <w:szCs w:val="20"/>
        </w:rPr>
        <w:t>revistafoco.v</w:t>
      </w:r>
      <w:proofErr w:type="gramEnd"/>
      <w:r w:rsidRPr="003D0CD3">
        <w:rPr>
          <w:sz w:val="20"/>
          <w:szCs w:val="20"/>
        </w:rPr>
        <w:t>16n11-197</w:t>
      </w:r>
      <w:r w:rsidR="00FD6A79" w:rsidRPr="003D0CD3">
        <w:rPr>
          <w:sz w:val="20"/>
          <w:szCs w:val="20"/>
        </w:rPr>
        <w:t>.</w:t>
      </w:r>
    </w:p>
    <w:p w14:paraId="0EC2193E" w14:textId="37AEF7C9" w:rsidR="00FD6A79" w:rsidRPr="003D0CD3" w:rsidRDefault="00FD6A79" w:rsidP="00B742A6">
      <w:pPr>
        <w:rPr>
          <w:sz w:val="20"/>
          <w:szCs w:val="20"/>
        </w:rPr>
      </w:pPr>
      <w:r w:rsidRPr="003D0CD3">
        <w:rPr>
          <w:b/>
          <w:bCs/>
          <w:sz w:val="20"/>
          <w:szCs w:val="20"/>
        </w:rPr>
        <w:t>JIANG, M. et al.</w:t>
      </w:r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Albumin-Bilirubin</w:t>
      </w:r>
      <w:proofErr w:type="spellEnd"/>
      <w:r w:rsidRPr="003D0CD3">
        <w:rPr>
          <w:sz w:val="20"/>
          <w:szCs w:val="20"/>
        </w:rPr>
        <w:t xml:space="preserve"> Score </w:t>
      </w:r>
      <w:proofErr w:type="spellStart"/>
      <w:r w:rsidRPr="003D0CD3">
        <w:rPr>
          <w:sz w:val="20"/>
          <w:szCs w:val="20"/>
        </w:rPr>
        <w:t>to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Predict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Outcomes</w:t>
      </w:r>
      <w:proofErr w:type="spellEnd"/>
      <w:r w:rsidRPr="003D0CD3">
        <w:rPr>
          <w:sz w:val="20"/>
          <w:szCs w:val="20"/>
        </w:rPr>
        <w:t xml:space="preserve"> in </w:t>
      </w:r>
      <w:proofErr w:type="spellStart"/>
      <w:r w:rsidRPr="003D0CD3">
        <w:rPr>
          <w:sz w:val="20"/>
          <w:szCs w:val="20"/>
        </w:rPr>
        <w:t>Patients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with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Idiopathic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Dilated</w:t>
      </w:r>
      <w:proofErr w:type="spellEnd"/>
      <w:r w:rsidRPr="003D0CD3">
        <w:rPr>
          <w:sz w:val="20"/>
          <w:szCs w:val="20"/>
        </w:rPr>
        <w:t xml:space="preserve"> </w:t>
      </w:r>
      <w:proofErr w:type="spellStart"/>
      <w:r w:rsidRPr="003D0CD3">
        <w:rPr>
          <w:sz w:val="20"/>
          <w:szCs w:val="20"/>
        </w:rPr>
        <w:t>Cardiomyopathy</w:t>
      </w:r>
      <w:proofErr w:type="spellEnd"/>
      <w:r w:rsidRPr="003D0CD3">
        <w:rPr>
          <w:sz w:val="20"/>
          <w:szCs w:val="20"/>
        </w:rPr>
        <w:t xml:space="preserve">. </w:t>
      </w:r>
      <w:r w:rsidRPr="003D0CD3">
        <w:rPr>
          <w:rStyle w:val="nfase"/>
          <w:sz w:val="20"/>
          <w:szCs w:val="20"/>
        </w:rPr>
        <w:t>Arquivos Brasileiros de Cardiologia</w:t>
      </w:r>
      <w:r w:rsidRPr="003D0CD3">
        <w:rPr>
          <w:sz w:val="20"/>
          <w:szCs w:val="20"/>
        </w:rPr>
        <w:t>, v. 118, n. 6, p. 1108-1115, jun. 2022. DOI: 10.36660/abc.20210035. Disponível em: https://doi.org/10.36660/abc.20210035. Acesso em: 23 out. 2024.</w:t>
      </w:r>
    </w:p>
    <w:sectPr w:rsidR="00FD6A79" w:rsidRPr="003D0CD3" w:rsidSect="003D0CD3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113" w:right="227" w:bottom="113" w:left="22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7B1A" w14:textId="77777777" w:rsidR="00FD3001" w:rsidRDefault="00FD3001" w:rsidP="00EE20DF">
      <w:pPr>
        <w:spacing w:line="240" w:lineRule="auto"/>
      </w:pPr>
      <w:r>
        <w:separator/>
      </w:r>
    </w:p>
  </w:endnote>
  <w:endnote w:type="continuationSeparator" w:id="0">
    <w:p w14:paraId="07CC34C3" w14:textId="77777777" w:rsidR="00FD3001" w:rsidRDefault="00FD300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88C8" w14:textId="77777777" w:rsidR="00FD3001" w:rsidRDefault="00FD3001" w:rsidP="00EE20DF">
      <w:pPr>
        <w:spacing w:line="240" w:lineRule="auto"/>
      </w:pPr>
      <w:r>
        <w:separator/>
      </w:r>
    </w:p>
  </w:footnote>
  <w:footnote w:type="continuationSeparator" w:id="0">
    <w:p w14:paraId="72E5ACB2" w14:textId="77777777" w:rsidR="00FD3001" w:rsidRDefault="00FD300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259A5"/>
    <w:multiLevelType w:val="hybridMultilevel"/>
    <w:tmpl w:val="939C3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7"/>
  </w:num>
  <w:num w:numId="5">
    <w:abstractNumId w:val="16"/>
  </w:num>
  <w:num w:numId="6">
    <w:abstractNumId w:val="28"/>
  </w:num>
  <w:num w:numId="7">
    <w:abstractNumId w:val="9"/>
  </w:num>
  <w:num w:numId="8">
    <w:abstractNumId w:val="8"/>
  </w:num>
  <w:num w:numId="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9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 w:numId="34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5610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1A03"/>
    <w:rsid w:val="001122F9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0DCE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D0CD3"/>
    <w:rsid w:val="003E0286"/>
    <w:rsid w:val="003E27B5"/>
    <w:rsid w:val="003E466C"/>
    <w:rsid w:val="003E5CCC"/>
    <w:rsid w:val="003F0494"/>
    <w:rsid w:val="003F1CBE"/>
    <w:rsid w:val="003F5567"/>
    <w:rsid w:val="003F7692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20693"/>
    <w:rsid w:val="0064371A"/>
    <w:rsid w:val="00645963"/>
    <w:rsid w:val="00656E51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7220B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E62B4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42A6"/>
    <w:rsid w:val="00B7530B"/>
    <w:rsid w:val="00B86E56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ACB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453CB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1CFB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001"/>
    <w:rsid w:val="00FD3A14"/>
    <w:rsid w:val="00FD6A79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3D0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aazevedo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amaria.rg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3240</Characters>
  <Application>Microsoft Office Word</Application>
  <DocSecurity>0</DocSecurity>
  <Lines>44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Cecilia Azevêdo de Souza</cp:lastModifiedBy>
  <cp:revision>2</cp:revision>
  <dcterms:created xsi:type="dcterms:W3CDTF">2024-11-11T21:36:00Z</dcterms:created>
  <dcterms:modified xsi:type="dcterms:W3CDTF">2024-11-11T21:36:00Z</dcterms:modified>
</cp:coreProperties>
</file>