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23BC" w14:textId="3C82EFF6" w:rsidR="00643DF8" w:rsidRDefault="00643DF8" w:rsidP="00643DF8">
      <w:pPr>
        <w:jc w:val="center"/>
        <w:rPr>
          <w:rFonts w:ascii="Times New Roman" w:eastAsia="Calibri" w:hAnsi="Times New Roman" w:cs="Times New Roman"/>
          <w:b/>
          <w:kern w:val="0"/>
          <w:sz w:val="28"/>
          <w:szCs w:val="28"/>
          <w14:ligatures w14:val="none"/>
        </w:rPr>
      </w:pPr>
      <w:r w:rsidRPr="00643DF8">
        <w:rPr>
          <w:rFonts w:ascii="Times New Roman" w:eastAsia="Calibri" w:hAnsi="Times New Roman" w:cs="Times New Roman"/>
          <w:b/>
          <w:kern w:val="0"/>
          <w:sz w:val="28"/>
          <w:szCs w:val="28"/>
          <w14:ligatures w14:val="none"/>
        </w:rPr>
        <w:t xml:space="preserve">CUIDADOS DE ENFERMAGEM PARA CRIANÇAS E ADOLESCENTES COM TRANSTORNOS </w:t>
      </w:r>
      <w:r w:rsidR="00A217C9">
        <w:rPr>
          <w:rFonts w:ascii="Times New Roman" w:eastAsia="Calibri" w:hAnsi="Times New Roman" w:cs="Times New Roman"/>
          <w:b/>
          <w:kern w:val="0"/>
          <w:sz w:val="28"/>
          <w:szCs w:val="28"/>
          <w14:ligatures w14:val="none"/>
        </w:rPr>
        <w:t xml:space="preserve">DO DÉFICIT </w:t>
      </w:r>
      <w:r w:rsidRPr="00643DF8">
        <w:rPr>
          <w:rFonts w:ascii="Times New Roman" w:eastAsia="Calibri" w:hAnsi="Times New Roman" w:cs="Times New Roman"/>
          <w:b/>
          <w:kern w:val="0"/>
          <w:sz w:val="28"/>
          <w:szCs w:val="28"/>
          <w14:ligatures w14:val="none"/>
        </w:rPr>
        <w:t xml:space="preserve">DE ATENÇÃO E HIPERATIVIDADE (TDAH) </w:t>
      </w:r>
    </w:p>
    <w:p w14:paraId="36959F9B" w14:textId="549E66F2" w:rsidR="00855E8B" w:rsidRDefault="00353FB6" w:rsidP="00643DF8">
      <w:pPr>
        <w:jc w:val="right"/>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Kallynne</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Brycia</w:t>
      </w:r>
      <w:proofErr w:type="spellEnd"/>
      <w:r>
        <w:rPr>
          <w:rFonts w:ascii="Times New Roman" w:eastAsia="Calibri" w:hAnsi="Times New Roman" w:cs="Times New Roman"/>
          <w:kern w:val="0"/>
          <w:sz w:val="24"/>
          <w:szCs w:val="24"/>
          <w14:ligatures w14:val="none"/>
        </w:rPr>
        <w:t xml:space="preserve"> Araújo Leite</w:t>
      </w:r>
      <w:r w:rsidR="00855E8B" w:rsidRPr="00855E8B">
        <w:rPr>
          <w:rFonts w:ascii="Times New Roman" w:eastAsia="Calibri" w:hAnsi="Times New Roman" w:cs="Times New Roman"/>
          <w:kern w:val="0"/>
          <w:sz w:val="24"/>
          <w:szCs w:val="24"/>
          <w14:ligatures w14:val="none"/>
        </w:rPr>
        <w:t xml:space="preserve"> – Centro Universitário de Patos – UNIFIP, Patos, Paraíba, Brasil.</w:t>
      </w:r>
    </w:p>
    <w:p w14:paraId="57C4D535" w14:textId="152F8113" w:rsidR="00EA43C7" w:rsidRPr="00855E8B" w:rsidRDefault="00353FB6" w:rsidP="00EA43C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Cinthya Mikaelle Pereira de Medeiros</w:t>
      </w:r>
      <w:r w:rsidR="00EA43C7" w:rsidRPr="00855E8B">
        <w:rPr>
          <w:rFonts w:ascii="Times New Roman" w:eastAsia="Calibri" w:hAnsi="Times New Roman" w:cs="Times New Roman"/>
          <w:kern w:val="0"/>
          <w:sz w:val="24"/>
          <w:szCs w:val="24"/>
          <w14:ligatures w14:val="none"/>
        </w:rPr>
        <w:t xml:space="preserve"> – Centro Universitário de Patos – UNIFIP, Patos, Paraíba, Brasil.</w:t>
      </w:r>
    </w:p>
    <w:p w14:paraId="4A281484" w14:textId="4DBE8984" w:rsidR="00D72A6D" w:rsidRDefault="00643DF8" w:rsidP="00D72A6D">
      <w:pPr>
        <w:jc w:val="right"/>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Sibelly</w:t>
      </w:r>
      <w:proofErr w:type="spellEnd"/>
      <w:r>
        <w:rPr>
          <w:rFonts w:ascii="Times New Roman" w:eastAsia="Calibri" w:hAnsi="Times New Roman" w:cs="Times New Roman"/>
          <w:kern w:val="0"/>
          <w:sz w:val="24"/>
          <w:szCs w:val="24"/>
          <w14:ligatures w14:val="none"/>
        </w:rPr>
        <w:t xml:space="preserve"> Vitória Pereira da Silva </w:t>
      </w:r>
      <w:r w:rsidR="00D72A6D" w:rsidRPr="00855E8B">
        <w:rPr>
          <w:rFonts w:ascii="Times New Roman" w:eastAsia="Calibri" w:hAnsi="Times New Roman" w:cs="Times New Roman"/>
          <w:kern w:val="0"/>
          <w:sz w:val="24"/>
          <w:szCs w:val="24"/>
          <w14:ligatures w14:val="none"/>
        </w:rPr>
        <w:t>– Centro Universitário de Patos – UNIFIP, Patos, Paraíba, Brasil.</w:t>
      </w:r>
    </w:p>
    <w:p w14:paraId="403D8426" w14:textId="486D7826" w:rsidR="009517E5" w:rsidRDefault="00643DF8" w:rsidP="00D72A6D">
      <w:pPr>
        <w:jc w:val="right"/>
        <w:rPr>
          <w:rFonts w:ascii="Times New Roman" w:eastAsia="Calibri" w:hAnsi="Times New Roman" w:cs="Times New Roman"/>
          <w:kern w:val="0"/>
          <w:sz w:val="24"/>
          <w:szCs w:val="24"/>
          <w14:ligatures w14:val="none"/>
        </w:rPr>
      </w:pPr>
      <w:r w:rsidRPr="00643DF8">
        <w:rPr>
          <w:rFonts w:ascii="Times New Roman" w:eastAsia="Calibri" w:hAnsi="Times New Roman" w:cs="Times New Roman"/>
          <w:kern w:val="0"/>
          <w:sz w:val="24"/>
          <w:szCs w:val="24"/>
          <w14:ligatures w14:val="none"/>
        </w:rPr>
        <w:t xml:space="preserve">Fernanda Gonçalves da Conceição Medeiros </w:t>
      </w:r>
      <w:r w:rsidR="009517E5" w:rsidRPr="00855E8B">
        <w:rPr>
          <w:rFonts w:ascii="Times New Roman" w:eastAsia="Calibri" w:hAnsi="Times New Roman" w:cs="Times New Roman"/>
          <w:kern w:val="0"/>
          <w:sz w:val="24"/>
          <w:szCs w:val="24"/>
          <w14:ligatures w14:val="none"/>
        </w:rPr>
        <w:t>– Centro Universitário de Patos – UNIFIP, Patos, Paraíba, Brasil</w:t>
      </w:r>
      <w:r w:rsidR="009517E5">
        <w:rPr>
          <w:rFonts w:ascii="Times New Roman" w:eastAsia="Calibri" w:hAnsi="Times New Roman" w:cs="Times New Roman"/>
          <w:kern w:val="0"/>
          <w:sz w:val="24"/>
          <w:szCs w:val="24"/>
          <w14:ligatures w14:val="none"/>
        </w:rPr>
        <w:t>.</w:t>
      </w:r>
    </w:p>
    <w:p w14:paraId="5A1D919A" w14:textId="4E85CEC3" w:rsidR="009517E5" w:rsidRDefault="00643DF8" w:rsidP="00D72A6D">
      <w:pPr>
        <w:jc w:val="right"/>
        <w:rPr>
          <w:rFonts w:ascii="Times New Roman" w:eastAsia="Calibri" w:hAnsi="Times New Roman" w:cs="Times New Roman"/>
          <w:kern w:val="0"/>
          <w:sz w:val="24"/>
          <w:szCs w:val="24"/>
          <w14:ligatures w14:val="none"/>
        </w:rPr>
      </w:pPr>
      <w:r w:rsidRPr="00643DF8">
        <w:rPr>
          <w:rFonts w:ascii="Times New Roman" w:eastAsia="Calibri" w:hAnsi="Times New Roman" w:cs="Times New Roman"/>
          <w:kern w:val="0"/>
          <w:sz w:val="24"/>
          <w:szCs w:val="24"/>
          <w14:ligatures w14:val="none"/>
        </w:rPr>
        <w:t xml:space="preserve">Rafaella Graziele da Costa Silva </w:t>
      </w:r>
      <w:r w:rsidR="009517E5" w:rsidRPr="00855E8B">
        <w:rPr>
          <w:rFonts w:ascii="Times New Roman" w:eastAsia="Calibri" w:hAnsi="Times New Roman" w:cs="Times New Roman"/>
          <w:kern w:val="0"/>
          <w:sz w:val="24"/>
          <w:szCs w:val="24"/>
          <w14:ligatures w14:val="none"/>
        </w:rPr>
        <w:t>– Centro Universitário de Patos – UNIFIP, Patos, Paraíba, Brasil</w:t>
      </w:r>
      <w:r w:rsidR="009517E5">
        <w:rPr>
          <w:rFonts w:ascii="Times New Roman" w:eastAsia="Calibri" w:hAnsi="Times New Roman" w:cs="Times New Roman"/>
          <w:kern w:val="0"/>
          <w:sz w:val="24"/>
          <w:szCs w:val="24"/>
          <w14:ligatures w14:val="none"/>
        </w:rPr>
        <w:t>.</w:t>
      </w:r>
    </w:p>
    <w:p w14:paraId="6DBABC88" w14:textId="2B14EAE5" w:rsidR="00175D22" w:rsidRDefault="00175D22" w:rsidP="00175D22">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Bianca Maria de Oliveira Vieira</w:t>
      </w:r>
      <w:r w:rsidRPr="00643DF8">
        <w:rPr>
          <w:rFonts w:ascii="Times New Roman" w:eastAsia="Calibri" w:hAnsi="Times New Roman" w:cs="Times New Roman"/>
          <w:kern w:val="0"/>
          <w:sz w:val="24"/>
          <w:szCs w:val="24"/>
          <w14:ligatures w14:val="none"/>
        </w:rPr>
        <w:t xml:space="preserve"> </w:t>
      </w:r>
      <w:r w:rsidRPr="00855E8B">
        <w:rPr>
          <w:rFonts w:ascii="Times New Roman" w:eastAsia="Calibri" w:hAnsi="Times New Roman" w:cs="Times New Roman"/>
          <w:kern w:val="0"/>
          <w:sz w:val="24"/>
          <w:szCs w:val="24"/>
          <w14:ligatures w14:val="none"/>
        </w:rPr>
        <w:t>– Centro Universitário de Patos – UNIFIP, Patos, Paraíba, Brasil</w:t>
      </w:r>
      <w:r>
        <w:rPr>
          <w:rFonts w:ascii="Times New Roman" w:eastAsia="Calibri" w:hAnsi="Times New Roman" w:cs="Times New Roman"/>
          <w:kern w:val="0"/>
          <w:sz w:val="24"/>
          <w:szCs w:val="24"/>
          <w14:ligatures w14:val="none"/>
        </w:rPr>
        <w:t>.</w:t>
      </w:r>
    </w:p>
    <w:p w14:paraId="351D8301" w14:textId="02DFA1AD" w:rsidR="009517E5" w:rsidRPr="00855E8B" w:rsidRDefault="00643DF8" w:rsidP="00D72A6D">
      <w:pPr>
        <w:jc w:val="right"/>
        <w:rPr>
          <w:rFonts w:ascii="Times New Roman" w:eastAsia="Calibri" w:hAnsi="Times New Roman" w:cs="Times New Roman"/>
          <w:kern w:val="0"/>
          <w:sz w:val="24"/>
          <w:szCs w:val="24"/>
          <w14:ligatures w14:val="none"/>
        </w:rPr>
      </w:pPr>
      <w:r w:rsidRPr="00643DF8">
        <w:rPr>
          <w:rFonts w:ascii="Times New Roman" w:eastAsia="Calibri" w:hAnsi="Times New Roman" w:cs="Times New Roman"/>
          <w:kern w:val="0"/>
          <w:sz w:val="24"/>
          <w:szCs w:val="24"/>
          <w14:ligatures w14:val="none"/>
        </w:rPr>
        <w:t>Cristina Costa Melqu</w:t>
      </w:r>
      <w:r w:rsidR="008E6E12">
        <w:rPr>
          <w:rFonts w:ascii="Times New Roman" w:eastAsia="Calibri" w:hAnsi="Times New Roman" w:cs="Times New Roman"/>
          <w:kern w:val="0"/>
          <w:sz w:val="24"/>
          <w:szCs w:val="24"/>
          <w14:ligatures w14:val="none"/>
        </w:rPr>
        <w:t>í</w:t>
      </w:r>
      <w:r w:rsidRPr="00643DF8">
        <w:rPr>
          <w:rFonts w:ascii="Times New Roman" w:eastAsia="Calibri" w:hAnsi="Times New Roman" w:cs="Times New Roman"/>
          <w:kern w:val="0"/>
          <w:sz w:val="24"/>
          <w:szCs w:val="24"/>
          <w14:ligatures w14:val="none"/>
        </w:rPr>
        <w:t xml:space="preserve">ades </w:t>
      </w:r>
      <w:r w:rsidR="00B75988">
        <w:rPr>
          <w:rFonts w:ascii="Times New Roman" w:eastAsia="Calibri" w:hAnsi="Times New Roman" w:cs="Times New Roman"/>
          <w:kern w:val="0"/>
          <w:sz w:val="24"/>
          <w:szCs w:val="24"/>
          <w14:ligatures w14:val="none"/>
        </w:rPr>
        <w:t>Barreto</w:t>
      </w:r>
      <w:r w:rsidRPr="00643DF8">
        <w:rPr>
          <w:rFonts w:ascii="Times New Roman" w:eastAsia="Calibri" w:hAnsi="Times New Roman" w:cs="Times New Roman"/>
          <w:kern w:val="0"/>
          <w:sz w:val="24"/>
          <w:szCs w:val="24"/>
          <w14:ligatures w14:val="none"/>
        </w:rPr>
        <w:t xml:space="preserve"> </w:t>
      </w:r>
      <w:r w:rsidR="009517E5" w:rsidRPr="00855E8B">
        <w:rPr>
          <w:rFonts w:ascii="Times New Roman" w:eastAsia="Calibri" w:hAnsi="Times New Roman" w:cs="Times New Roman"/>
          <w:kern w:val="0"/>
          <w:sz w:val="24"/>
          <w:szCs w:val="24"/>
          <w14:ligatures w14:val="none"/>
        </w:rPr>
        <w:t>– Centro Universitário de Patos – UNIFIP, Patos, Paraíba, Brasil</w:t>
      </w:r>
      <w:r w:rsidR="009517E5">
        <w:rPr>
          <w:rFonts w:ascii="Times New Roman" w:eastAsia="Calibri" w:hAnsi="Times New Roman" w:cs="Times New Roman"/>
          <w:kern w:val="0"/>
          <w:sz w:val="24"/>
          <w:szCs w:val="24"/>
          <w14:ligatures w14:val="none"/>
        </w:rPr>
        <w:t>.</w:t>
      </w:r>
    </w:p>
    <w:p w14:paraId="371821C2" w14:textId="77777777" w:rsidR="00855E8B" w:rsidRPr="00855E8B" w:rsidRDefault="00855E8B" w:rsidP="00272E87">
      <w:pPr>
        <w:rPr>
          <w:rFonts w:ascii="Times New Roman" w:eastAsia="Calibri" w:hAnsi="Times New Roman" w:cs="Times New Roman"/>
          <w:kern w:val="0"/>
          <w:sz w:val="24"/>
          <w:szCs w:val="24"/>
          <w14:ligatures w14:val="none"/>
        </w:rPr>
      </w:pPr>
    </w:p>
    <w:p w14:paraId="33D3E100" w14:textId="1BB2B723" w:rsidR="00855E8B" w:rsidRPr="00272E87" w:rsidRDefault="00855E8B" w:rsidP="00855E8B">
      <w:pPr>
        <w:pBdr>
          <w:top w:val="nil"/>
          <w:left w:val="nil"/>
          <w:bottom w:val="nil"/>
          <w:right w:val="nil"/>
          <w:between w:val="nil"/>
        </w:pBdr>
        <w:spacing w:after="0" w:line="360" w:lineRule="auto"/>
        <w:jc w:val="both"/>
        <w:rPr>
          <w:rFonts w:ascii="Times New Roman" w:eastAsia="Calibri" w:hAnsi="Times New Roman" w:cs="Times New Roman"/>
          <w:color w:val="000000"/>
          <w:kern w:val="0"/>
          <w:sz w:val="24"/>
          <w:szCs w:val="24"/>
          <w14:ligatures w14:val="none"/>
        </w:rPr>
      </w:pPr>
      <w:r w:rsidRPr="00855E8B">
        <w:rPr>
          <w:rFonts w:ascii="Times New Roman" w:eastAsia="Calibri" w:hAnsi="Times New Roman" w:cs="Times New Roman"/>
          <w:b/>
          <w:kern w:val="0"/>
          <w:sz w:val="24"/>
          <w:szCs w:val="24"/>
          <w14:ligatures w14:val="none"/>
        </w:rPr>
        <w:t xml:space="preserve">Palavras-Chaves: </w:t>
      </w:r>
      <w:r w:rsidR="00643DF8">
        <w:rPr>
          <w:rFonts w:ascii="Times New Roman" w:eastAsia="Calibri" w:hAnsi="Times New Roman" w:cs="Times New Roman"/>
          <w:color w:val="000000"/>
          <w:kern w:val="0"/>
          <w:sz w:val="24"/>
          <w:szCs w:val="24"/>
          <w14:ligatures w14:val="none"/>
        </w:rPr>
        <w:t>cuidados de enfermagem; cria</w:t>
      </w:r>
      <w:r w:rsidR="00CD5666">
        <w:rPr>
          <w:rFonts w:ascii="Times New Roman" w:eastAsia="Calibri" w:hAnsi="Times New Roman" w:cs="Times New Roman"/>
          <w:color w:val="000000"/>
          <w:kern w:val="0"/>
          <w:sz w:val="24"/>
          <w:szCs w:val="24"/>
          <w14:ligatures w14:val="none"/>
        </w:rPr>
        <w:t>n</w:t>
      </w:r>
      <w:r w:rsidR="00643DF8">
        <w:rPr>
          <w:rFonts w:ascii="Times New Roman" w:eastAsia="Calibri" w:hAnsi="Times New Roman" w:cs="Times New Roman"/>
          <w:color w:val="000000"/>
          <w:kern w:val="0"/>
          <w:sz w:val="24"/>
          <w:szCs w:val="24"/>
          <w14:ligatures w14:val="none"/>
        </w:rPr>
        <w:t>ças e adolescentes</w:t>
      </w:r>
      <w:r w:rsidR="00643DF8" w:rsidRPr="00272E87">
        <w:rPr>
          <w:rFonts w:ascii="Times New Roman" w:eastAsia="Calibri" w:hAnsi="Times New Roman" w:cs="Times New Roman"/>
          <w:color w:val="000000"/>
          <w:kern w:val="0"/>
          <w:sz w:val="24"/>
          <w:szCs w:val="24"/>
          <w14:ligatures w14:val="none"/>
        </w:rPr>
        <w:t>;</w:t>
      </w:r>
      <w:r w:rsidR="00272E87">
        <w:rPr>
          <w:rFonts w:ascii="Times New Roman" w:eastAsia="Calibri" w:hAnsi="Times New Roman" w:cs="Times New Roman"/>
          <w:color w:val="000000"/>
          <w:kern w:val="0"/>
          <w:sz w:val="24"/>
          <w:szCs w:val="24"/>
          <w14:ligatures w14:val="none"/>
        </w:rPr>
        <w:t xml:space="preserve"> t</w:t>
      </w:r>
      <w:r w:rsidR="00272E87" w:rsidRPr="00272E87">
        <w:rPr>
          <w:rFonts w:ascii="Times New Roman" w:eastAsia="Calibri" w:hAnsi="Times New Roman" w:cs="Times New Roman"/>
          <w:color w:val="000000"/>
          <w:kern w:val="0"/>
          <w:sz w:val="24"/>
          <w:szCs w:val="24"/>
          <w14:ligatures w14:val="none"/>
        </w:rPr>
        <w:t xml:space="preserve">ranstorno do </w:t>
      </w:r>
      <w:r w:rsidR="007B156B">
        <w:rPr>
          <w:rFonts w:ascii="Times New Roman" w:eastAsia="Calibri" w:hAnsi="Times New Roman" w:cs="Times New Roman"/>
          <w:color w:val="000000"/>
          <w:kern w:val="0"/>
          <w:sz w:val="24"/>
          <w:szCs w:val="24"/>
          <w14:ligatures w14:val="none"/>
        </w:rPr>
        <w:t>d</w:t>
      </w:r>
      <w:r w:rsidR="007B156B" w:rsidRPr="00272E87">
        <w:rPr>
          <w:rFonts w:ascii="Times New Roman" w:eastAsia="Calibri" w:hAnsi="Times New Roman" w:cs="Times New Roman"/>
          <w:color w:val="000000"/>
          <w:kern w:val="0"/>
          <w:sz w:val="24"/>
          <w:szCs w:val="24"/>
          <w14:ligatures w14:val="none"/>
        </w:rPr>
        <w:t>éficit</w:t>
      </w:r>
      <w:r w:rsidR="00272E87" w:rsidRPr="00272E87">
        <w:rPr>
          <w:rFonts w:ascii="Times New Roman" w:eastAsia="Calibri" w:hAnsi="Times New Roman" w:cs="Times New Roman"/>
          <w:color w:val="000000"/>
          <w:kern w:val="0"/>
          <w:sz w:val="24"/>
          <w:szCs w:val="24"/>
          <w14:ligatures w14:val="none"/>
        </w:rPr>
        <w:t xml:space="preserve"> de </w:t>
      </w:r>
      <w:r w:rsidR="00272E87">
        <w:rPr>
          <w:rFonts w:ascii="Times New Roman" w:eastAsia="Calibri" w:hAnsi="Times New Roman" w:cs="Times New Roman"/>
          <w:color w:val="000000"/>
          <w:kern w:val="0"/>
          <w:sz w:val="24"/>
          <w:szCs w:val="24"/>
          <w14:ligatures w14:val="none"/>
        </w:rPr>
        <w:t>a</w:t>
      </w:r>
      <w:r w:rsidR="00272E87" w:rsidRPr="00272E87">
        <w:rPr>
          <w:rFonts w:ascii="Times New Roman" w:eastAsia="Calibri" w:hAnsi="Times New Roman" w:cs="Times New Roman"/>
          <w:color w:val="000000"/>
          <w:kern w:val="0"/>
          <w:sz w:val="24"/>
          <w:szCs w:val="24"/>
          <w14:ligatures w14:val="none"/>
        </w:rPr>
        <w:t xml:space="preserve">tenção com </w:t>
      </w:r>
      <w:r w:rsidR="00272E87">
        <w:rPr>
          <w:rFonts w:ascii="Times New Roman" w:eastAsia="Calibri" w:hAnsi="Times New Roman" w:cs="Times New Roman"/>
          <w:color w:val="000000"/>
          <w:kern w:val="0"/>
          <w:sz w:val="24"/>
          <w:szCs w:val="24"/>
          <w14:ligatures w14:val="none"/>
        </w:rPr>
        <w:t>h</w:t>
      </w:r>
      <w:r w:rsidR="00272E87" w:rsidRPr="00272E87">
        <w:rPr>
          <w:rFonts w:ascii="Times New Roman" w:eastAsia="Calibri" w:hAnsi="Times New Roman" w:cs="Times New Roman"/>
          <w:color w:val="000000"/>
          <w:kern w:val="0"/>
          <w:sz w:val="24"/>
          <w:szCs w:val="24"/>
          <w14:ligatures w14:val="none"/>
        </w:rPr>
        <w:t>iperatividade</w:t>
      </w:r>
      <w:r w:rsidR="00272E87">
        <w:rPr>
          <w:rFonts w:ascii="Times New Roman" w:eastAsia="Calibri" w:hAnsi="Times New Roman" w:cs="Times New Roman"/>
          <w:color w:val="000000"/>
          <w:kern w:val="0"/>
          <w:sz w:val="24"/>
          <w:szCs w:val="24"/>
          <w14:ligatures w14:val="none"/>
        </w:rPr>
        <w:t>.</w:t>
      </w:r>
    </w:p>
    <w:p w14:paraId="626B8873" w14:textId="5E539DE6" w:rsidR="00855E8B" w:rsidRPr="00855E8B" w:rsidRDefault="00855E8B" w:rsidP="00855E8B">
      <w:pPr>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Área Temática:</w:t>
      </w:r>
      <w:r w:rsidRPr="00855E8B">
        <w:rPr>
          <w:rFonts w:ascii="Times New Roman" w:eastAsia="Calibri" w:hAnsi="Times New Roman" w:cs="Times New Roman"/>
          <w:kern w:val="0"/>
          <w:sz w:val="24"/>
          <w:szCs w:val="24"/>
          <w14:ligatures w14:val="none"/>
        </w:rPr>
        <w:t xml:space="preserve"> </w:t>
      </w:r>
      <w:r w:rsidR="00A217C9">
        <w:rPr>
          <w:rFonts w:ascii="Times New Roman" w:eastAsia="Calibri" w:hAnsi="Times New Roman" w:cs="Times New Roman"/>
          <w:kern w:val="0"/>
          <w:sz w:val="24"/>
          <w:szCs w:val="24"/>
          <w14:ligatures w14:val="none"/>
        </w:rPr>
        <w:t xml:space="preserve">cuidados com a criança e </w:t>
      </w:r>
      <w:proofErr w:type="spellStart"/>
      <w:r w:rsidR="00A217C9">
        <w:rPr>
          <w:rFonts w:ascii="Times New Roman" w:eastAsia="Calibri" w:hAnsi="Times New Roman" w:cs="Times New Roman"/>
          <w:kern w:val="0"/>
          <w:sz w:val="24"/>
          <w:szCs w:val="24"/>
          <w14:ligatures w14:val="none"/>
        </w:rPr>
        <w:t>o</w:t>
      </w:r>
      <w:proofErr w:type="spellEnd"/>
      <w:r w:rsidR="00A217C9">
        <w:rPr>
          <w:rFonts w:ascii="Times New Roman" w:eastAsia="Calibri" w:hAnsi="Times New Roman" w:cs="Times New Roman"/>
          <w:kern w:val="0"/>
          <w:sz w:val="24"/>
          <w:szCs w:val="24"/>
          <w14:ligatures w14:val="none"/>
        </w:rPr>
        <w:t xml:space="preserve"> adolescente</w:t>
      </w:r>
      <w:r w:rsidR="00E05BEC">
        <w:rPr>
          <w:rFonts w:ascii="Times New Roman" w:eastAsia="Calibri" w:hAnsi="Times New Roman" w:cs="Times New Roman"/>
          <w:kern w:val="0"/>
          <w:sz w:val="24"/>
          <w:szCs w:val="24"/>
          <w14:ligatures w14:val="none"/>
        </w:rPr>
        <w:t xml:space="preserve"> </w:t>
      </w:r>
    </w:p>
    <w:p w14:paraId="525EA09B" w14:textId="1D66E77E" w:rsidR="00855E8B" w:rsidRPr="00855E8B" w:rsidRDefault="00855E8B" w:rsidP="00855E8B">
      <w:pPr>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E-mail do autor para correspondência:</w:t>
      </w:r>
      <w:r w:rsidR="00A217C9">
        <w:rPr>
          <w:rFonts w:ascii="Times New Roman" w:eastAsia="Calibri" w:hAnsi="Times New Roman" w:cs="Times New Roman"/>
          <w:kern w:val="0"/>
          <w:sz w:val="24"/>
          <w:szCs w:val="24"/>
          <w14:ligatures w14:val="none"/>
        </w:rPr>
        <w:t xml:space="preserve"> </w:t>
      </w:r>
      <w:hyperlink r:id="rId7" w:history="1">
        <w:r w:rsidR="00272E87" w:rsidRPr="00716812">
          <w:rPr>
            <w:rStyle w:val="Hyperlink"/>
            <w:rFonts w:ascii="Times New Roman" w:eastAsia="Calibri" w:hAnsi="Times New Roman" w:cs="Times New Roman"/>
            <w:kern w:val="0"/>
            <w:sz w:val="24"/>
            <w:szCs w:val="24"/>
            <w14:ligatures w14:val="none"/>
          </w:rPr>
          <w:t>brycialeite@gmail.com</w:t>
        </w:r>
      </w:hyperlink>
      <w:r w:rsidR="00272E87">
        <w:rPr>
          <w:rFonts w:ascii="Times New Roman" w:eastAsia="Calibri" w:hAnsi="Times New Roman" w:cs="Times New Roman"/>
          <w:kern w:val="0"/>
          <w:sz w:val="24"/>
          <w:szCs w:val="24"/>
          <w14:ligatures w14:val="none"/>
        </w:rPr>
        <w:t xml:space="preserve"> </w:t>
      </w:r>
      <w:r w:rsidR="00D72A6D">
        <w:rPr>
          <w:rFonts w:ascii="Times New Roman" w:eastAsia="Calibri" w:hAnsi="Times New Roman" w:cs="Times New Roman"/>
          <w:kern w:val="0"/>
          <w:sz w:val="24"/>
          <w:szCs w:val="24"/>
          <w14:ligatures w14:val="none"/>
        </w:rPr>
        <w:t xml:space="preserve"> </w:t>
      </w:r>
    </w:p>
    <w:p w14:paraId="13444BAE" w14:textId="77777777" w:rsidR="00855E8B" w:rsidRPr="00855E8B" w:rsidRDefault="00855E8B" w:rsidP="00855E8B">
      <w:pPr>
        <w:numPr>
          <w:ilvl w:val="0"/>
          <w:numId w:val="2"/>
        </w:numPr>
        <w:contextualSpacing/>
        <w:rPr>
          <w:rFonts w:ascii="Times New Roman" w:eastAsia="Calibri" w:hAnsi="Times New Roman" w:cs="Times New Roman"/>
          <w:b/>
          <w:kern w:val="0"/>
          <w:sz w:val="24"/>
          <w:szCs w:val="24"/>
          <w14:ligatures w14:val="none"/>
        </w:rPr>
      </w:pPr>
      <w:r w:rsidRPr="00855E8B">
        <w:rPr>
          <w:rFonts w:ascii="Times New Roman" w:eastAsia="Calibri" w:hAnsi="Times New Roman" w:cs="Times New Roman"/>
          <w:b/>
          <w:kern w:val="0"/>
          <w:sz w:val="24"/>
          <w:szCs w:val="24"/>
          <w14:ligatures w14:val="none"/>
        </w:rPr>
        <w:t>INTRODUÇÃO</w:t>
      </w:r>
    </w:p>
    <w:p w14:paraId="3E17FEDE" w14:textId="74BE8B43" w:rsidR="00855E8B" w:rsidRDefault="00CD5666" w:rsidP="00855E8B">
      <w:pPr>
        <w:spacing w:line="360" w:lineRule="auto"/>
        <w:ind w:firstLine="709"/>
        <w:jc w:val="both"/>
        <w:rPr>
          <w:rFonts w:ascii="Times New Roman" w:eastAsia="Calibri" w:hAnsi="Times New Roman" w:cs="Times New Roman"/>
          <w:kern w:val="0"/>
          <w:sz w:val="24"/>
          <w:szCs w:val="24"/>
          <w14:ligatures w14:val="none"/>
        </w:rPr>
      </w:pPr>
      <w:r w:rsidRPr="00CD5666">
        <w:rPr>
          <w:rFonts w:ascii="Times New Roman" w:eastAsia="Calibri" w:hAnsi="Times New Roman" w:cs="Times New Roman"/>
          <w:kern w:val="0"/>
          <w:sz w:val="24"/>
          <w:szCs w:val="24"/>
          <w14:ligatures w14:val="none"/>
        </w:rPr>
        <w:t xml:space="preserve">Conforme a </w:t>
      </w:r>
      <w:r>
        <w:rPr>
          <w:rFonts w:ascii="Times New Roman" w:eastAsia="Calibri" w:hAnsi="Times New Roman" w:cs="Times New Roman"/>
          <w:kern w:val="0"/>
          <w:sz w:val="24"/>
          <w:szCs w:val="24"/>
          <w14:ligatures w14:val="none"/>
        </w:rPr>
        <w:t>OPAS</w:t>
      </w:r>
      <w:r w:rsidRPr="00CD5666">
        <w:rPr>
          <w:rFonts w:ascii="Times New Roman" w:eastAsia="Calibri" w:hAnsi="Times New Roman" w:cs="Times New Roman"/>
          <w:kern w:val="0"/>
          <w:sz w:val="24"/>
          <w:szCs w:val="24"/>
          <w14:ligatures w14:val="none"/>
        </w:rPr>
        <w:t xml:space="preserve"> (Organização </w:t>
      </w:r>
      <w:r>
        <w:rPr>
          <w:rFonts w:ascii="Times New Roman" w:eastAsia="Calibri" w:hAnsi="Times New Roman" w:cs="Times New Roman"/>
          <w:kern w:val="0"/>
          <w:sz w:val="24"/>
          <w:szCs w:val="24"/>
          <w14:ligatures w14:val="none"/>
        </w:rPr>
        <w:t xml:space="preserve">Panamericana </w:t>
      </w:r>
      <w:r w:rsidRPr="00CD5666">
        <w:rPr>
          <w:rFonts w:ascii="Times New Roman" w:eastAsia="Calibri" w:hAnsi="Times New Roman" w:cs="Times New Roman"/>
          <w:kern w:val="0"/>
          <w:sz w:val="24"/>
          <w:szCs w:val="24"/>
          <w14:ligatures w14:val="none"/>
        </w:rPr>
        <w:t>da Saúde), o Transtorno de Déficit de Atenção e Hiperatividade (TDAH) é um dos tópicos mais pesquisados em crianças em idade escolar. Este transtorno neurológico, de origem genética, apresenta seus primeiros sintomas na infância. A condição é caracterizada pela tríade clássica de sintomas: déficit de atenção, hiperatividade e impulsividade (</w:t>
      </w:r>
      <w:r>
        <w:rPr>
          <w:rFonts w:ascii="Times New Roman" w:eastAsia="Calibri" w:hAnsi="Times New Roman" w:cs="Times New Roman"/>
          <w:kern w:val="0"/>
          <w:sz w:val="24"/>
          <w:szCs w:val="24"/>
          <w14:ligatures w14:val="none"/>
        </w:rPr>
        <w:t>OPAS, 2018</w:t>
      </w:r>
      <w:r w:rsidRPr="00CD5666">
        <w:rPr>
          <w:rFonts w:ascii="Times New Roman" w:eastAsia="Calibri" w:hAnsi="Times New Roman" w:cs="Times New Roman"/>
          <w:kern w:val="0"/>
          <w:sz w:val="24"/>
          <w:szCs w:val="24"/>
          <w14:ligatures w14:val="none"/>
        </w:rPr>
        <w:t>).</w:t>
      </w:r>
      <w:r w:rsidR="00BF5D41">
        <w:rPr>
          <w:rFonts w:ascii="Times New Roman" w:eastAsia="Calibri" w:hAnsi="Times New Roman" w:cs="Times New Roman"/>
          <w:kern w:val="0"/>
          <w:sz w:val="24"/>
          <w:szCs w:val="24"/>
          <w14:ligatures w14:val="none"/>
        </w:rPr>
        <w:t xml:space="preserve"> </w:t>
      </w:r>
      <w:r w:rsidR="00BF5D41" w:rsidRPr="00BF5D41">
        <w:rPr>
          <w:rFonts w:ascii="Times New Roman" w:eastAsia="Calibri" w:hAnsi="Times New Roman" w:cs="Times New Roman"/>
          <w:kern w:val="0"/>
          <w:sz w:val="24"/>
          <w:szCs w:val="24"/>
          <w14:ligatures w14:val="none"/>
        </w:rPr>
        <w:t xml:space="preserve">O </w:t>
      </w:r>
      <w:proofErr w:type="gramStart"/>
      <w:r w:rsidR="00BF5D41" w:rsidRPr="00BF5D41">
        <w:rPr>
          <w:rFonts w:ascii="Times New Roman" w:eastAsia="Calibri" w:hAnsi="Times New Roman" w:cs="Times New Roman"/>
          <w:kern w:val="0"/>
          <w:sz w:val="24"/>
          <w:szCs w:val="24"/>
          <w14:ligatures w14:val="none"/>
        </w:rPr>
        <w:t>TDAH  aparece</w:t>
      </w:r>
      <w:proofErr w:type="gramEnd"/>
      <w:r w:rsidR="00BF5D41" w:rsidRPr="00BF5D41">
        <w:rPr>
          <w:rFonts w:ascii="Times New Roman" w:eastAsia="Calibri" w:hAnsi="Times New Roman" w:cs="Times New Roman"/>
          <w:kern w:val="0"/>
          <w:sz w:val="24"/>
          <w:szCs w:val="24"/>
          <w14:ligatures w14:val="none"/>
        </w:rPr>
        <w:t xml:space="preserve"> na infância e frequentemente acompanha o indivíduo por toda a sua vida. Ele se caracteriza por sintomas de desatenção, inquietude e impulsividade</w:t>
      </w:r>
      <w:r w:rsidR="00BF5D41">
        <w:rPr>
          <w:rFonts w:ascii="Times New Roman" w:eastAsia="Calibri" w:hAnsi="Times New Roman" w:cs="Times New Roman"/>
          <w:kern w:val="0"/>
          <w:sz w:val="24"/>
          <w:szCs w:val="24"/>
          <w14:ligatures w14:val="none"/>
        </w:rPr>
        <w:t xml:space="preserve"> (Leme, 2011). </w:t>
      </w:r>
    </w:p>
    <w:p w14:paraId="47666970" w14:textId="2CD0585A" w:rsidR="008A04F3" w:rsidRDefault="008A04F3" w:rsidP="00855E8B">
      <w:pPr>
        <w:spacing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Os</w:t>
      </w:r>
      <w:r w:rsidRPr="008A04F3">
        <w:rPr>
          <w:rFonts w:ascii="Times New Roman" w:eastAsia="Calibri" w:hAnsi="Times New Roman" w:cs="Times New Roman"/>
          <w:kern w:val="0"/>
          <w:sz w:val="24"/>
          <w:szCs w:val="24"/>
          <w14:ligatures w14:val="none"/>
        </w:rPr>
        <w:t xml:space="preserve"> sin</w:t>
      </w:r>
      <w:r>
        <w:rPr>
          <w:rFonts w:ascii="Times New Roman" w:eastAsia="Calibri" w:hAnsi="Times New Roman" w:cs="Times New Roman"/>
          <w:kern w:val="0"/>
          <w:sz w:val="24"/>
          <w:szCs w:val="24"/>
          <w14:ligatures w14:val="none"/>
        </w:rPr>
        <w:t>ais e sintomas</w:t>
      </w:r>
      <w:r w:rsidRPr="008A04F3">
        <w:rPr>
          <w:rFonts w:ascii="Times New Roman" w:eastAsia="Calibri" w:hAnsi="Times New Roman" w:cs="Times New Roman"/>
          <w:kern w:val="0"/>
          <w:sz w:val="24"/>
          <w:szCs w:val="24"/>
          <w14:ligatures w14:val="none"/>
        </w:rPr>
        <w:t xml:space="preserve"> costumam aparecer antes dos sete anos, principalmente em meninos, embora muitos sejam diagnosticados apenas após alguns anos de manifestação. Eles podem ser observados em diferentes contextos, como em casa, na escola ou no trabalho. Frequentemente, o distúrbio é identificado quando a criança começa a </w:t>
      </w:r>
      <w:r w:rsidRPr="008A04F3">
        <w:rPr>
          <w:rFonts w:ascii="Times New Roman" w:eastAsia="Calibri" w:hAnsi="Times New Roman" w:cs="Times New Roman"/>
          <w:kern w:val="0"/>
          <w:sz w:val="24"/>
          <w:szCs w:val="24"/>
          <w14:ligatures w14:val="none"/>
        </w:rPr>
        <w:lastRenderedPageBreak/>
        <w:t>frequentar a escola, pois é nesse momento que os professores percebem com mais clareza as dificuldades de atenção e a inquietação, em comparação com outras crianças da mesma faixa etária e ambiente</w:t>
      </w:r>
      <w:r>
        <w:rPr>
          <w:rFonts w:ascii="Times New Roman" w:eastAsia="Calibri" w:hAnsi="Times New Roman" w:cs="Times New Roman"/>
          <w:kern w:val="0"/>
          <w:sz w:val="24"/>
          <w:szCs w:val="24"/>
          <w14:ligatures w14:val="none"/>
        </w:rPr>
        <w:t xml:space="preserve"> (Benício, 2018). </w:t>
      </w:r>
    </w:p>
    <w:p w14:paraId="020431FA" w14:textId="12C47E8C" w:rsidR="008A04F3" w:rsidRDefault="008A04F3" w:rsidP="00855E8B">
      <w:pPr>
        <w:spacing w:line="360" w:lineRule="auto"/>
        <w:ind w:firstLine="709"/>
        <w:jc w:val="both"/>
        <w:rPr>
          <w:rFonts w:ascii="Times New Roman" w:eastAsia="Calibri" w:hAnsi="Times New Roman" w:cs="Times New Roman"/>
          <w:kern w:val="0"/>
          <w:sz w:val="24"/>
          <w:szCs w:val="24"/>
          <w14:ligatures w14:val="none"/>
        </w:rPr>
      </w:pPr>
      <w:r w:rsidRPr="008A04F3">
        <w:rPr>
          <w:rFonts w:ascii="Times New Roman" w:eastAsia="Calibri" w:hAnsi="Times New Roman" w:cs="Times New Roman"/>
          <w:kern w:val="0"/>
          <w:sz w:val="24"/>
          <w:szCs w:val="24"/>
          <w14:ligatures w14:val="none"/>
        </w:rPr>
        <w:t>A manifestação desse transtorno geralmente ocorre na fase escolar, pois é quando as crianças começam a interagir com outras em um novo ambiente, o que pode resultar em dificuldades maiores de compreensão e comportamento</w:t>
      </w:r>
      <w:r w:rsidR="00D84E1E">
        <w:rPr>
          <w:rFonts w:ascii="Times New Roman" w:eastAsia="Calibri" w:hAnsi="Times New Roman" w:cs="Times New Roman"/>
          <w:kern w:val="0"/>
          <w:sz w:val="24"/>
          <w:szCs w:val="24"/>
          <w14:ligatures w14:val="none"/>
        </w:rPr>
        <w:t xml:space="preserve"> </w:t>
      </w:r>
      <w:r w:rsidRPr="008A04F3">
        <w:rPr>
          <w:rFonts w:ascii="Times New Roman" w:eastAsia="Calibri" w:hAnsi="Times New Roman" w:cs="Times New Roman"/>
          <w:kern w:val="0"/>
          <w:sz w:val="24"/>
          <w:szCs w:val="24"/>
          <w14:ligatures w14:val="none"/>
        </w:rPr>
        <w:t>(Pereira, 2010). Os profissionais de enfermagem desempenham um papel crucial no desenvolvimento dessas crianças, ajudando a minimizar possíveis danos futuros relacionados à condição (</w:t>
      </w:r>
      <w:proofErr w:type="spellStart"/>
      <w:r w:rsidRPr="008A04F3">
        <w:rPr>
          <w:rFonts w:ascii="Times New Roman" w:eastAsia="Calibri" w:hAnsi="Times New Roman" w:cs="Times New Roman"/>
          <w:kern w:val="0"/>
          <w:sz w:val="24"/>
          <w:szCs w:val="24"/>
          <w14:ligatures w14:val="none"/>
        </w:rPr>
        <w:t>Anflor</w:t>
      </w:r>
      <w:proofErr w:type="spellEnd"/>
      <w:r w:rsidRPr="008A04F3">
        <w:rPr>
          <w:rFonts w:ascii="Times New Roman" w:eastAsia="Calibri" w:hAnsi="Times New Roman" w:cs="Times New Roman"/>
          <w:kern w:val="0"/>
          <w:sz w:val="24"/>
          <w:szCs w:val="24"/>
          <w14:ligatures w14:val="none"/>
        </w:rPr>
        <w:t>, 2014).</w:t>
      </w:r>
      <w:r w:rsidR="00272E87">
        <w:rPr>
          <w:rFonts w:ascii="Times New Roman" w:eastAsia="Calibri" w:hAnsi="Times New Roman" w:cs="Times New Roman"/>
          <w:kern w:val="0"/>
          <w:sz w:val="24"/>
          <w:szCs w:val="24"/>
          <w14:ligatures w14:val="none"/>
        </w:rPr>
        <w:t xml:space="preserve"> </w:t>
      </w:r>
    </w:p>
    <w:p w14:paraId="7E55B3AB" w14:textId="47F12A0A" w:rsidR="00D84E1E" w:rsidRPr="00D84E1E" w:rsidRDefault="00272E87" w:rsidP="00D84E1E">
      <w:pPr>
        <w:spacing w:line="360" w:lineRule="auto"/>
        <w:ind w:firstLine="709"/>
        <w:jc w:val="both"/>
        <w:rPr>
          <w:rFonts w:ascii="Times New Roman" w:eastAsia="Calibri" w:hAnsi="Times New Roman" w:cs="Times New Roman"/>
          <w:bCs/>
          <w:kern w:val="0"/>
          <w:sz w:val="24"/>
          <w:szCs w:val="24"/>
          <w14:ligatures w14:val="none"/>
        </w:rPr>
      </w:pPr>
      <w:r w:rsidRPr="00272E87">
        <w:rPr>
          <w:rFonts w:ascii="Times New Roman" w:eastAsia="Calibri" w:hAnsi="Times New Roman" w:cs="Times New Roman"/>
          <w:kern w:val="0"/>
          <w:sz w:val="24"/>
          <w:szCs w:val="24"/>
          <w14:ligatures w14:val="none"/>
        </w:rPr>
        <w:t>O atendimento a pessoas com TDAH é uma prática complexa e, muitas vezes, o enfermeiro pode avaliar o paciente de diferentes perspectivas: a moral, ao oferecer conselhos; a profissional de saúde, ao realizar procedimentos terapêuticos; e a social, ao proporcionar o suporte necessário para a reintegração social (Brum e Bozza, 2011).</w:t>
      </w:r>
      <w:r w:rsidR="00D84E1E">
        <w:rPr>
          <w:rFonts w:ascii="Times New Roman" w:eastAsia="Calibri" w:hAnsi="Times New Roman" w:cs="Times New Roman"/>
          <w:kern w:val="0"/>
          <w:sz w:val="24"/>
          <w:szCs w:val="24"/>
          <w14:ligatures w14:val="none"/>
        </w:rPr>
        <w:t xml:space="preserve"> O objetivo desse estudo foi analisar na literatura como se </w:t>
      </w:r>
      <w:proofErr w:type="spellStart"/>
      <w:r w:rsidR="00D84E1E">
        <w:rPr>
          <w:rFonts w:ascii="Times New Roman" w:eastAsia="Calibri" w:hAnsi="Times New Roman" w:cs="Times New Roman"/>
          <w:kern w:val="0"/>
          <w:sz w:val="24"/>
          <w:szCs w:val="24"/>
          <w14:ligatures w14:val="none"/>
        </w:rPr>
        <w:t>da</w:t>
      </w:r>
      <w:proofErr w:type="spellEnd"/>
      <w:r w:rsidR="00D84E1E">
        <w:rPr>
          <w:rFonts w:ascii="Times New Roman" w:eastAsia="Calibri" w:hAnsi="Times New Roman" w:cs="Times New Roman"/>
          <w:kern w:val="0"/>
          <w:sz w:val="24"/>
          <w:szCs w:val="24"/>
          <w14:ligatures w14:val="none"/>
        </w:rPr>
        <w:t xml:space="preserve"> os cuidados de enfermagem </w:t>
      </w:r>
      <w:r w:rsidR="00D84E1E" w:rsidRPr="00D84E1E">
        <w:rPr>
          <w:rFonts w:ascii="Times New Roman" w:eastAsia="Calibri" w:hAnsi="Times New Roman" w:cs="Times New Roman"/>
          <w:bCs/>
          <w:kern w:val="0"/>
          <w:sz w:val="24"/>
          <w:szCs w:val="24"/>
          <w14:ligatures w14:val="none"/>
        </w:rPr>
        <w:t>para crianças e adolescentes com transtornos do déficit de atenção e hiperatividade (</w:t>
      </w:r>
      <w:r w:rsidR="00E91218">
        <w:rPr>
          <w:rFonts w:ascii="Times New Roman" w:eastAsia="Calibri" w:hAnsi="Times New Roman" w:cs="Times New Roman"/>
          <w:bCs/>
          <w:kern w:val="0"/>
          <w:sz w:val="24"/>
          <w:szCs w:val="24"/>
          <w14:ligatures w14:val="none"/>
        </w:rPr>
        <w:t>TDAH</w:t>
      </w:r>
      <w:r w:rsidR="00D84E1E" w:rsidRPr="00D84E1E">
        <w:rPr>
          <w:rFonts w:ascii="Times New Roman" w:eastAsia="Calibri" w:hAnsi="Times New Roman" w:cs="Times New Roman"/>
          <w:bCs/>
          <w:kern w:val="0"/>
          <w:sz w:val="24"/>
          <w:szCs w:val="24"/>
          <w14:ligatures w14:val="none"/>
        </w:rPr>
        <w:t>)</w:t>
      </w:r>
      <w:r w:rsidR="00D84E1E">
        <w:rPr>
          <w:rFonts w:ascii="Times New Roman" w:eastAsia="Calibri" w:hAnsi="Times New Roman" w:cs="Times New Roman"/>
          <w:bCs/>
          <w:kern w:val="0"/>
          <w:sz w:val="24"/>
          <w:szCs w:val="24"/>
          <w14:ligatures w14:val="none"/>
        </w:rPr>
        <w:t>.</w:t>
      </w:r>
    </w:p>
    <w:p w14:paraId="3042AD97" w14:textId="77777777" w:rsidR="00D84E1E" w:rsidRDefault="00D84E1E" w:rsidP="00D84E1E">
      <w:pPr>
        <w:keepNext/>
        <w:keepLines/>
        <w:numPr>
          <w:ilvl w:val="0"/>
          <w:numId w:val="2"/>
        </w:numPr>
        <w:spacing w:before="240" w:after="0" w:line="360" w:lineRule="auto"/>
        <w:outlineLvl w:val="0"/>
        <w:rPr>
          <w:rFonts w:ascii="Times New Roman" w:eastAsia="Calibri" w:hAnsi="Times New Roman" w:cs="Times New Roman"/>
          <w:b/>
          <w:bCs/>
          <w:kern w:val="0"/>
          <w:sz w:val="24"/>
          <w:szCs w:val="24"/>
          <w14:ligatures w14:val="none"/>
        </w:rPr>
      </w:pPr>
      <w:r w:rsidRPr="00855E8B">
        <w:rPr>
          <w:rFonts w:ascii="Times New Roman" w:eastAsia="Times New Roman" w:hAnsi="Times New Roman" w:cs="Times New Roman"/>
          <w:b/>
          <w:bCs/>
          <w:kern w:val="0"/>
          <w:sz w:val="24"/>
          <w:szCs w:val="32"/>
          <w14:ligatures w14:val="none"/>
        </w:rPr>
        <w:t>MÉTODO</w:t>
      </w:r>
    </w:p>
    <w:p w14:paraId="3E0B1AA3" w14:textId="23653845" w:rsidR="002725AF" w:rsidRDefault="002725AF" w:rsidP="002725AF">
      <w:pPr>
        <w:spacing w:line="360" w:lineRule="auto"/>
        <w:ind w:firstLine="709"/>
        <w:jc w:val="both"/>
        <w:rPr>
          <w:rFonts w:ascii="Times New Roman" w:eastAsia="Calibri" w:hAnsi="Times New Roman" w:cs="Times New Roman"/>
          <w:kern w:val="0"/>
          <w:sz w:val="24"/>
          <w:szCs w:val="24"/>
          <w14:ligatures w14:val="none"/>
        </w:rPr>
      </w:pPr>
      <w:r w:rsidRPr="002725AF">
        <w:rPr>
          <w:rFonts w:ascii="Times New Roman" w:eastAsia="Calibri" w:hAnsi="Times New Roman" w:cs="Times New Roman"/>
          <w:kern w:val="0"/>
          <w:sz w:val="24"/>
          <w:szCs w:val="24"/>
          <w14:ligatures w14:val="none"/>
        </w:rPr>
        <w:t xml:space="preserve">Para este estudo, foi realizada uma revisão </w:t>
      </w:r>
      <w:r w:rsidR="008E69E3">
        <w:rPr>
          <w:rFonts w:ascii="Times New Roman" w:eastAsia="Calibri" w:hAnsi="Times New Roman" w:cs="Times New Roman"/>
          <w:kern w:val="0"/>
          <w:sz w:val="24"/>
          <w:szCs w:val="24"/>
          <w14:ligatures w14:val="none"/>
        </w:rPr>
        <w:t xml:space="preserve">bibliográfica, </w:t>
      </w:r>
      <w:r w:rsidRPr="002725AF">
        <w:rPr>
          <w:rFonts w:ascii="Times New Roman" w:eastAsia="Calibri" w:hAnsi="Times New Roman" w:cs="Times New Roman"/>
          <w:kern w:val="0"/>
          <w:sz w:val="24"/>
          <w:szCs w:val="24"/>
          <w14:ligatures w14:val="none"/>
        </w:rPr>
        <w:t xml:space="preserve">buscando uma síntese abrangente que possibilitasse uma compreensão aprofundada do fenômeno. Isso permite reunir informações sobre um tema fundamental para práticas futuras em saúde, baseadas em pesquisas robustas. </w:t>
      </w:r>
    </w:p>
    <w:p w14:paraId="3FA6DD74" w14:textId="77777777" w:rsidR="00B75988" w:rsidRDefault="00B75988" w:rsidP="00B75988">
      <w:pPr>
        <w:pBdr>
          <w:top w:val="nil"/>
          <w:left w:val="nil"/>
          <w:bottom w:val="nil"/>
          <w:right w:val="nil"/>
          <w:between w:val="nil"/>
        </w:pBdr>
        <w:spacing w:after="0" w:line="360" w:lineRule="auto"/>
        <w:ind w:firstLine="709"/>
        <w:jc w:val="both"/>
        <w:rPr>
          <w:rFonts w:ascii="Times New Roman" w:eastAsia="Calibri" w:hAnsi="Times New Roman" w:cs="Times New Roman"/>
          <w:kern w:val="0"/>
          <w:sz w:val="24"/>
          <w:szCs w:val="24"/>
          <w14:ligatures w14:val="none"/>
        </w:rPr>
      </w:pPr>
      <w:r w:rsidRPr="00B75988">
        <w:rPr>
          <w:rFonts w:ascii="Times New Roman" w:eastAsia="Calibri" w:hAnsi="Times New Roman" w:cs="Times New Roman"/>
          <w:kern w:val="0"/>
          <w:sz w:val="24"/>
          <w:szCs w:val="24"/>
          <w14:ligatures w14:val="none"/>
        </w:rPr>
        <w:t>Dessa forma, a questão norteadora foi: “</w:t>
      </w:r>
      <w:r>
        <w:rPr>
          <w:rFonts w:ascii="Times New Roman" w:eastAsia="Calibri" w:hAnsi="Times New Roman" w:cs="Times New Roman"/>
          <w:kern w:val="0"/>
          <w:sz w:val="24"/>
          <w:szCs w:val="24"/>
          <w14:ligatures w14:val="none"/>
        </w:rPr>
        <w:t xml:space="preserve">Como se </w:t>
      </w:r>
      <w:proofErr w:type="spellStart"/>
      <w:r>
        <w:rPr>
          <w:rFonts w:ascii="Times New Roman" w:eastAsia="Calibri" w:hAnsi="Times New Roman" w:cs="Times New Roman"/>
          <w:kern w:val="0"/>
          <w:sz w:val="24"/>
          <w:szCs w:val="24"/>
          <w14:ligatures w14:val="none"/>
        </w:rPr>
        <w:t>da</w:t>
      </w:r>
      <w:proofErr w:type="spellEnd"/>
      <w:r>
        <w:rPr>
          <w:rFonts w:ascii="Times New Roman" w:eastAsia="Calibri" w:hAnsi="Times New Roman" w:cs="Times New Roman"/>
          <w:kern w:val="0"/>
          <w:sz w:val="24"/>
          <w:szCs w:val="24"/>
          <w14:ligatures w14:val="none"/>
        </w:rPr>
        <w:t xml:space="preserve"> os cuidados de enfermagem</w:t>
      </w:r>
      <w:r w:rsidRPr="00B75988">
        <w:rPr>
          <w:rFonts w:ascii="Times New Roman" w:eastAsia="Calibri" w:hAnsi="Times New Roman" w:cs="Times New Roman"/>
          <w:b/>
          <w:kern w:val="0"/>
          <w:sz w:val="28"/>
          <w:szCs w:val="28"/>
          <w14:ligatures w14:val="none"/>
        </w:rPr>
        <w:t xml:space="preserve"> </w:t>
      </w:r>
      <w:r w:rsidRPr="00B75988">
        <w:rPr>
          <w:rFonts w:ascii="Times New Roman" w:eastAsia="Calibri" w:hAnsi="Times New Roman" w:cs="Times New Roman"/>
          <w:bCs/>
          <w:kern w:val="0"/>
          <w:sz w:val="24"/>
          <w:szCs w:val="24"/>
          <w14:ligatures w14:val="none"/>
        </w:rPr>
        <w:t>para crianças e adolescentes com transtornos do déficit de atenção e hiperatividade (</w:t>
      </w:r>
      <w:r>
        <w:rPr>
          <w:rFonts w:ascii="Times New Roman" w:eastAsia="Calibri" w:hAnsi="Times New Roman" w:cs="Times New Roman"/>
          <w:bCs/>
          <w:kern w:val="0"/>
          <w:sz w:val="24"/>
          <w:szCs w:val="24"/>
          <w14:ligatures w14:val="none"/>
        </w:rPr>
        <w:t>TDAH</w:t>
      </w:r>
      <w:r w:rsidRPr="00B75988">
        <w:rPr>
          <w:rFonts w:ascii="Times New Roman" w:eastAsia="Calibri" w:hAnsi="Times New Roman" w:cs="Times New Roman"/>
          <w:bCs/>
          <w:kern w:val="0"/>
          <w:sz w:val="24"/>
          <w:szCs w:val="24"/>
          <w14:ligatures w14:val="none"/>
        </w:rPr>
        <w:t>)?”</w:t>
      </w:r>
      <w:r w:rsidRPr="00B75988">
        <w:rPr>
          <w:rFonts w:ascii="Times New Roman" w:eastAsia="Calibri" w:hAnsi="Times New Roman" w:cs="Times New Roman"/>
          <w:kern w:val="0"/>
          <w:sz w:val="24"/>
          <w:szCs w:val="24"/>
          <w14:ligatures w14:val="none"/>
        </w:rPr>
        <w:t xml:space="preserve"> Para respondê-la, foi realizada uma pesquisa nas seguintes bases de dados: Literatura Latino-Americana e do Caribe em Ciências da Saúde (LILACS) e </w:t>
      </w:r>
      <w:proofErr w:type="spellStart"/>
      <w:r w:rsidRPr="00B75988">
        <w:rPr>
          <w:rFonts w:ascii="Times New Roman" w:eastAsia="Calibri" w:hAnsi="Times New Roman" w:cs="Times New Roman"/>
          <w:kern w:val="0"/>
          <w:sz w:val="24"/>
          <w:szCs w:val="24"/>
          <w14:ligatures w14:val="none"/>
        </w:rPr>
        <w:t>National</w:t>
      </w:r>
      <w:proofErr w:type="spellEnd"/>
      <w:r w:rsidRPr="00B75988">
        <w:rPr>
          <w:rFonts w:ascii="Times New Roman" w:eastAsia="Calibri" w:hAnsi="Times New Roman" w:cs="Times New Roman"/>
          <w:kern w:val="0"/>
          <w:sz w:val="24"/>
          <w:szCs w:val="24"/>
          <w14:ligatures w14:val="none"/>
        </w:rPr>
        <w:t xml:space="preserve"> Library </w:t>
      </w:r>
      <w:proofErr w:type="spellStart"/>
      <w:r w:rsidRPr="00B75988">
        <w:rPr>
          <w:rFonts w:ascii="Times New Roman" w:eastAsia="Calibri" w:hAnsi="Times New Roman" w:cs="Times New Roman"/>
          <w:kern w:val="0"/>
          <w:sz w:val="24"/>
          <w:szCs w:val="24"/>
          <w14:ligatures w14:val="none"/>
        </w:rPr>
        <w:t>of</w:t>
      </w:r>
      <w:proofErr w:type="spellEnd"/>
      <w:r w:rsidRPr="00B75988">
        <w:rPr>
          <w:rFonts w:ascii="Times New Roman" w:eastAsia="Calibri" w:hAnsi="Times New Roman" w:cs="Times New Roman"/>
          <w:kern w:val="0"/>
          <w:sz w:val="24"/>
          <w:szCs w:val="24"/>
          <w14:ligatures w14:val="none"/>
        </w:rPr>
        <w:t xml:space="preserve"> Medicine (</w:t>
      </w:r>
      <w:proofErr w:type="spellStart"/>
      <w:r w:rsidRPr="00B75988">
        <w:rPr>
          <w:rFonts w:ascii="Times New Roman" w:eastAsia="Calibri" w:hAnsi="Times New Roman" w:cs="Times New Roman"/>
          <w:kern w:val="0"/>
          <w:sz w:val="24"/>
          <w:szCs w:val="24"/>
          <w14:ligatures w14:val="none"/>
        </w:rPr>
        <w:t>PubMed</w:t>
      </w:r>
      <w:proofErr w:type="spellEnd"/>
      <w:r w:rsidRPr="00B75988">
        <w:rPr>
          <w:rFonts w:ascii="Times New Roman" w:eastAsia="Calibri" w:hAnsi="Times New Roman" w:cs="Times New Roman"/>
          <w:kern w:val="0"/>
          <w:sz w:val="24"/>
          <w:szCs w:val="24"/>
          <w14:ligatures w14:val="none"/>
        </w:rPr>
        <w:t xml:space="preserve">), no mês de </w:t>
      </w:r>
      <w:proofErr w:type="gramStart"/>
      <w:r w:rsidRPr="00B75988">
        <w:rPr>
          <w:rFonts w:ascii="Times New Roman" w:eastAsia="Calibri" w:hAnsi="Times New Roman" w:cs="Times New Roman"/>
          <w:kern w:val="0"/>
          <w:sz w:val="24"/>
          <w:szCs w:val="24"/>
          <w14:ligatures w14:val="none"/>
        </w:rPr>
        <w:t>Junho</w:t>
      </w:r>
      <w:proofErr w:type="gramEnd"/>
      <w:r w:rsidRPr="00B75988">
        <w:rPr>
          <w:rFonts w:ascii="Times New Roman" w:eastAsia="Calibri" w:hAnsi="Times New Roman" w:cs="Times New Roman"/>
          <w:kern w:val="0"/>
          <w:sz w:val="24"/>
          <w:szCs w:val="24"/>
          <w14:ligatures w14:val="none"/>
        </w:rPr>
        <w:t xml:space="preserve"> à Julho de 2024, utilizando sempre o operador booleano AND para o cruzamento dos seguintes Descritores em Ciências da Saúde (</w:t>
      </w:r>
      <w:proofErr w:type="spellStart"/>
      <w:r w:rsidRPr="00B75988">
        <w:rPr>
          <w:rFonts w:ascii="Times New Roman" w:eastAsia="Calibri" w:hAnsi="Times New Roman" w:cs="Times New Roman"/>
          <w:kern w:val="0"/>
          <w:sz w:val="24"/>
          <w:szCs w:val="24"/>
          <w14:ligatures w14:val="none"/>
        </w:rPr>
        <w:t>DeCS</w:t>
      </w:r>
      <w:proofErr w:type="spellEnd"/>
      <w:r w:rsidRPr="00B75988">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Cuidados de enfermagem</w:t>
      </w:r>
      <w:r w:rsidRPr="00B75988">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Crianças e adolescentes</w:t>
      </w:r>
      <w:r w:rsidRPr="00B75988">
        <w:rPr>
          <w:rFonts w:ascii="Times New Roman" w:eastAsia="Calibri" w:hAnsi="Times New Roman" w:cs="Times New Roman"/>
          <w:kern w:val="0"/>
          <w:sz w:val="24"/>
          <w:szCs w:val="24"/>
          <w14:ligatures w14:val="none"/>
        </w:rPr>
        <w:t>” e “</w:t>
      </w:r>
      <w:r>
        <w:rPr>
          <w:rFonts w:ascii="Times New Roman" w:eastAsia="Calibri" w:hAnsi="Times New Roman" w:cs="Times New Roman"/>
          <w:color w:val="000000"/>
          <w:kern w:val="0"/>
          <w:sz w:val="24"/>
          <w:szCs w:val="24"/>
          <w14:ligatures w14:val="none"/>
        </w:rPr>
        <w:t>t</w:t>
      </w:r>
      <w:r w:rsidRPr="00272E87">
        <w:rPr>
          <w:rFonts w:ascii="Times New Roman" w:eastAsia="Calibri" w:hAnsi="Times New Roman" w:cs="Times New Roman"/>
          <w:color w:val="000000"/>
          <w:kern w:val="0"/>
          <w:sz w:val="24"/>
          <w:szCs w:val="24"/>
          <w14:ligatures w14:val="none"/>
        </w:rPr>
        <w:t xml:space="preserve">ranstorno do </w:t>
      </w:r>
      <w:proofErr w:type="spellStart"/>
      <w:r>
        <w:rPr>
          <w:rFonts w:ascii="Times New Roman" w:eastAsia="Calibri" w:hAnsi="Times New Roman" w:cs="Times New Roman"/>
          <w:color w:val="000000"/>
          <w:kern w:val="0"/>
          <w:sz w:val="24"/>
          <w:szCs w:val="24"/>
          <w14:ligatures w14:val="none"/>
        </w:rPr>
        <w:t>d</w:t>
      </w:r>
      <w:r w:rsidRPr="00272E87">
        <w:rPr>
          <w:rFonts w:ascii="Times New Roman" w:eastAsia="Calibri" w:hAnsi="Times New Roman" w:cs="Times New Roman"/>
          <w:color w:val="000000"/>
          <w:kern w:val="0"/>
          <w:sz w:val="24"/>
          <w:szCs w:val="24"/>
          <w14:ligatures w14:val="none"/>
        </w:rPr>
        <w:t>eficit</w:t>
      </w:r>
      <w:proofErr w:type="spellEnd"/>
      <w:r w:rsidRPr="00272E87">
        <w:rPr>
          <w:rFonts w:ascii="Times New Roman" w:eastAsia="Calibri" w:hAnsi="Times New Roman" w:cs="Times New Roman"/>
          <w:color w:val="000000"/>
          <w:kern w:val="0"/>
          <w:sz w:val="24"/>
          <w:szCs w:val="24"/>
          <w14:ligatures w14:val="none"/>
        </w:rPr>
        <w:t xml:space="preserve"> de </w:t>
      </w:r>
      <w:r>
        <w:rPr>
          <w:rFonts w:ascii="Times New Roman" w:eastAsia="Calibri" w:hAnsi="Times New Roman" w:cs="Times New Roman"/>
          <w:color w:val="000000"/>
          <w:kern w:val="0"/>
          <w:sz w:val="24"/>
          <w:szCs w:val="24"/>
          <w14:ligatures w14:val="none"/>
        </w:rPr>
        <w:t>a</w:t>
      </w:r>
      <w:r w:rsidRPr="00272E87">
        <w:rPr>
          <w:rFonts w:ascii="Times New Roman" w:eastAsia="Calibri" w:hAnsi="Times New Roman" w:cs="Times New Roman"/>
          <w:color w:val="000000"/>
          <w:kern w:val="0"/>
          <w:sz w:val="24"/>
          <w:szCs w:val="24"/>
          <w14:ligatures w14:val="none"/>
        </w:rPr>
        <w:t xml:space="preserve">tenção com </w:t>
      </w:r>
      <w:r>
        <w:rPr>
          <w:rFonts w:ascii="Times New Roman" w:eastAsia="Calibri" w:hAnsi="Times New Roman" w:cs="Times New Roman"/>
          <w:color w:val="000000"/>
          <w:kern w:val="0"/>
          <w:sz w:val="24"/>
          <w:szCs w:val="24"/>
          <w14:ligatures w14:val="none"/>
        </w:rPr>
        <w:t>h</w:t>
      </w:r>
      <w:r w:rsidRPr="00272E87">
        <w:rPr>
          <w:rFonts w:ascii="Times New Roman" w:eastAsia="Calibri" w:hAnsi="Times New Roman" w:cs="Times New Roman"/>
          <w:color w:val="000000"/>
          <w:kern w:val="0"/>
          <w:sz w:val="24"/>
          <w:szCs w:val="24"/>
          <w14:ligatures w14:val="none"/>
        </w:rPr>
        <w:t>iperatividade</w:t>
      </w:r>
      <w:r w:rsidRPr="00B7598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
    <w:p w14:paraId="3558738D" w14:textId="2621F14F" w:rsidR="000F75B8" w:rsidRPr="00B75988" w:rsidRDefault="002725AF" w:rsidP="00B75988">
      <w:pPr>
        <w:pBdr>
          <w:top w:val="nil"/>
          <w:left w:val="nil"/>
          <w:bottom w:val="nil"/>
          <w:right w:val="nil"/>
          <w:between w:val="nil"/>
        </w:pBdr>
        <w:spacing w:after="0" w:line="360" w:lineRule="auto"/>
        <w:ind w:firstLine="709"/>
        <w:jc w:val="both"/>
        <w:rPr>
          <w:rFonts w:ascii="Times New Roman" w:eastAsia="Calibri" w:hAnsi="Times New Roman" w:cs="Times New Roman"/>
          <w:color w:val="000000"/>
          <w:kern w:val="0"/>
          <w:sz w:val="24"/>
          <w:szCs w:val="24"/>
          <w14:ligatures w14:val="none"/>
        </w:rPr>
      </w:pPr>
      <w:r w:rsidRPr="002725AF">
        <w:rPr>
          <w:rFonts w:ascii="Times New Roman" w:eastAsia="Calibri" w:hAnsi="Times New Roman" w:cs="Times New Roman"/>
          <w:kern w:val="0"/>
          <w:sz w:val="24"/>
          <w:szCs w:val="24"/>
          <w14:ligatures w14:val="none"/>
        </w:rPr>
        <w:t>Os critérios de inclusão foram artigos completos e acessíveis, em português ou inglês</w:t>
      </w:r>
      <w:r w:rsidR="00E91218">
        <w:rPr>
          <w:rFonts w:ascii="Times New Roman" w:eastAsia="Calibri" w:hAnsi="Times New Roman" w:cs="Times New Roman"/>
          <w:kern w:val="0"/>
          <w:sz w:val="24"/>
          <w:szCs w:val="24"/>
          <w14:ligatures w14:val="none"/>
        </w:rPr>
        <w:t xml:space="preserve">. </w:t>
      </w:r>
      <w:r w:rsidRPr="002725AF">
        <w:rPr>
          <w:rFonts w:ascii="Times New Roman" w:eastAsia="Calibri" w:hAnsi="Times New Roman" w:cs="Times New Roman"/>
          <w:kern w:val="0"/>
          <w:sz w:val="24"/>
          <w:szCs w:val="24"/>
          <w14:ligatures w14:val="none"/>
        </w:rPr>
        <w:t xml:space="preserve"> Os critérios de exclusão artigos que não abordassem o tema central ou que não respondessem à pergunta, além de artigos duplicados em mais de uma base de dados.</w:t>
      </w:r>
    </w:p>
    <w:p w14:paraId="1C879E5F" w14:textId="125D02E6" w:rsidR="003D65D9" w:rsidRPr="003D65D9" w:rsidRDefault="004E10F8" w:rsidP="003D65D9">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lastRenderedPageBreak/>
        <w:t>RESULTADOS E DISCUSSÃO</w:t>
      </w:r>
    </w:p>
    <w:p w14:paraId="0A57DE7B" w14:textId="77777777" w:rsidR="003D65D9" w:rsidRPr="003D65D9" w:rsidRDefault="003D65D9" w:rsidP="003D65D9">
      <w:pPr>
        <w:spacing w:line="360" w:lineRule="auto"/>
        <w:ind w:firstLine="709"/>
        <w:jc w:val="both"/>
        <w:rPr>
          <w:rFonts w:ascii="Times New Roman" w:eastAsia="Calibri" w:hAnsi="Times New Roman" w:cs="Times New Roman"/>
          <w:bCs/>
          <w:kern w:val="0"/>
          <w:sz w:val="24"/>
          <w:szCs w:val="24"/>
          <w14:ligatures w14:val="none"/>
        </w:rPr>
      </w:pPr>
      <w:r w:rsidRPr="003D65D9">
        <w:rPr>
          <w:rFonts w:ascii="Times New Roman" w:eastAsia="Calibri" w:hAnsi="Times New Roman" w:cs="Times New Roman"/>
          <w:bCs/>
          <w:kern w:val="0"/>
          <w:sz w:val="24"/>
          <w:szCs w:val="24"/>
          <w14:ligatures w14:val="none"/>
        </w:rPr>
        <w:t>O diagnóstico de TDAH exige uma anamnese cuidadosa, uso de escalas padronizadas, atenção ao comportamento do paciente e relatos de informantes. Enfermeiros e profissionais de enfermagem devem apoiar os portadores dessa condição e suas famílias na busca por metas em casa e na escola (</w:t>
      </w:r>
      <w:proofErr w:type="spellStart"/>
      <w:r w:rsidRPr="003D65D9">
        <w:rPr>
          <w:rFonts w:ascii="Times New Roman" w:eastAsia="Calibri" w:hAnsi="Times New Roman" w:cs="Times New Roman"/>
          <w:bCs/>
          <w:kern w:val="0"/>
          <w:sz w:val="24"/>
          <w:szCs w:val="24"/>
          <w14:ligatures w14:val="none"/>
        </w:rPr>
        <w:t>Vierhile</w:t>
      </w:r>
      <w:proofErr w:type="spellEnd"/>
      <w:r w:rsidRPr="003D65D9">
        <w:rPr>
          <w:rFonts w:ascii="Times New Roman" w:eastAsia="Calibri" w:hAnsi="Times New Roman" w:cs="Times New Roman"/>
          <w:bCs/>
          <w:kern w:val="0"/>
          <w:sz w:val="24"/>
          <w:szCs w:val="24"/>
          <w14:ligatures w14:val="none"/>
        </w:rPr>
        <w:t xml:space="preserve">, 2009). A avaliação de crianças ou adolescentes com suspeita de TDAH envolve várias etapas, sendo a história clínica um aspecto fundamental. Assim, é importante realizar entrevistas detalhadas com a criança e seus pais sobre os sintomas de TDAH. Questões sobre o desempenho escolar devem ser investigadas através de informações dos professores (Espinosa, 2012). </w:t>
      </w:r>
    </w:p>
    <w:p w14:paraId="5178319E" w14:textId="17309F02" w:rsidR="00C6206A" w:rsidRDefault="00C6206A" w:rsidP="002725AF">
      <w:pPr>
        <w:spacing w:line="360" w:lineRule="auto"/>
        <w:ind w:firstLine="709"/>
        <w:jc w:val="both"/>
        <w:rPr>
          <w:rFonts w:ascii="Times New Roman" w:eastAsia="Calibri" w:hAnsi="Times New Roman" w:cs="Times New Roman"/>
          <w:bCs/>
          <w:kern w:val="0"/>
          <w:sz w:val="24"/>
          <w:szCs w:val="24"/>
          <w14:ligatures w14:val="none"/>
        </w:rPr>
      </w:pPr>
      <w:r w:rsidRPr="00C6206A">
        <w:rPr>
          <w:rFonts w:ascii="Times New Roman" w:eastAsia="Calibri" w:hAnsi="Times New Roman" w:cs="Times New Roman"/>
          <w:bCs/>
          <w:kern w:val="0"/>
          <w:sz w:val="24"/>
          <w:szCs w:val="24"/>
          <w14:ligatures w14:val="none"/>
        </w:rPr>
        <w:t xml:space="preserve">O enfermeiro e a equipe multidisciplinar devem auxiliar a criança a adotar um método lógico para resolver problemas de relacionamento, comportamentos inadequados e atividades específicas. Isso </w:t>
      </w:r>
      <w:r w:rsidR="00E91218">
        <w:rPr>
          <w:rFonts w:ascii="Times New Roman" w:eastAsia="Calibri" w:hAnsi="Times New Roman" w:cs="Times New Roman"/>
          <w:bCs/>
          <w:kern w:val="0"/>
          <w:sz w:val="24"/>
          <w:szCs w:val="24"/>
          <w14:ligatures w14:val="none"/>
        </w:rPr>
        <w:t>os</w:t>
      </w:r>
      <w:r w:rsidRPr="00C6206A">
        <w:rPr>
          <w:rFonts w:ascii="Times New Roman" w:eastAsia="Calibri" w:hAnsi="Times New Roman" w:cs="Times New Roman"/>
          <w:bCs/>
          <w:kern w:val="0"/>
          <w:sz w:val="24"/>
          <w:szCs w:val="24"/>
          <w14:ligatures w14:val="none"/>
        </w:rPr>
        <w:t xml:space="preserve"> ajudará a reforçar atitudes positivas e a formar novas amizades, contribuindo para seu desenvolvimento. A habilidade de criar e manter amizades é crucial para uma boa saúde mental e um fator importante para prever a felicidade da criança na vida adulta</w:t>
      </w:r>
      <w:r>
        <w:rPr>
          <w:rFonts w:ascii="Times New Roman" w:eastAsia="Calibri" w:hAnsi="Times New Roman" w:cs="Times New Roman"/>
          <w:bCs/>
          <w:kern w:val="0"/>
          <w:sz w:val="24"/>
          <w:szCs w:val="24"/>
          <w14:ligatures w14:val="none"/>
        </w:rPr>
        <w:t xml:space="preserve"> (</w:t>
      </w:r>
      <w:proofErr w:type="spellStart"/>
      <w:r>
        <w:rPr>
          <w:rFonts w:ascii="Times New Roman" w:eastAsia="Calibri" w:hAnsi="Times New Roman" w:cs="Times New Roman"/>
          <w:bCs/>
          <w:kern w:val="0"/>
          <w:sz w:val="24"/>
          <w:szCs w:val="24"/>
          <w14:ligatures w14:val="none"/>
        </w:rPr>
        <w:t>Hinkler</w:t>
      </w:r>
      <w:proofErr w:type="spellEnd"/>
      <w:r>
        <w:rPr>
          <w:rFonts w:ascii="Times New Roman" w:eastAsia="Calibri" w:hAnsi="Times New Roman" w:cs="Times New Roman"/>
          <w:bCs/>
          <w:kern w:val="0"/>
          <w:sz w:val="24"/>
          <w:szCs w:val="24"/>
          <w14:ligatures w14:val="none"/>
        </w:rPr>
        <w:t xml:space="preserve">, 2020). </w:t>
      </w:r>
    </w:p>
    <w:p w14:paraId="36639BEF" w14:textId="7C7F8B79" w:rsidR="00C6206A" w:rsidRDefault="00C6206A" w:rsidP="00C6206A">
      <w:pPr>
        <w:spacing w:line="360" w:lineRule="auto"/>
        <w:ind w:firstLine="709"/>
        <w:jc w:val="both"/>
        <w:rPr>
          <w:rFonts w:ascii="Times New Roman" w:eastAsia="Calibri" w:hAnsi="Times New Roman" w:cs="Times New Roman"/>
          <w:bCs/>
          <w:kern w:val="0"/>
          <w:sz w:val="24"/>
          <w:szCs w:val="24"/>
          <w14:ligatures w14:val="none"/>
        </w:rPr>
      </w:pPr>
      <w:r w:rsidRPr="00C6206A">
        <w:rPr>
          <w:rFonts w:ascii="Times New Roman" w:eastAsia="Calibri" w:hAnsi="Times New Roman" w:cs="Times New Roman"/>
          <w:bCs/>
          <w:kern w:val="0"/>
          <w:sz w:val="24"/>
          <w:szCs w:val="24"/>
          <w14:ligatures w14:val="none"/>
        </w:rPr>
        <w:t xml:space="preserve">De acordo com o Ministério da Saúde, a política de saúde no Brasil recomenda que as práticas de saúde mental na atenção básica e na saúde da família substituam o modelo tradicional, evitando abordagens que </w:t>
      </w:r>
      <w:proofErr w:type="spellStart"/>
      <w:r w:rsidRPr="00C6206A">
        <w:rPr>
          <w:rFonts w:ascii="Times New Roman" w:eastAsia="Calibri" w:hAnsi="Times New Roman" w:cs="Times New Roman"/>
          <w:bCs/>
          <w:kern w:val="0"/>
          <w:sz w:val="24"/>
          <w:szCs w:val="24"/>
          <w14:ligatures w14:val="none"/>
        </w:rPr>
        <w:t>psiquiatriquem</w:t>
      </w:r>
      <w:proofErr w:type="spellEnd"/>
      <w:r w:rsidRPr="00C6206A">
        <w:rPr>
          <w:rFonts w:ascii="Times New Roman" w:eastAsia="Calibri" w:hAnsi="Times New Roman" w:cs="Times New Roman"/>
          <w:bCs/>
          <w:kern w:val="0"/>
          <w:sz w:val="24"/>
          <w:szCs w:val="24"/>
          <w14:ligatures w14:val="none"/>
        </w:rPr>
        <w:t xml:space="preserve"> ou psicologizem o indivíduo e suas necessidades. Assim, é essencial articular a rede de cuidados para garantir a integralidade do sujeito, focando em suas necessidades sociais e singulares, e não apenas nas demandas imediatas. A atenção básica é considerada a porta de entrada principal do sistema de saúde, incluindo as necessidades de saúde mental. O objetivo é valorizar a singularidade de cada usuário, promovendo seu engajamento no tratamento e reconhecendo seu papel ativo, superando a ideia de que a doença define sua identidade e que a medicação é a única solução; é fundamental investir em suas potencialidades, fomentar laços sociais e aproveitar o território como uma alternativa para a reabilitação social (Brasil, 2006).</w:t>
      </w:r>
      <w:r>
        <w:rPr>
          <w:rFonts w:ascii="Times New Roman" w:eastAsia="Calibri" w:hAnsi="Times New Roman" w:cs="Times New Roman"/>
          <w:bCs/>
          <w:kern w:val="0"/>
          <w:sz w:val="24"/>
          <w:szCs w:val="24"/>
          <w14:ligatures w14:val="none"/>
        </w:rPr>
        <w:t xml:space="preserve"> </w:t>
      </w:r>
    </w:p>
    <w:p w14:paraId="51DB727D" w14:textId="6DC09D9F" w:rsidR="00C6206A" w:rsidRDefault="00C6206A" w:rsidP="00C6206A">
      <w:pPr>
        <w:spacing w:line="360" w:lineRule="auto"/>
        <w:ind w:firstLine="709"/>
        <w:jc w:val="both"/>
        <w:rPr>
          <w:rFonts w:ascii="Times New Roman" w:eastAsia="Calibri" w:hAnsi="Times New Roman" w:cs="Times New Roman"/>
          <w:bCs/>
          <w:kern w:val="0"/>
          <w:sz w:val="24"/>
          <w:szCs w:val="24"/>
          <w14:ligatures w14:val="none"/>
        </w:rPr>
      </w:pPr>
      <w:r w:rsidRPr="00C6206A">
        <w:rPr>
          <w:rFonts w:ascii="Times New Roman" w:eastAsia="Calibri" w:hAnsi="Times New Roman" w:cs="Times New Roman"/>
          <w:bCs/>
          <w:kern w:val="0"/>
          <w:sz w:val="24"/>
          <w:szCs w:val="24"/>
          <w14:ligatures w14:val="none"/>
        </w:rPr>
        <w:t>Para melhorar os resultados, os profissionais de enfermagem devem aplicar evidências já validadas e terapias alinhadas aos padrões de tratamento atuais, oferecendo educação continuada, apoio e proteção a pacientes e suas famílias.</w:t>
      </w:r>
      <w:r>
        <w:rPr>
          <w:rFonts w:ascii="Times New Roman" w:eastAsia="Calibri" w:hAnsi="Times New Roman" w:cs="Times New Roman"/>
          <w:bCs/>
          <w:kern w:val="0"/>
          <w:sz w:val="24"/>
          <w:szCs w:val="24"/>
          <w14:ligatures w14:val="none"/>
        </w:rPr>
        <w:t xml:space="preserve"> </w:t>
      </w:r>
      <w:r w:rsidRPr="00C6206A">
        <w:rPr>
          <w:rFonts w:ascii="Times New Roman" w:eastAsia="Calibri" w:hAnsi="Times New Roman" w:cs="Times New Roman"/>
          <w:bCs/>
          <w:kern w:val="0"/>
          <w:sz w:val="24"/>
          <w:szCs w:val="24"/>
          <w14:ligatures w14:val="none"/>
        </w:rPr>
        <w:t xml:space="preserve">O Enfermeiro como membro da equipe multidisciplinar, frente a essa criança pode solucionar problemas para atender suas necessidades de assistência à saúde o que envolve avaliação, coleta de dados, diagnóstico, planejamento, implementação e investigação, com as modificações </w:t>
      </w:r>
      <w:r w:rsidRPr="00C6206A">
        <w:rPr>
          <w:rFonts w:ascii="Times New Roman" w:eastAsia="Calibri" w:hAnsi="Times New Roman" w:cs="Times New Roman"/>
          <w:bCs/>
          <w:kern w:val="0"/>
          <w:sz w:val="24"/>
          <w:szCs w:val="24"/>
          <w14:ligatures w14:val="none"/>
        </w:rPr>
        <w:lastRenderedPageBreak/>
        <w:t>subsequentes sendo utilizadas como mecanismos de feedback que promovam a resolução dos diagnósticos de enfermagem diante do problema TDAH</w:t>
      </w:r>
      <w:r>
        <w:rPr>
          <w:rFonts w:ascii="Times New Roman" w:eastAsia="Calibri" w:hAnsi="Times New Roman" w:cs="Times New Roman"/>
          <w:bCs/>
          <w:kern w:val="0"/>
          <w:sz w:val="24"/>
          <w:szCs w:val="24"/>
          <w14:ligatures w14:val="none"/>
        </w:rPr>
        <w:t xml:space="preserve"> (Toledo, 2004). </w:t>
      </w:r>
    </w:p>
    <w:p w14:paraId="5F384789" w14:textId="2D6D43AE" w:rsidR="00C6206A" w:rsidRDefault="00C6206A" w:rsidP="00C6206A">
      <w:pPr>
        <w:spacing w:line="360" w:lineRule="auto"/>
        <w:ind w:firstLine="709"/>
        <w:jc w:val="both"/>
        <w:rPr>
          <w:rFonts w:ascii="Times New Roman" w:eastAsia="Calibri" w:hAnsi="Times New Roman" w:cs="Times New Roman"/>
          <w:bCs/>
          <w:kern w:val="0"/>
          <w:sz w:val="24"/>
          <w:szCs w:val="24"/>
          <w14:ligatures w14:val="none"/>
        </w:rPr>
      </w:pPr>
      <w:r w:rsidRPr="00C6206A">
        <w:rPr>
          <w:rFonts w:ascii="Times New Roman" w:eastAsia="Calibri" w:hAnsi="Times New Roman" w:cs="Times New Roman"/>
          <w:bCs/>
          <w:kern w:val="0"/>
          <w:sz w:val="24"/>
          <w:szCs w:val="24"/>
          <w14:ligatures w14:val="none"/>
        </w:rPr>
        <w:t>Segundo</w:t>
      </w:r>
      <w:r>
        <w:rPr>
          <w:rFonts w:ascii="Times New Roman" w:eastAsia="Calibri" w:hAnsi="Times New Roman" w:cs="Times New Roman"/>
          <w:bCs/>
          <w:kern w:val="0"/>
          <w:sz w:val="24"/>
          <w:szCs w:val="24"/>
          <w14:ligatures w14:val="none"/>
        </w:rPr>
        <w:t xml:space="preserve"> (</w:t>
      </w:r>
      <w:r w:rsidRPr="00C6206A">
        <w:rPr>
          <w:rFonts w:ascii="Times New Roman" w:eastAsia="Calibri" w:hAnsi="Times New Roman" w:cs="Times New Roman"/>
          <w:bCs/>
          <w:kern w:val="0"/>
          <w:sz w:val="24"/>
          <w:szCs w:val="24"/>
          <w14:ligatures w14:val="none"/>
        </w:rPr>
        <w:t>Toledo</w:t>
      </w:r>
      <w:r>
        <w:rPr>
          <w:rFonts w:ascii="Times New Roman" w:eastAsia="Calibri" w:hAnsi="Times New Roman" w:cs="Times New Roman"/>
          <w:bCs/>
          <w:kern w:val="0"/>
          <w:sz w:val="24"/>
          <w:szCs w:val="24"/>
          <w14:ligatures w14:val="none"/>
        </w:rPr>
        <w:t>,2</w:t>
      </w:r>
      <w:r w:rsidRPr="00C6206A">
        <w:rPr>
          <w:rFonts w:ascii="Times New Roman" w:eastAsia="Calibri" w:hAnsi="Times New Roman" w:cs="Times New Roman"/>
          <w:bCs/>
          <w:kern w:val="0"/>
          <w:sz w:val="24"/>
          <w:szCs w:val="24"/>
          <w14:ligatures w14:val="none"/>
        </w:rPr>
        <w:t xml:space="preserve">004) o marco terapêutico do enfermeiro é a atividade que realiza para que o paciente se desenvolva como pessoa, no sentido respeitar a si e aos outros, através do relacionamento interpessoal, sentindo-se parte de uma comunidade. Dessa forma define a assistência de enfermagem de qualidade como um processo interpessoal através do qual o enfermeiro direciona uma pessoa, uma família ou uma comunidade à compreensão das experiências relacionadas ao sofrimento mental, </w:t>
      </w:r>
      <w:proofErr w:type="gramStart"/>
      <w:r w:rsidRPr="00C6206A">
        <w:rPr>
          <w:rFonts w:ascii="Times New Roman" w:eastAsia="Calibri" w:hAnsi="Times New Roman" w:cs="Times New Roman"/>
          <w:bCs/>
          <w:kern w:val="0"/>
          <w:sz w:val="24"/>
          <w:szCs w:val="24"/>
          <w14:ligatures w14:val="none"/>
        </w:rPr>
        <w:t>ás</w:t>
      </w:r>
      <w:proofErr w:type="gramEnd"/>
      <w:r w:rsidRPr="00C6206A">
        <w:rPr>
          <w:rFonts w:ascii="Times New Roman" w:eastAsia="Calibri" w:hAnsi="Times New Roman" w:cs="Times New Roman"/>
          <w:bCs/>
          <w:kern w:val="0"/>
          <w:sz w:val="24"/>
          <w:szCs w:val="24"/>
          <w14:ligatures w14:val="none"/>
        </w:rPr>
        <w:t xml:space="preserve"> ações de prevenção e cura. É um papel muito importante para pessoas com TDAH, sentirem-se parte de uma comunidade</w:t>
      </w:r>
      <w:r>
        <w:rPr>
          <w:rFonts w:ascii="Times New Roman" w:eastAsia="Calibri" w:hAnsi="Times New Roman" w:cs="Times New Roman"/>
          <w:bCs/>
          <w:kern w:val="0"/>
          <w:sz w:val="24"/>
          <w:szCs w:val="24"/>
          <w14:ligatures w14:val="none"/>
        </w:rPr>
        <w:t xml:space="preserve"> </w:t>
      </w:r>
    </w:p>
    <w:p w14:paraId="694D3447" w14:textId="77777777" w:rsidR="00C6206A" w:rsidRPr="00A53E77" w:rsidRDefault="00C6206A" w:rsidP="00C6206A">
      <w:pPr>
        <w:spacing w:line="360" w:lineRule="auto"/>
        <w:ind w:firstLine="709"/>
        <w:jc w:val="both"/>
        <w:rPr>
          <w:rFonts w:ascii="Times New Roman" w:eastAsia="Calibri" w:hAnsi="Times New Roman" w:cs="Times New Roman"/>
          <w:bCs/>
          <w:kern w:val="0"/>
          <w:sz w:val="24"/>
          <w:szCs w:val="24"/>
          <w14:ligatures w14:val="none"/>
        </w:rPr>
      </w:pPr>
    </w:p>
    <w:p w14:paraId="1371D013" w14:textId="77777777" w:rsidR="00C6206A" w:rsidRDefault="00855E8B" w:rsidP="00C6206A">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lastRenderedPageBreak/>
        <w:t>CONCLUSÃO</w:t>
      </w:r>
    </w:p>
    <w:p w14:paraId="5151BF2E" w14:textId="363C76E0" w:rsidR="00C6206A" w:rsidRPr="00C6206A" w:rsidRDefault="00C6206A" w:rsidP="007F601A">
      <w:pPr>
        <w:keepNext/>
        <w:keepLines/>
        <w:spacing w:before="240" w:after="0" w:line="360" w:lineRule="auto"/>
        <w:ind w:firstLine="709"/>
        <w:jc w:val="both"/>
        <w:outlineLvl w:val="0"/>
        <w:rPr>
          <w:rFonts w:ascii="Times New Roman" w:eastAsia="Times New Roman" w:hAnsi="Times New Roman" w:cs="Times New Roman"/>
          <w:bCs/>
          <w:kern w:val="0"/>
          <w:sz w:val="24"/>
          <w:szCs w:val="32"/>
          <w14:ligatures w14:val="none"/>
        </w:rPr>
      </w:pPr>
      <w:r w:rsidRPr="00C6206A">
        <w:rPr>
          <w:rFonts w:ascii="Times New Roman" w:eastAsia="Times New Roman" w:hAnsi="Times New Roman" w:cs="Times New Roman"/>
          <w:bCs/>
          <w:kern w:val="0"/>
          <w:sz w:val="24"/>
          <w:szCs w:val="32"/>
          <w14:ligatures w14:val="none"/>
        </w:rPr>
        <w:t>Os cuidados de enfermagem para crianças e adolescentes com Transtorno do Déficit de Atenção e Hiperatividade (TDAH) são fundamentais para promover o desenvolvimento integral desses jovens. A abordagem deve ser multidisciplinar, integrando não apenas a equipe de saúde, mas também a família e a escola, para garantir um suporte abrangente que atenda às necessidades específicas de cada indivíduo. Os enfermeiros desempenham um papel crucial na identificação precoce dos sintomas, na educação sobre o transtorno e na orientação de estratégias de manejo comportamental. É essencial que os profissionais utilizem métodos baseados em evidências e adotem práticas que favoreçam a autonomia da criança, estimulando seu protagonismo no tratamento e na construção de relacionamentos saudáveis.</w:t>
      </w:r>
      <w:r>
        <w:rPr>
          <w:rFonts w:ascii="Times New Roman" w:eastAsia="Times New Roman" w:hAnsi="Times New Roman" w:cs="Times New Roman"/>
          <w:bCs/>
          <w:kern w:val="0"/>
          <w:sz w:val="24"/>
          <w:szCs w:val="32"/>
          <w14:ligatures w14:val="none"/>
        </w:rPr>
        <w:t xml:space="preserve"> </w:t>
      </w:r>
      <w:r w:rsidRPr="00C6206A">
        <w:rPr>
          <w:rFonts w:ascii="Times New Roman" w:eastAsia="Times New Roman" w:hAnsi="Times New Roman" w:cs="Times New Roman"/>
          <w:bCs/>
          <w:kern w:val="0"/>
          <w:sz w:val="24"/>
          <w:szCs w:val="32"/>
          <w14:ligatures w14:val="none"/>
        </w:rPr>
        <w:t>Portanto, é imperativo que os cuidados de enfermagem se alinhem a uma visão holística e integradora, visando não apenas o tratamento dos sintomas, mas também o desenvolvimento emocional e social das crianças e adolescentes, garantindo que eles possam se inserir de forma positiva na sociedade.</w:t>
      </w:r>
    </w:p>
    <w:p w14:paraId="727B58E4" w14:textId="77777777" w:rsidR="00CD5666" w:rsidRDefault="00855E8B" w:rsidP="00CD5666">
      <w:pPr>
        <w:keepNext/>
        <w:keepLines/>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t>REFERÊNCIAS</w:t>
      </w:r>
    </w:p>
    <w:p w14:paraId="78689B09" w14:textId="695C20BF"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sidRPr="008A04F3">
        <w:rPr>
          <w:rFonts w:ascii="Times New Roman" w:eastAsia="Times New Roman" w:hAnsi="Times New Roman" w:cs="Times New Roman"/>
          <w:bCs/>
          <w:kern w:val="0"/>
          <w:sz w:val="24"/>
          <w:szCs w:val="32"/>
          <w14:ligatures w14:val="none"/>
        </w:rPr>
        <w:t xml:space="preserve">Benício, C.M. e Menezes, M.C. (2017). Transtorno de déficit de atenção e hiperatividade – TDAH: Desafios e possibilidades no espaço escolar. Id </w:t>
      </w:r>
      <w:proofErr w:type="spellStart"/>
      <w:r w:rsidRPr="008A04F3">
        <w:rPr>
          <w:rFonts w:ascii="Times New Roman" w:eastAsia="Times New Roman" w:hAnsi="Times New Roman" w:cs="Times New Roman"/>
          <w:bCs/>
          <w:kern w:val="0"/>
          <w:sz w:val="24"/>
          <w:szCs w:val="32"/>
          <w14:ligatures w14:val="none"/>
        </w:rPr>
        <w:t>on</w:t>
      </w:r>
      <w:proofErr w:type="spellEnd"/>
      <w:r w:rsidRPr="008A04F3">
        <w:rPr>
          <w:rFonts w:ascii="Times New Roman" w:eastAsia="Times New Roman" w:hAnsi="Times New Roman" w:cs="Times New Roman"/>
          <w:bCs/>
          <w:kern w:val="0"/>
          <w:sz w:val="24"/>
          <w:szCs w:val="32"/>
          <w14:ligatures w14:val="none"/>
        </w:rPr>
        <w:t xml:space="preserve"> </w:t>
      </w:r>
      <w:proofErr w:type="spellStart"/>
      <w:r w:rsidRPr="008A04F3">
        <w:rPr>
          <w:rFonts w:ascii="Times New Roman" w:eastAsia="Times New Roman" w:hAnsi="Times New Roman" w:cs="Times New Roman"/>
          <w:bCs/>
          <w:kern w:val="0"/>
          <w:sz w:val="24"/>
          <w:szCs w:val="32"/>
          <w14:ligatures w14:val="none"/>
        </w:rPr>
        <w:t>Line</w:t>
      </w:r>
      <w:proofErr w:type="spellEnd"/>
      <w:r w:rsidRPr="008A04F3">
        <w:rPr>
          <w:rFonts w:ascii="Times New Roman" w:eastAsia="Times New Roman" w:hAnsi="Times New Roman" w:cs="Times New Roman"/>
          <w:bCs/>
          <w:kern w:val="0"/>
          <w:sz w:val="24"/>
          <w:szCs w:val="32"/>
          <w14:ligatures w14:val="none"/>
        </w:rPr>
        <w:t xml:space="preserve"> Rev. </w:t>
      </w:r>
      <w:proofErr w:type="spellStart"/>
      <w:r w:rsidRPr="008A04F3">
        <w:rPr>
          <w:rFonts w:ascii="Times New Roman" w:eastAsia="Times New Roman" w:hAnsi="Times New Roman" w:cs="Times New Roman"/>
          <w:bCs/>
          <w:kern w:val="0"/>
          <w:sz w:val="24"/>
          <w:szCs w:val="32"/>
          <w14:ligatures w14:val="none"/>
        </w:rPr>
        <w:t>Mult</w:t>
      </w:r>
      <w:proofErr w:type="spellEnd"/>
      <w:r w:rsidRPr="008A04F3">
        <w:rPr>
          <w:rFonts w:ascii="Times New Roman" w:eastAsia="Times New Roman" w:hAnsi="Times New Roman" w:cs="Times New Roman"/>
          <w:bCs/>
          <w:kern w:val="0"/>
          <w:sz w:val="24"/>
          <w:szCs w:val="32"/>
          <w14:ligatures w14:val="none"/>
        </w:rPr>
        <w:t>. Psic. V.11, N. 38. 2017 - ISSN 1981-1179</w:t>
      </w:r>
      <w:r>
        <w:rPr>
          <w:rFonts w:ascii="Times New Roman" w:eastAsia="Times New Roman" w:hAnsi="Times New Roman" w:cs="Times New Roman"/>
          <w:bCs/>
          <w:kern w:val="0"/>
          <w:sz w:val="24"/>
          <w:szCs w:val="32"/>
          <w14:ligatures w14:val="none"/>
        </w:rPr>
        <w:t xml:space="preserve">. </w:t>
      </w:r>
      <w:hyperlink r:id="rId8" w:history="1">
        <w:r w:rsidRPr="008E69E3">
          <w:rPr>
            <w:rStyle w:val="Hyperlink"/>
            <w:rFonts w:ascii="Times New Roman" w:eastAsia="Times New Roman" w:hAnsi="Times New Roman" w:cs="Times New Roman"/>
            <w:bCs/>
            <w:kern w:val="0"/>
            <w:sz w:val="24"/>
            <w:szCs w:val="32"/>
            <w14:ligatures w14:val="none"/>
          </w:rPr>
          <w:t>https://doi.org/10.14295/idonline.v11i38.969</w:t>
        </w:r>
      </w:hyperlink>
    </w:p>
    <w:p w14:paraId="41C8FAC1" w14:textId="77777777" w:rsidR="008E69E3" w:rsidRDefault="008E69E3" w:rsidP="008E69E3">
      <w:pPr>
        <w:keepNext/>
        <w:keepLines/>
        <w:spacing w:before="240" w:after="0"/>
        <w:outlineLvl w:val="0"/>
        <w:rPr>
          <w:rFonts w:ascii="Times New Roman" w:eastAsia="Times New Roman" w:hAnsi="Times New Roman" w:cs="Times New Roman"/>
          <w:bCs/>
          <w:kern w:val="0"/>
          <w:sz w:val="24"/>
          <w:szCs w:val="32"/>
          <w14:ligatures w14:val="none"/>
        </w:rPr>
      </w:pPr>
      <w:r w:rsidRPr="00D84E1E">
        <w:rPr>
          <w:rFonts w:ascii="Times New Roman" w:eastAsia="Times New Roman" w:hAnsi="Times New Roman" w:cs="Times New Roman"/>
          <w:bCs/>
          <w:kern w:val="0"/>
          <w:sz w:val="24"/>
          <w:szCs w:val="32"/>
          <w14:ligatures w14:val="none"/>
        </w:rPr>
        <w:t xml:space="preserve">Brum, S.L.F.; Bozza, M. TDAH – Transtorno de déficit de atenção com hiperatividade e a relação com o uso abusivo de drogas. 2011. Disponível em: </w:t>
      </w:r>
      <w:hyperlink r:id="rId9" w:history="1">
        <w:r w:rsidRPr="00716812">
          <w:rPr>
            <w:rStyle w:val="Hyperlink"/>
            <w:rFonts w:ascii="Times New Roman" w:eastAsia="Times New Roman" w:hAnsi="Times New Roman" w:cs="Times New Roman"/>
            <w:bCs/>
            <w:kern w:val="0"/>
            <w:sz w:val="24"/>
            <w:szCs w:val="32"/>
            <w14:ligatures w14:val="none"/>
          </w:rPr>
          <w:t>http://www.institutoeficaz.com.br/revistacientifica/wp-content/.../2011.pdf</w:t>
        </w:r>
      </w:hyperlink>
      <w:r w:rsidRPr="00D84E1E">
        <w:rPr>
          <w:rFonts w:ascii="Times New Roman" w:eastAsia="Times New Roman" w:hAnsi="Times New Roman" w:cs="Times New Roman"/>
          <w:bCs/>
          <w:kern w:val="0"/>
          <w:sz w:val="24"/>
          <w:szCs w:val="32"/>
          <w14:ligatures w14:val="none"/>
        </w:rPr>
        <w:t>;.</w:t>
      </w:r>
      <w:r>
        <w:rPr>
          <w:rFonts w:ascii="Times New Roman" w:eastAsia="Times New Roman" w:hAnsi="Times New Roman" w:cs="Times New Roman"/>
          <w:bCs/>
          <w:kern w:val="0"/>
          <w:sz w:val="24"/>
          <w:szCs w:val="32"/>
          <w14:ligatures w14:val="none"/>
        </w:rPr>
        <w:t xml:space="preserve"> </w:t>
      </w:r>
      <w:r w:rsidRPr="00D84E1E">
        <w:rPr>
          <w:rFonts w:ascii="Times New Roman" w:eastAsia="Times New Roman" w:hAnsi="Times New Roman" w:cs="Times New Roman"/>
          <w:bCs/>
          <w:kern w:val="0"/>
          <w:sz w:val="24"/>
          <w:szCs w:val="32"/>
          <w14:ligatures w14:val="none"/>
        </w:rPr>
        <w:t xml:space="preserve">  </w:t>
      </w:r>
    </w:p>
    <w:p w14:paraId="1489C580" w14:textId="77777777"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sidRPr="00C6206A">
        <w:rPr>
          <w:rFonts w:ascii="Times New Roman" w:eastAsia="Times New Roman" w:hAnsi="Times New Roman" w:cs="Times New Roman"/>
          <w:bCs/>
          <w:kern w:val="0"/>
          <w:sz w:val="24"/>
          <w:szCs w:val="32"/>
          <w14:ligatures w14:val="none"/>
        </w:rPr>
        <w:t xml:space="preserve">Espinosa, A.L.; Aguilar, M.J.D.; Aspectos práticos no cuidado com crianças e adolescentes com TDAH. (2012). P 83-86. Disponível em: </w:t>
      </w:r>
      <w:hyperlink r:id="rId10" w:history="1">
        <w:r w:rsidRPr="00A55051">
          <w:rPr>
            <w:rStyle w:val="Hyperlink"/>
            <w:rFonts w:ascii="Times New Roman" w:eastAsia="Times New Roman" w:hAnsi="Times New Roman" w:cs="Times New Roman"/>
            <w:bCs/>
            <w:kern w:val="0"/>
            <w:sz w:val="24"/>
            <w:szCs w:val="32"/>
            <w14:ligatures w14:val="none"/>
          </w:rPr>
          <w:t>https://scielo.isciii.es/scielo.php?script=sci_arttext&amp;pid=S1139-76322012000200012</w:t>
        </w:r>
      </w:hyperlink>
      <w:r>
        <w:rPr>
          <w:rFonts w:ascii="Times New Roman" w:eastAsia="Times New Roman" w:hAnsi="Times New Roman" w:cs="Times New Roman"/>
          <w:bCs/>
          <w:kern w:val="0"/>
          <w:sz w:val="24"/>
          <w:szCs w:val="32"/>
          <w14:ligatures w14:val="none"/>
        </w:rPr>
        <w:t xml:space="preserve"> </w:t>
      </w:r>
    </w:p>
    <w:p w14:paraId="14FEF856" w14:textId="42C23525"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sidRPr="00C6206A">
        <w:rPr>
          <w:rFonts w:ascii="Times New Roman" w:eastAsia="Times New Roman" w:hAnsi="Times New Roman" w:cs="Times New Roman"/>
          <w:bCs/>
          <w:kern w:val="0"/>
          <w:sz w:val="24"/>
          <w:szCs w:val="32"/>
          <w14:ligatures w14:val="none"/>
        </w:rPr>
        <w:t xml:space="preserve">Fortes, D. e Soares, G. (2019). Transtorno de Déficit de atenção e hiperatividade – TDAH. Guia para pais. </w:t>
      </w:r>
      <w:proofErr w:type="spellStart"/>
      <w:r w:rsidRPr="00C6206A">
        <w:rPr>
          <w:rFonts w:ascii="Times New Roman" w:eastAsia="Times New Roman" w:hAnsi="Times New Roman" w:cs="Times New Roman"/>
          <w:bCs/>
          <w:kern w:val="0"/>
          <w:sz w:val="24"/>
          <w:szCs w:val="32"/>
          <w14:ligatures w14:val="none"/>
        </w:rPr>
        <w:t>Abenepi</w:t>
      </w:r>
      <w:proofErr w:type="spellEnd"/>
      <w:r w:rsidRPr="00C6206A">
        <w:rPr>
          <w:rFonts w:ascii="Times New Roman" w:eastAsia="Times New Roman" w:hAnsi="Times New Roman" w:cs="Times New Roman"/>
          <w:bCs/>
          <w:kern w:val="0"/>
          <w:sz w:val="24"/>
          <w:szCs w:val="32"/>
          <w14:ligatures w14:val="none"/>
        </w:rPr>
        <w:t xml:space="preserve"> RJ. P 1-9.</w:t>
      </w:r>
      <w:r>
        <w:rPr>
          <w:rFonts w:ascii="Times New Roman" w:eastAsia="Times New Roman" w:hAnsi="Times New Roman" w:cs="Times New Roman"/>
          <w:bCs/>
          <w:kern w:val="0"/>
          <w:sz w:val="24"/>
          <w:szCs w:val="32"/>
          <w14:ligatures w14:val="none"/>
        </w:rPr>
        <w:t xml:space="preserve"> </w:t>
      </w:r>
      <w:hyperlink r:id="rId11" w:history="1">
        <w:r w:rsidR="008C1533" w:rsidRPr="009675D7">
          <w:rPr>
            <w:rStyle w:val="Hyperlink"/>
            <w:rFonts w:ascii="Times New Roman" w:eastAsia="Times New Roman" w:hAnsi="Times New Roman" w:cs="Times New Roman"/>
            <w:bCs/>
            <w:kern w:val="0"/>
            <w:sz w:val="24"/>
            <w:szCs w:val="32"/>
            <w14:ligatures w14:val="none"/>
          </w:rPr>
          <w:t>https://www.abenepirio.com.br/wordpress/ler/guia-para-pais/</w:t>
        </w:r>
      </w:hyperlink>
      <w:r w:rsidR="008C1533">
        <w:rPr>
          <w:rFonts w:ascii="Times New Roman" w:eastAsia="Times New Roman" w:hAnsi="Times New Roman" w:cs="Times New Roman"/>
          <w:bCs/>
          <w:kern w:val="0"/>
          <w:sz w:val="24"/>
          <w:szCs w:val="32"/>
          <w14:ligatures w14:val="none"/>
        </w:rPr>
        <w:t xml:space="preserve"> </w:t>
      </w:r>
    </w:p>
    <w:p w14:paraId="1CE93F78" w14:textId="445F629C"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proofErr w:type="spellStart"/>
      <w:r w:rsidRPr="00C6206A">
        <w:rPr>
          <w:rFonts w:ascii="Times New Roman" w:eastAsia="Times New Roman" w:hAnsi="Times New Roman" w:cs="Times New Roman"/>
          <w:bCs/>
          <w:kern w:val="0"/>
          <w:sz w:val="24"/>
          <w:szCs w:val="32"/>
          <w14:ligatures w14:val="none"/>
        </w:rPr>
        <w:t>Hinkler</w:t>
      </w:r>
      <w:proofErr w:type="spellEnd"/>
      <w:r w:rsidRPr="00C6206A">
        <w:rPr>
          <w:rFonts w:ascii="Times New Roman" w:eastAsia="Times New Roman" w:hAnsi="Times New Roman" w:cs="Times New Roman"/>
          <w:bCs/>
          <w:kern w:val="0"/>
          <w:sz w:val="24"/>
          <w:szCs w:val="32"/>
          <w14:ligatures w14:val="none"/>
        </w:rPr>
        <w:t xml:space="preserve">. J.L; </w:t>
      </w:r>
      <w:proofErr w:type="spellStart"/>
      <w:r w:rsidRPr="00C6206A">
        <w:rPr>
          <w:rFonts w:ascii="Times New Roman" w:eastAsia="Times New Roman" w:hAnsi="Times New Roman" w:cs="Times New Roman"/>
          <w:bCs/>
          <w:kern w:val="0"/>
          <w:sz w:val="24"/>
          <w:szCs w:val="32"/>
          <w14:ligatures w14:val="none"/>
        </w:rPr>
        <w:t>Cheever</w:t>
      </w:r>
      <w:proofErr w:type="spellEnd"/>
      <w:r w:rsidRPr="00C6206A">
        <w:rPr>
          <w:rFonts w:ascii="Times New Roman" w:eastAsia="Times New Roman" w:hAnsi="Times New Roman" w:cs="Times New Roman"/>
          <w:bCs/>
          <w:kern w:val="0"/>
          <w:sz w:val="24"/>
          <w:szCs w:val="32"/>
          <w14:ligatures w14:val="none"/>
        </w:rPr>
        <w:t xml:space="preserve">, </w:t>
      </w:r>
      <w:proofErr w:type="gramStart"/>
      <w:r w:rsidRPr="00C6206A">
        <w:rPr>
          <w:rFonts w:ascii="Times New Roman" w:eastAsia="Times New Roman" w:hAnsi="Times New Roman" w:cs="Times New Roman"/>
          <w:bCs/>
          <w:kern w:val="0"/>
          <w:sz w:val="24"/>
          <w:szCs w:val="32"/>
          <w14:ligatures w14:val="none"/>
        </w:rPr>
        <w:t>K,H.</w:t>
      </w:r>
      <w:proofErr w:type="gramEnd"/>
      <w:r w:rsidRPr="00C6206A">
        <w:rPr>
          <w:rFonts w:ascii="Times New Roman" w:eastAsia="Times New Roman" w:hAnsi="Times New Roman" w:cs="Times New Roman"/>
          <w:bCs/>
          <w:kern w:val="0"/>
          <w:sz w:val="24"/>
          <w:szCs w:val="32"/>
          <w14:ligatures w14:val="none"/>
        </w:rPr>
        <w:t xml:space="preserve">; </w:t>
      </w:r>
      <w:proofErr w:type="spellStart"/>
      <w:r w:rsidRPr="00C6206A">
        <w:rPr>
          <w:rFonts w:ascii="Times New Roman" w:eastAsia="Times New Roman" w:hAnsi="Times New Roman" w:cs="Times New Roman"/>
          <w:bCs/>
          <w:kern w:val="0"/>
          <w:sz w:val="24"/>
          <w:szCs w:val="32"/>
          <w14:ligatures w14:val="none"/>
        </w:rPr>
        <w:t>Brunner</w:t>
      </w:r>
      <w:proofErr w:type="spellEnd"/>
      <w:r w:rsidRPr="00C6206A">
        <w:rPr>
          <w:rFonts w:ascii="Times New Roman" w:eastAsia="Times New Roman" w:hAnsi="Times New Roman" w:cs="Times New Roman"/>
          <w:bCs/>
          <w:kern w:val="0"/>
          <w:sz w:val="24"/>
          <w:szCs w:val="32"/>
          <w14:ligatures w14:val="none"/>
        </w:rPr>
        <w:t xml:space="preserve"> e </w:t>
      </w:r>
      <w:proofErr w:type="spellStart"/>
      <w:r w:rsidRPr="00C6206A">
        <w:rPr>
          <w:rFonts w:ascii="Times New Roman" w:eastAsia="Times New Roman" w:hAnsi="Times New Roman" w:cs="Times New Roman"/>
          <w:bCs/>
          <w:kern w:val="0"/>
          <w:sz w:val="24"/>
          <w:szCs w:val="32"/>
          <w14:ligatures w14:val="none"/>
        </w:rPr>
        <w:t>Suddarth</w:t>
      </w:r>
      <w:proofErr w:type="spellEnd"/>
      <w:r w:rsidRPr="00C6206A">
        <w:rPr>
          <w:rFonts w:ascii="Times New Roman" w:eastAsia="Times New Roman" w:hAnsi="Times New Roman" w:cs="Times New Roman"/>
          <w:bCs/>
          <w:kern w:val="0"/>
          <w:sz w:val="24"/>
          <w:szCs w:val="32"/>
          <w14:ligatures w14:val="none"/>
        </w:rPr>
        <w:t xml:space="preserve"> – Tratado de Enfermagem. (2020) 14°ed, Guanabara Koogan. P 38-120.</w:t>
      </w:r>
      <w:r>
        <w:rPr>
          <w:rFonts w:ascii="Times New Roman" w:eastAsia="Times New Roman" w:hAnsi="Times New Roman" w:cs="Times New Roman"/>
          <w:bCs/>
          <w:kern w:val="0"/>
          <w:sz w:val="24"/>
          <w:szCs w:val="32"/>
          <w14:ligatures w14:val="none"/>
        </w:rPr>
        <w:t xml:space="preserve"> </w:t>
      </w:r>
      <w:r w:rsidR="008C1533">
        <w:rPr>
          <w:rFonts w:ascii="Times New Roman" w:eastAsia="Times New Roman" w:hAnsi="Times New Roman" w:cs="Times New Roman"/>
          <w:bCs/>
          <w:kern w:val="0"/>
          <w:sz w:val="24"/>
          <w:szCs w:val="32"/>
          <w14:ligatures w14:val="none"/>
        </w:rPr>
        <w:t xml:space="preserve"> </w:t>
      </w:r>
      <w:hyperlink r:id="rId12" w:history="1">
        <w:r w:rsidR="008C1533" w:rsidRPr="009675D7">
          <w:rPr>
            <w:rStyle w:val="Hyperlink"/>
            <w:rFonts w:ascii="Times New Roman" w:eastAsia="Times New Roman" w:hAnsi="Times New Roman" w:cs="Times New Roman"/>
            <w:bCs/>
            <w:kern w:val="0"/>
            <w:sz w:val="24"/>
            <w:szCs w:val="32"/>
            <w14:ligatures w14:val="none"/>
          </w:rPr>
          <w:t>https://www.ieshalomead.com.br/pluginfile.php/201/mod_glossary/attachment/2/BrunnerSuddarth%202016%201.pdf</w:t>
        </w:r>
      </w:hyperlink>
      <w:r w:rsidR="008C1533">
        <w:rPr>
          <w:rFonts w:ascii="Times New Roman" w:eastAsia="Times New Roman" w:hAnsi="Times New Roman" w:cs="Times New Roman"/>
          <w:bCs/>
          <w:kern w:val="0"/>
          <w:sz w:val="24"/>
          <w:szCs w:val="32"/>
          <w14:ligatures w14:val="none"/>
        </w:rPr>
        <w:t xml:space="preserve"> </w:t>
      </w:r>
    </w:p>
    <w:p w14:paraId="78B5E838" w14:textId="77777777"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sidRPr="00BF5D41">
        <w:rPr>
          <w:rFonts w:ascii="Times New Roman" w:eastAsia="Times New Roman" w:hAnsi="Times New Roman" w:cs="Times New Roman"/>
          <w:bCs/>
          <w:kern w:val="0"/>
          <w:sz w:val="24"/>
          <w:szCs w:val="32"/>
          <w14:ligatures w14:val="none"/>
        </w:rPr>
        <w:t>L</w:t>
      </w:r>
      <w:r>
        <w:rPr>
          <w:rFonts w:ascii="Times New Roman" w:eastAsia="Times New Roman" w:hAnsi="Times New Roman" w:cs="Times New Roman"/>
          <w:bCs/>
          <w:kern w:val="0"/>
          <w:sz w:val="24"/>
          <w:szCs w:val="32"/>
          <w14:ligatures w14:val="none"/>
        </w:rPr>
        <w:t>eme</w:t>
      </w:r>
      <w:r w:rsidRPr="00BF5D41">
        <w:rPr>
          <w:rFonts w:ascii="Times New Roman" w:eastAsia="Times New Roman" w:hAnsi="Times New Roman" w:cs="Times New Roman"/>
          <w:bCs/>
          <w:kern w:val="0"/>
          <w:sz w:val="24"/>
          <w:szCs w:val="32"/>
          <w14:ligatures w14:val="none"/>
        </w:rPr>
        <w:t xml:space="preserve">, Luciana. Associação brasileira de déficit de atenção (ABDA) – O que é TDAH? </w:t>
      </w:r>
      <w:proofErr w:type="spellStart"/>
      <w:r w:rsidRPr="00BF5D41">
        <w:rPr>
          <w:rFonts w:ascii="Times New Roman" w:eastAsia="Times New Roman" w:hAnsi="Times New Roman" w:cs="Times New Roman"/>
          <w:bCs/>
          <w:kern w:val="0"/>
          <w:sz w:val="24"/>
          <w:szCs w:val="32"/>
          <w14:ligatures w14:val="none"/>
        </w:rPr>
        <w:t>Disponivel</w:t>
      </w:r>
      <w:proofErr w:type="spellEnd"/>
      <w:r w:rsidRPr="00BF5D41">
        <w:rPr>
          <w:rFonts w:ascii="Times New Roman" w:eastAsia="Times New Roman" w:hAnsi="Times New Roman" w:cs="Times New Roman"/>
          <w:bCs/>
          <w:kern w:val="0"/>
          <w:sz w:val="24"/>
          <w:szCs w:val="32"/>
          <w14:ligatures w14:val="none"/>
        </w:rPr>
        <w:t xml:space="preserve"> em: </w:t>
      </w:r>
      <w:hyperlink r:id="rId13" w:history="1">
        <w:r w:rsidRPr="00716812">
          <w:rPr>
            <w:rStyle w:val="Hyperlink"/>
            <w:rFonts w:ascii="Times New Roman" w:eastAsia="Times New Roman" w:hAnsi="Times New Roman" w:cs="Times New Roman"/>
            <w:bCs/>
            <w:kern w:val="0"/>
            <w:sz w:val="24"/>
            <w:szCs w:val="32"/>
            <w14:ligatures w14:val="none"/>
          </w:rPr>
          <w:t>https://tdah.org.br/sobre-tdah/o-que-e-tdah/</w:t>
        </w:r>
      </w:hyperlink>
      <w:r>
        <w:rPr>
          <w:rFonts w:ascii="Times New Roman" w:eastAsia="Times New Roman" w:hAnsi="Times New Roman" w:cs="Times New Roman"/>
          <w:bCs/>
          <w:kern w:val="0"/>
          <w:sz w:val="24"/>
          <w:szCs w:val="32"/>
          <w14:ligatures w14:val="none"/>
        </w:rPr>
        <w:t xml:space="preserve"> </w:t>
      </w:r>
      <w:r w:rsidRPr="00BF5D41">
        <w:rPr>
          <w:rFonts w:ascii="Times New Roman" w:eastAsia="Times New Roman" w:hAnsi="Times New Roman" w:cs="Times New Roman"/>
          <w:bCs/>
          <w:kern w:val="0"/>
          <w:sz w:val="24"/>
          <w:szCs w:val="32"/>
          <w14:ligatures w14:val="none"/>
        </w:rPr>
        <w:t xml:space="preserve"> Acesso em: </w:t>
      </w:r>
      <w:r>
        <w:rPr>
          <w:rFonts w:ascii="Times New Roman" w:eastAsia="Times New Roman" w:hAnsi="Times New Roman" w:cs="Times New Roman"/>
          <w:bCs/>
          <w:kern w:val="0"/>
          <w:sz w:val="24"/>
          <w:szCs w:val="32"/>
          <w14:ligatures w14:val="none"/>
        </w:rPr>
        <w:t>30</w:t>
      </w:r>
      <w:r w:rsidRPr="00BF5D41">
        <w:rPr>
          <w:rFonts w:ascii="Times New Roman" w:eastAsia="Times New Roman" w:hAnsi="Times New Roman" w:cs="Times New Roman"/>
          <w:bCs/>
          <w:kern w:val="0"/>
          <w:sz w:val="24"/>
          <w:szCs w:val="32"/>
          <w14:ligatures w14:val="none"/>
        </w:rPr>
        <w:t xml:space="preserve"> </w:t>
      </w:r>
      <w:r>
        <w:rPr>
          <w:rFonts w:ascii="Times New Roman" w:eastAsia="Times New Roman" w:hAnsi="Times New Roman" w:cs="Times New Roman"/>
          <w:bCs/>
          <w:kern w:val="0"/>
          <w:sz w:val="24"/>
          <w:szCs w:val="32"/>
          <w14:ligatures w14:val="none"/>
        </w:rPr>
        <w:t xml:space="preserve">Setembro </w:t>
      </w:r>
      <w:proofErr w:type="gramStart"/>
      <w:r>
        <w:rPr>
          <w:rFonts w:ascii="Times New Roman" w:eastAsia="Times New Roman" w:hAnsi="Times New Roman" w:cs="Times New Roman"/>
          <w:bCs/>
          <w:kern w:val="0"/>
          <w:sz w:val="24"/>
          <w:szCs w:val="32"/>
          <w14:ligatures w14:val="none"/>
        </w:rPr>
        <w:t xml:space="preserve">de </w:t>
      </w:r>
      <w:r w:rsidRPr="00BF5D41">
        <w:rPr>
          <w:rFonts w:ascii="Times New Roman" w:eastAsia="Times New Roman" w:hAnsi="Times New Roman" w:cs="Times New Roman"/>
          <w:bCs/>
          <w:kern w:val="0"/>
          <w:sz w:val="24"/>
          <w:szCs w:val="32"/>
          <w14:ligatures w14:val="none"/>
        </w:rPr>
        <w:t xml:space="preserve"> 202</w:t>
      </w:r>
      <w:r>
        <w:rPr>
          <w:rFonts w:ascii="Times New Roman" w:eastAsia="Times New Roman" w:hAnsi="Times New Roman" w:cs="Times New Roman"/>
          <w:bCs/>
          <w:kern w:val="0"/>
          <w:sz w:val="24"/>
          <w:szCs w:val="32"/>
          <w14:ligatures w14:val="none"/>
        </w:rPr>
        <w:t>4</w:t>
      </w:r>
      <w:proofErr w:type="gramEnd"/>
      <w:r w:rsidRPr="00BF5D41">
        <w:rPr>
          <w:rFonts w:ascii="Times New Roman" w:eastAsia="Times New Roman" w:hAnsi="Times New Roman" w:cs="Times New Roman"/>
          <w:bCs/>
          <w:kern w:val="0"/>
          <w:sz w:val="24"/>
          <w:szCs w:val="32"/>
          <w14:ligatures w14:val="none"/>
        </w:rPr>
        <w:t>.</w:t>
      </w:r>
    </w:p>
    <w:p w14:paraId="415F1BAF" w14:textId="6C7B6E6A" w:rsid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lastRenderedPageBreak/>
        <w:t>M</w:t>
      </w:r>
      <w:r w:rsidRPr="00C6206A">
        <w:rPr>
          <w:rFonts w:ascii="Times New Roman" w:eastAsia="Times New Roman" w:hAnsi="Times New Roman" w:cs="Times New Roman"/>
          <w:bCs/>
          <w:kern w:val="0"/>
          <w:sz w:val="24"/>
          <w:szCs w:val="32"/>
          <w14:ligatures w14:val="none"/>
        </w:rPr>
        <w:t xml:space="preserve">inistério da saúde. Secretária de Assistência </w:t>
      </w:r>
      <w:proofErr w:type="spellStart"/>
      <w:r w:rsidRPr="00C6206A">
        <w:rPr>
          <w:rFonts w:ascii="Times New Roman" w:eastAsia="Times New Roman" w:hAnsi="Times New Roman" w:cs="Times New Roman"/>
          <w:bCs/>
          <w:kern w:val="0"/>
          <w:sz w:val="24"/>
          <w:szCs w:val="32"/>
          <w14:ligatures w14:val="none"/>
        </w:rPr>
        <w:t>a</w:t>
      </w:r>
      <w:proofErr w:type="spellEnd"/>
      <w:r w:rsidRPr="00C6206A">
        <w:rPr>
          <w:rFonts w:ascii="Times New Roman" w:eastAsia="Times New Roman" w:hAnsi="Times New Roman" w:cs="Times New Roman"/>
          <w:bCs/>
          <w:kern w:val="0"/>
          <w:sz w:val="24"/>
          <w:szCs w:val="32"/>
          <w14:ligatures w14:val="none"/>
        </w:rPr>
        <w:t xml:space="preserve"> Saúde. Coordenação de saúde da comunidade. SAÚDE DA FAMÍLIA: Uma estratégia para a reorientação do modelo assistencial. Brasília. 2006. Disponível em: </w:t>
      </w:r>
      <w:hyperlink r:id="rId14" w:history="1">
        <w:r w:rsidRPr="00A55051">
          <w:rPr>
            <w:rStyle w:val="Hyperlink"/>
            <w:rFonts w:ascii="Times New Roman" w:eastAsia="Times New Roman" w:hAnsi="Times New Roman" w:cs="Times New Roman"/>
            <w:bCs/>
            <w:kern w:val="0"/>
            <w:sz w:val="24"/>
            <w:szCs w:val="32"/>
            <w14:ligatures w14:val="none"/>
          </w:rPr>
          <w:t>https://www.saude.gov.br</w:t>
        </w:r>
      </w:hyperlink>
      <w:r>
        <w:rPr>
          <w:rFonts w:ascii="Times New Roman" w:eastAsia="Times New Roman" w:hAnsi="Times New Roman" w:cs="Times New Roman"/>
          <w:bCs/>
          <w:kern w:val="0"/>
          <w:sz w:val="24"/>
          <w:szCs w:val="32"/>
          <w14:ligatures w14:val="none"/>
        </w:rPr>
        <w:t xml:space="preserve"> </w:t>
      </w:r>
    </w:p>
    <w:p w14:paraId="5BA9798F" w14:textId="7B8BEB26" w:rsidR="00717B7D" w:rsidRDefault="00CD5666" w:rsidP="008E69E3">
      <w:pPr>
        <w:keepNext/>
        <w:keepLines/>
        <w:spacing w:before="240" w:after="0"/>
        <w:outlineLvl w:val="0"/>
        <w:rPr>
          <w:rFonts w:ascii="Times New Roman" w:hAnsi="Times New Roman" w:cs="Times New Roman"/>
          <w:sz w:val="24"/>
          <w:szCs w:val="24"/>
          <w:shd w:val="clear" w:color="auto" w:fill="FFFFFF"/>
        </w:rPr>
      </w:pPr>
      <w:r w:rsidRPr="00CD5666">
        <w:rPr>
          <w:rFonts w:ascii="Times New Roman" w:hAnsi="Times New Roman" w:cs="Times New Roman"/>
          <w:sz w:val="24"/>
          <w:szCs w:val="24"/>
          <w:shd w:val="clear" w:color="auto" w:fill="FFFFFF"/>
        </w:rPr>
        <w:t xml:space="preserve">Opas. Organização Pan Americana da Saúde. Transtornos Mentais, 2018. [Acesso em </w:t>
      </w:r>
      <w:r>
        <w:rPr>
          <w:rFonts w:ascii="Times New Roman" w:hAnsi="Times New Roman" w:cs="Times New Roman"/>
          <w:sz w:val="24"/>
          <w:szCs w:val="24"/>
          <w:shd w:val="clear" w:color="auto" w:fill="FFFFFF"/>
        </w:rPr>
        <w:t>2024</w:t>
      </w:r>
      <w:r w:rsidRPr="00CD5666">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Set</w:t>
      </w:r>
      <w:r w:rsidRPr="00CD5666">
        <w:rPr>
          <w:rFonts w:ascii="Times New Roman" w:hAnsi="Times New Roman" w:cs="Times New Roman"/>
          <w:sz w:val="24"/>
          <w:szCs w:val="24"/>
          <w:shd w:val="clear" w:color="auto" w:fill="FFFFFF"/>
        </w:rPr>
        <w:t>.</w:t>
      </w:r>
      <w:proofErr w:type="gramEnd"/>
      <w:r w:rsidRPr="00CD5666">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4</w:t>
      </w:r>
      <w:r w:rsidRPr="00CD5666">
        <w:rPr>
          <w:rFonts w:ascii="Times New Roman" w:hAnsi="Times New Roman" w:cs="Times New Roman"/>
          <w:sz w:val="24"/>
          <w:szCs w:val="24"/>
          <w:shd w:val="clear" w:color="auto" w:fill="FFFFFF"/>
        </w:rPr>
        <w:t>]. Disponível em:</w:t>
      </w:r>
      <w:r>
        <w:rPr>
          <w:rFonts w:ascii="Times New Roman" w:hAnsi="Times New Roman" w:cs="Times New Roman"/>
          <w:sz w:val="24"/>
          <w:szCs w:val="24"/>
          <w:shd w:val="clear" w:color="auto" w:fill="FFFFFF"/>
        </w:rPr>
        <w:t xml:space="preserve"> </w:t>
      </w:r>
      <w:hyperlink r:id="rId15" w:history="1">
        <w:r w:rsidRPr="00716812">
          <w:rPr>
            <w:rStyle w:val="Hyperlink"/>
            <w:rFonts w:ascii="Times New Roman" w:hAnsi="Times New Roman" w:cs="Times New Roman"/>
            <w:sz w:val="24"/>
            <w:szCs w:val="24"/>
            <w:shd w:val="clear" w:color="auto" w:fill="FFFFFF"/>
          </w:rPr>
          <w:t>https://www.paho.org/bra/index.php?option=com_content&amp;view=article&amp;id=5652:folha-informativa-transtornos-mentais&amp;Itemid=839</w:t>
        </w:r>
      </w:hyperlink>
      <w:r>
        <w:rPr>
          <w:rFonts w:ascii="Times New Roman" w:hAnsi="Times New Roman" w:cs="Times New Roman"/>
          <w:sz w:val="24"/>
          <w:szCs w:val="24"/>
          <w:shd w:val="clear" w:color="auto" w:fill="FFFFFF"/>
        </w:rPr>
        <w:t xml:space="preserve"> </w:t>
      </w:r>
    </w:p>
    <w:p w14:paraId="5EF3ECC5" w14:textId="7D241660" w:rsidR="008E69E3" w:rsidRPr="008E69E3" w:rsidRDefault="008E69E3" w:rsidP="008E69E3">
      <w:pPr>
        <w:keepNext/>
        <w:keepLines/>
        <w:spacing w:before="240" w:after="0"/>
        <w:jc w:val="both"/>
        <w:outlineLvl w:val="0"/>
        <w:rPr>
          <w:rFonts w:ascii="Times New Roman" w:eastAsia="Times New Roman" w:hAnsi="Times New Roman" w:cs="Times New Roman"/>
          <w:bCs/>
          <w:kern w:val="0"/>
          <w:sz w:val="24"/>
          <w:szCs w:val="32"/>
          <w14:ligatures w14:val="none"/>
        </w:rPr>
      </w:pPr>
      <w:r w:rsidRPr="00C6206A">
        <w:rPr>
          <w:rFonts w:ascii="Times New Roman" w:eastAsia="Times New Roman" w:hAnsi="Times New Roman" w:cs="Times New Roman"/>
          <w:bCs/>
          <w:kern w:val="0"/>
          <w:sz w:val="24"/>
          <w:szCs w:val="32"/>
          <w14:ligatures w14:val="none"/>
        </w:rPr>
        <w:t xml:space="preserve">Toledo, V.P. Sistematização da assistência de enfermagem psiquiátrica: Tese de Doutorado. Ribeirão Preto. USP 2004. Disponível em: </w:t>
      </w:r>
      <w:hyperlink r:id="rId16" w:history="1">
        <w:r w:rsidRPr="00A55051">
          <w:rPr>
            <w:rStyle w:val="Hyperlink"/>
            <w:rFonts w:ascii="Times New Roman" w:eastAsia="Times New Roman" w:hAnsi="Times New Roman" w:cs="Times New Roman"/>
            <w:bCs/>
            <w:kern w:val="0"/>
            <w:sz w:val="24"/>
            <w:szCs w:val="32"/>
            <w14:ligatures w14:val="none"/>
          </w:rPr>
          <w:t>https://www.teses.usp.br/teses/disponiveis/22/22131/tde-0908200522</w:t>
        </w:r>
      </w:hyperlink>
      <w:r>
        <w:rPr>
          <w:rFonts w:ascii="Times New Roman" w:eastAsia="Times New Roman" w:hAnsi="Times New Roman" w:cs="Times New Roman"/>
          <w:bCs/>
          <w:kern w:val="0"/>
          <w:sz w:val="24"/>
          <w:szCs w:val="32"/>
          <w14:ligatures w14:val="none"/>
        </w:rPr>
        <w:t xml:space="preserve"> </w:t>
      </w:r>
    </w:p>
    <w:p w14:paraId="6EB89C79" w14:textId="2A977EF5" w:rsidR="00C6206A" w:rsidRPr="00021868" w:rsidRDefault="00C6206A" w:rsidP="00021868">
      <w:pPr>
        <w:keepNext/>
        <w:keepLines/>
        <w:spacing w:before="240" w:after="0"/>
        <w:jc w:val="both"/>
        <w:outlineLvl w:val="0"/>
        <w:rPr>
          <w:rFonts w:ascii="Times New Roman" w:eastAsia="Times New Roman" w:hAnsi="Times New Roman" w:cs="Times New Roman"/>
          <w:bCs/>
          <w:kern w:val="0"/>
          <w:sz w:val="24"/>
          <w:szCs w:val="32"/>
          <w14:ligatures w14:val="none"/>
        </w:rPr>
      </w:pPr>
      <w:proofErr w:type="spellStart"/>
      <w:r w:rsidRPr="00C6206A">
        <w:rPr>
          <w:rFonts w:ascii="Times New Roman" w:eastAsia="Times New Roman" w:hAnsi="Times New Roman" w:cs="Times New Roman"/>
          <w:bCs/>
          <w:kern w:val="0"/>
          <w:sz w:val="24"/>
          <w:szCs w:val="32"/>
          <w14:ligatures w14:val="none"/>
        </w:rPr>
        <w:t>Vierhile</w:t>
      </w:r>
      <w:proofErr w:type="spellEnd"/>
      <w:r w:rsidRPr="00C6206A">
        <w:rPr>
          <w:rFonts w:ascii="Times New Roman" w:eastAsia="Times New Roman" w:hAnsi="Times New Roman" w:cs="Times New Roman"/>
          <w:bCs/>
          <w:kern w:val="0"/>
          <w:sz w:val="24"/>
          <w:szCs w:val="32"/>
          <w14:ligatures w14:val="none"/>
        </w:rPr>
        <w:t xml:space="preserve">, A.; Robb, A.; Krause, P. Transtorno de Déficit de Atenção/hiperatividade em crianças e adolescentes: fechando lacunas de 29 diagnóstico, comunicação e tratamento (2009). Disponível em: </w:t>
      </w:r>
      <w:hyperlink r:id="rId17" w:history="1">
        <w:r w:rsidRPr="00A55051">
          <w:rPr>
            <w:rStyle w:val="Hyperlink"/>
            <w:rFonts w:ascii="Times New Roman" w:eastAsia="Times New Roman" w:hAnsi="Times New Roman" w:cs="Times New Roman"/>
            <w:bCs/>
            <w:kern w:val="0"/>
            <w:sz w:val="24"/>
            <w:szCs w:val="32"/>
            <w14:ligatures w14:val="none"/>
          </w:rPr>
          <w:t>https://pubmed.ncbi.nlm.nih.gov/19084757/</w:t>
        </w:r>
      </w:hyperlink>
      <w:r>
        <w:rPr>
          <w:rFonts w:ascii="Times New Roman" w:eastAsia="Times New Roman" w:hAnsi="Times New Roman" w:cs="Times New Roman"/>
          <w:bCs/>
          <w:kern w:val="0"/>
          <w:sz w:val="24"/>
          <w:szCs w:val="32"/>
          <w14:ligatures w14:val="none"/>
        </w:rPr>
        <w:t xml:space="preserve"> </w:t>
      </w:r>
    </w:p>
    <w:p w14:paraId="5400BC58" w14:textId="0D7D494C" w:rsidR="00C6206A" w:rsidRPr="008041F9" w:rsidRDefault="00C6206A" w:rsidP="00F34210">
      <w:pPr>
        <w:keepNext/>
        <w:keepLines/>
        <w:spacing w:before="240" w:after="0"/>
        <w:jc w:val="both"/>
        <w:outlineLvl w:val="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t xml:space="preserve"> </w:t>
      </w:r>
    </w:p>
    <w:sectPr w:rsidR="00C6206A" w:rsidRPr="008041F9">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AA94" w14:textId="77777777" w:rsidR="00E94638" w:rsidRDefault="00E94638" w:rsidP="003C5788">
      <w:pPr>
        <w:spacing w:after="0" w:line="240" w:lineRule="auto"/>
      </w:pPr>
      <w:r>
        <w:separator/>
      </w:r>
    </w:p>
  </w:endnote>
  <w:endnote w:type="continuationSeparator" w:id="0">
    <w:p w14:paraId="45A91C6B" w14:textId="77777777" w:rsidR="00E94638" w:rsidRDefault="00E94638"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5346" w14:textId="77777777" w:rsidR="00E94638" w:rsidRDefault="00E94638" w:rsidP="003C5788">
      <w:pPr>
        <w:spacing w:after="0" w:line="240" w:lineRule="auto"/>
      </w:pPr>
      <w:r>
        <w:separator/>
      </w:r>
    </w:p>
  </w:footnote>
  <w:footnote w:type="continuationSeparator" w:id="0">
    <w:p w14:paraId="75968C2A" w14:textId="77777777" w:rsidR="00E94638" w:rsidRDefault="00E94638"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0B64" w14:textId="77777777" w:rsidR="003A649F" w:rsidRDefault="003A649F">
    <w:pPr>
      <w:pStyle w:val="Cabealho"/>
    </w:pPr>
    <w:r>
      <w:rPr>
        <w:noProof/>
      </w:rPr>
      <w:drawing>
        <wp:anchor distT="0" distB="0" distL="114300" distR="114300" simplePos="0" relativeHeight="251658240" behindDoc="0" locked="0" layoutInCell="1" allowOverlap="1" wp14:anchorId="2AD3FED4" wp14:editId="21E3CBD5">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F89"/>
    <w:multiLevelType w:val="hybridMultilevel"/>
    <w:tmpl w:val="C1927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CE2CE0"/>
    <w:multiLevelType w:val="multilevel"/>
    <w:tmpl w:val="756E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16C99"/>
    <w:multiLevelType w:val="multilevel"/>
    <w:tmpl w:val="DEC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8659E"/>
    <w:multiLevelType w:val="hybridMultilevel"/>
    <w:tmpl w:val="7CB4A54A"/>
    <w:lvl w:ilvl="0" w:tplc="2F0C2F22">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A407051"/>
    <w:multiLevelType w:val="multilevel"/>
    <w:tmpl w:val="5134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41E1071C"/>
    <w:multiLevelType w:val="hybridMultilevel"/>
    <w:tmpl w:val="B0FAE292"/>
    <w:lvl w:ilvl="0" w:tplc="378EB4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C50FF9"/>
    <w:multiLevelType w:val="multilevel"/>
    <w:tmpl w:val="DD92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875B63"/>
    <w:multiLevelType w:val="multilevel"/>
    <w:tmpl w:val="46F0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A76481"/>
    <w:multiLevelType w:val="multilevel"/>
    <w:tmpl w:val="C76E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50DDA"/>
    <w:multiLevelType w:val="multilevel"/>
    <w:tmpl w:val="133A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937731">
    <w:abstractNumId w:val="6"/>
  </w:num>
  <w:num w:numId="2" w16cid:durableId="1573275171">
    <w:abstractNumId w:val="8"/>
  </w:num>
  <w:num w:numId="3" w16cid:durableId="988899432">
    <w:abstractNumId w:val="5"/>
  </w:num>
  <w:num w:numId="4" w16cid:durableId="336275451">
    <w:abstractNumId w:val="9"/>
  </w:num>
  <w:num w:numId="5" w16cid:durableId="2027898466">
    <w:abstractNumId w:val="1"/>
  </w:num>
  <w:num w:numId="6" w16cid:durableId="955983253">
    <w:abstractNumId w:val="4"/>
  </w:num>
  <w:num w:numId="7" w16cid:durableId="122121780">
    <w:abstractNumId w:val="2"/>
  </w:num>
  <w:num w:numId="8" w16cid:durableId="1290279876">
    <w:abstractNumId w:val="11"/>
  </w:num>
  <w:num w:numId="9" w16cid:durableId="1450970986">
    <w:abstractNumId w:val="12"/>
  </w:num>
  <w:num w:numId="10" w16cid:durableId="414592967">
    <w:abstractNumId w:val="10"/>
  </w:num>
  <w:num w:numId="11" w16cid:durableId="1951157935">
    <w:abstractNumId w:val="0"/>
  </w:num>
  <w:num w:numId="12" w16cid:durableId="595405600">
    <w:abstractNumId w:val="7"/>
  </w:num>
  <w:num w:numId="13" w16cid:durableId="174522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E"/>
    <w:rsid w:val="000103A4"/>
    <w:rsid w:val="00021868"/>
    <w:rsid w:val="00031785"/>
    <w:rsid w:val="000A6679"/>
    <w:rsid w:val="000E0A01"/>
    <w:rsid w:val="000E76BB"/>
    <w:rsid w:val="000F75B8"/>
    <w:rsid w:val="001365DA"/>
    <w:rsid w:val="00137DB2"/>
    <w:rsid w:val="00175D22"/>
    <w:rsid w:val="001907C7"/>
    <w:rsid w:val="001C03F6"/>
    <w:rsid w:val="0025121F"/>
    <w:rsid w:val="002725AF"/>
    <w:rsid w:val="00272E87"/>
    <w:rsid w:val="002804D3"/>
    <w:rsid w:val="00291C70"/>
    <w:rsid w:val="002950AF"/>
    <w:rsid w:val="00295440"/>
    <w:rsid w:val="002B163B"/>
    <w:rsid w:val="003539E4"/>
    <w:rsid w:val="00353FB6"/>
    <w:rsid w:val="00354D4A"/>
    <w:rsid w:val="003A1198"/>
    <w:rsid w:val="003A649F"/>
    <w:rsid w:val="003C5788"/>
    <w:rsid w:val="003D65D9"/>
    <w:rsid w:val="003E32C1"/>
    <w:rsid w:val="00450656"/>
    <w:rsid w:val="00472032"/>
    <w:rsid w:val="0049045D"/>
    <w:rsid w:val="004D2C4D"/>
    <w:rsid w:val="004D566A"/>
    <w:rsid w:val="004E10F8"/>
    <w:rsid w:val="004E5A76"/>
    <w:rsid w:val="00522295"/>
    <w:rsid w:val="005858F2"/>
    <w:rsid w:val="005B06DC"/>
    <w:rsid w:val="006040D6"/>
    <w:rsid w:val="00610E55"/>
    <w:rsid w:val="00611F82"/>
    <w:rsid w:val="00615A15"/>
    <w:rsid w:val="00640CBB"/>
    <w:rsid w:val="00643DF8"/>
    <w:rsid w:val="006C3B2D"/>
    <w:rsid w:val="006D5626"/>
    <w:rsid w:val="007033F1"/>
    <w:rsid w:val="007108F7"/>
    <w:rsid w:val="00712F20"/>
    <w:rsid w:val="00717B7D"/>
    <w:rsid w:val="007641DE"/>
    <w:rsid w:val="00775B89"/>
    <w:rsid w:val="007915BC"/>
    <w:rsid w:val="007B156B"/>
    <w:rsid w:val="007E4608"/>
    <w:rsid w:val="007F601A"/>
    <w:rsid w:val="008041F9"/>
    <w:rsid w:val="00855E8B"/>
    <w:rsid w:val="008A04F3"/>
    <w:rsid w:val="008A0D95"/>
    <w:rsid w:val="008C1533"/>
    <w:rsid w:val="008C4255"/>
    <w:rsid w:val="008E69E3"/>
    <w:rsid w:val="008E6E12"/>
    <w:rsid w:val="008F11A2"/>
    <w:rsid w:val="009054F5"/>
    <w:rsid w:val="0093000A"/>
    <w:rsid w:val="00950A12"/>
    <w:rsid w:val="009517E5"/>
    <w:rsid w:val="00955C70"/>
    <w:rsid w:val="0098456A"/>
    <w:rsid w:val="009B5E87"/>
    <w:rsid w:val="00A06153"/>
    <w:rsid w:val="00A074B8"/>
    <w:rsid w:val="00A217C9"/>
    <w:rsid w:val="00A5024A"/>
    <w:rsid w:val="00A53E77"/>
    <w:rsid w:val="00A55A50"/>
    <w:rsid w:val="00A6389F"/>
    <w:rsid w:val="00A731E8"/>
    <w:rsid w:val="00A936FD"/>
    <w:rsid w:val="00AB0C71"/>
    <w:rsid w:val="00AF765F"/>
    <w:rsid w:val="00B1383D"/>
    <w:rsid w:val="00B14E5E"/>
    <w:rsid w:val="00B22DF6"/>
    <w:rsid w:val="00B32469"/>
    <w:rsid w:val="00B56900"/>
    <w:rsid w:val="00B709B2"/>
    <w:rsid w:val="00B75988"/>
    <w:rsid w:val="00BF5D41"/>
    <w:rsid w:val="00C009BB"/>
    <w:rsid w:val="00C33D58"/>
    <w:rsid w:val="00C51225"/>
    <w:rsid w:val="00C6206A"/>
    <w:rsid w:val="00C776B4"/>
    <w:rsid w:val="00CA454F"/>
    <w:rsid w:val="00CD5666"/>
    <w:rsid w:val="00CF4AC1"/>
    <w:rsid w:val="00D11B8D"/>
    <w:rsid w:val="00D253AB"/>
    <w:rsid w:val="00D72A6D"/>
    <w:rsid w:val="00D84E1E"/>
    <w:rsid w:val="00DC2E5F"/>
    <w:rsid w:val="00DE337D"/>
    <w:rsid w:val="00E05BEC"/>
    <w:rsid w:val="00E06B77"/>
    <w:rsid w:val="00E14998"/>
    <w:rsid w:val="00E31976"/>
    <w:rsid w:val="00E31F16"/>
    <w:rsid w:val="00E47789"/>
    <w:rsid w:val="00E73E42"/>
    <w:rsid w:val="00E91218"/>
    <w:rsid w:val="00E94638"/>
    <w:rsid w:val="00EA43C7"/>
    <w:rsid w:val="00F05FE2"/>
    <w:rsid w:val="00F10A71"/>
    <w:rsid w:val="00F137E5"/>
    <w:rsid w:val="00F34210"/>
    <w:rsid w:val="00F915CD"/>
    <w:rsid w:val="00FA5495"/>
    <w:rsid w:val="00FA7510"/>
    <w:rsid w:val="00FC3B4D"/>
    <w:rsid w:val="00FD54FE"/>
    <w:rsid w:val="00FF6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C457"/>
  <w15:chartTrackingRefBased/>
  <w15:docId w15:val="{01C9B2C4-9F71-465C-B4F0-2A75AF08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styleId="MenoPendente">
    <w:name w:val="Unresolved Mention"/>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41248">
      <w:bodyDiv w:val="1"/>
      <w:marLeft w:val="0"/>
      <w:marRight w:val="0"/>
      <w:marTop w:val="0"/>
      <w:marBottom w:val="0"/>
      <w:divBdr>
        <w:top w:val="none" w:sz="0" w:space="0" w:color="auto"/>
        <w:left w:val="none" w:sz="0" w:space="0" w:color="auto"/>
        <w:bottom w:val="none" w:sz="0" w:space="0" w:color="auto"/>
        <w:right w:val="none" w:sz="0" w:space="0" w:color="auto"/>
      </w:divBdr>
    </w:div>
    <w:div w:id="274795643">
      <w:bodyDiv w:val="1"/>
      <w:marLeft w:val="0"/>
      <w:marRight w:val="0"/>
      <w:marTop w:val="0"/>
      <w:marBottom w:val="0"/>
      <w:divBdr>
        <w:top w:val="none" w:sz="0" w:space="0" w:color="auto"/>
        <w:left w:val="none" w:sz="0" w:space="0" w:color="auto"/>
        <w:bottom w:val="none" w:sz="0" w:space="0" w:color="auto"/>
        <w:right w:val="none" w:sz="0" w:space="0" w:color="auto"/>
      </w:divBdr>
    </w:div>
    <w:div w:id="276134609">
      <w:bodyDiv w:val="1"/>
      <w:marLeft w:val="0"/>
      <w:marRight w:val="0"/>
      <w:marTop w:val="0"/>
      <w:marBottom w:val="0"/>
      <w:divBdr>
        <w:top w:val="none" w:sz="0" w:space="0" w:color="auto"/>
        <w:left w:val="none" w:sz="0" w:space="0" w:color="auto"/>
        <w:bottom w:val="none" w:sz="0" w:space="0" w:color="auto"/>
        <w:right w:val="none" w:sz="0" w:space="0" w:color="auto"/>
      </w:divBdr>
    </w:div>
    <w:div w:id="316879389">
      <w:bodyDiv w:val="1"/>
      <w:marLeft w:val="0"/>
      <w:marRight w:val="0"/>
      <w:marTop w:val="0"/>
      <w:marBottom w:val="0"/>
      <w:divBdr>
        <w:top w:val="none" w:sz="0" w:space="0" w:color="auto"/>
        <w:left w:val="none" w:sz="0" w:space="0" w:color="auto"/>
        <w:bottom w:val="none" w:sz="0" w:space="0" w:color="auto"/>
        <w:right w:val="none" w:sz="0" w:space="0" w:color="auto"/>
      </w:divBdr>
    </w:div>
    <w:div w:id="329331347">
      <w:bodyDiv w:val="1"/>
      <w:marLeft w:val="0"/>
      <w:marRight w:val="0"/>
      <w:marTop w:val="0"/>
      <w:marBottom w:val="0"/>
      <w:divBdr>
        <w:top w:val="none" w:sz="0" w:space="0" w:color="auto"/>
        <w:left w:val="none" w:sz="0" w:space="0" w:color="auto"/>
        <w:bottom w:val="none" w:sz="0" w:space="0" w:color="auto"/>
        <w:right w:val="none" w:sz="0" w:space="0" w:color="auto"/>
      </w:divBdr>
    </w:div>
    <w:div w:id="423695918">
      <w:bodyDiv w:val="1"/>
      <w:marLeft w:val="0"/>
      <w:marRight w:val="0"/>
      <w:marTop w:val="0"/>
      <w:marBottom w:val="0"/>
      <w:divBdr>
        <w:top w:val="none" w:sz="0" w:space="0" w:color="auto"/>
        <w:left w:val="none" w:sz="0" w:space="0" w:color="auto"/>
        <w:bottom w:val="none" w:sz="0" w:space="0" w:color="auto"/>
        <w:right w:val="none" w:sz="0" w:space="0" w:color="auto"/>
      </w:divBdr>
    </w:div>
    <w:div w:id="1176309494">
      <w:bodyDiv w:val="1"/>
      <w:marLeft w:val="0"/>
      <w:marRight w:val="0"/>
      <w:marTop w:val="0"/>
      <w:marBottom w:val="0"/>
      <w:divBdr>
        <w:top w:val="none" w:sz="0" w:space="0" w:color="auto"/>
        <w:left w:val="none" w:sz="0" w:space="0" w:color="auto"/>
        <w:bottom w:val="none" w:sz="0" w:space="0" w:color="auto"/>
        <w:right w:val="none" w:sz="0" w:space="0" w:color="auto"/>
      </w:divBdr>
    </w:div>
    <w:div w:id="1236816036">
      <w:bodyDiv w:val="1"/>
      <w:marLeft w:val="0"/>
      <w:marRight w:val="0"/>
      <w:marTop w:val="0"/>
      <w:marBottom w:val="0"/>
      <w:divBdr>
        <w:top w:val="none" w:sz="0" w:space="0" w:color="auto"/>
        <w:left w:val="none" w:sz="0" w:space="0" w:color="auto"/>
        <w:bottom w:val="none" w:sz="0" w:space="0" w:color="auto"/>
        <w:right w:val="none" w:sz="0" w:space="0" w:color="auto"/>
      </w:divBdr>
    </w:div>
    <w:div w:id="1586375801">
      <w:bodyDiv w:val="1"/>
      <w:marLeft w:val="0"/>
      <w:marRight w:val="0"/>
      <w:marTop w:val="0"/>
      <w:marBottom w:val="0"/>
      <w:divBdr>
        <w:top w:val="none" w:sz="0" w:space="0" w:color="auto"/>
        <w:left w:val="none" w:sz="0" w:space="0" w:color="auto"/>
        <w:bottom w:val="none" w:sz="0" w:space="0" w:color="auto"/>
        <w:right w:val="none" w:sz="0" w:space="0" w:color="auto"/>
      </w:divBdr>
    </w:div>
    <w:div w:id="1654483044">
      <w:bodyDiv w:val="1"/>
      <w:marLeft w:val="0"/>
      <w:marRight w:val="0"/>
      <w:marTop w:val="0"/>
      <w:marBottom w:val="0"/>
      <w:divBdr>
        <w:top w:val="none" w:sz="0" w:space="0" w:color="auto"/>
        <w:left w:val="none" w:sz="0" w:space="0" w:color="auto"/>
        <w:bottom w:val="none" w:sz="0" w:space="0" w:color="auto"/>
        <w:right w:val="none" w:sz="0" w:space="0" w:color="auto"/>
      </w:divBdr>
    </w:div>
    <w:div w:id="1983802081">
      <w:bodyDiv w:val="1"/>
      <w:marLeft w:val="0"/>
      <w:marRight w:val="0"/>
      <w:marTop w:val="0"/>
      <w:marBottom w:val="0"/>
      <w:divBdr>
        <w:top w:val="none" w:sz="0" w:space="0" w:color="auto"/>
        <w:left w:val="none" w:sz="0" w:space="0" w:color="auto"/>
        <w:bottom w:val="none" w:sz="0" w:space="0" w:color="auto"/>
        <w:right w:val="none" w:sz="0" w:space="0" w:color="auto"/>
      </w:divBdr>
    </w:div>
    <w:div w:id="2056274464">
      <w:bodyDiv w:val="1"/>
      <w:marLeft w:val="0"/>
      <w:marRight w:val="0"/>
      <w:marTop w:val="0"/>
      <w:marBottom w:val="0"/>
      <w:divBdr>
        <w:top w:val="none" w:sz="0" w:space="0" w:color="auto"/>
        <w:left w:val="none" w:sz="0" w:space="0" w:color="auto"/>
        <w:bottom w:val="none" w:sz="0" w:space="0" w:color="auto"/>
        <w:right w:val="none" w:sz="0" w:space="0" w:color="auto"/>
      </w:divBdr>
    </w:div>
    <w:div w:id="21006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95/idonline.v11i38.969" TargetMode="External"/><Relationship Id="rId13" Type="http://schemas.openxmlformats.org/officeDocument/2006/relationships/hyperlink" Target="https://tdah.org.br/sobre-tdah/o-que-e-tdah/"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ycialeite@gmail.com" TargetMode="External"/><Relationship Id="rId12" Type="http://schemas.openxmlformats.org/officeDocument/2006/relationships/hyperlink" Target="https://www.ieshalomead.com.br/pluginfile.php/201/mod_glossary/attachment/2/BrunnerSuddarth%202016%201.pdf" TargetMode="External"/><Relationship Id="rId17" Type="http://schemas.openxmlformats.org/officeDocument/2006/relationships/hyperlink" Target="https://pubmed.ncbi.nlm.nih.gov/19084757/" TargetMode="External"/><Relationship Id="rId2" Type="http://schemas.openxmlformats.org/officeDocument/2006/relationships/styles" Target="styles.xml"/><Relationship Id="rId16" Type="http://schemas.openxmlformats.org/officeDocument/2006/relationships/hyperlink" Target="https://www.teses.usp.br/teses/disponiveis/22/22131/tde-09082005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enepirio.com.br/wordpress/ler/guia-para-pais/" TargetMode="External"/><Relationship Id="rId5" Type="http://schemas.openxmlformats.org/officeDocument/2006/relationships/footnotes" Target="footnotes.xml"/><Relationship Id="rId15" Type="http://schemas.openxmlformats.org/officeDocument/2006/relationships/hyperlink" Target="https://www.paho.org/bra/index.php?option=com_content&amp;view=article&amp;id=5652:folha-informativa-transtornos-mentais&amp;Itemid=839" TargetMode="External"/><Relationship Id="rId10" Type="http://schemas.openxmlformats.org/officeDocument/2006/relationships/hyperlink" Target="https://scielo.isciii.es/scielo.php?script=sci_arttext&amp;pid=S1139-763220120002000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itutoeficaz.com.br/revistacientifica/wp-content/.../2011.pdf" TargetMode="External"/><Relationship Id="rId14" Type="http://schemas.openxmlformats.org/officeDocument/2006/relationships/hyperlink" Target="https://www.saud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1839</Words>
  <Characters>9935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dc:description/>
  <cp:lastModifiedBy>silva</cp:lastModifiedBy>
  <cp:revision>8</cp:revision>
  <dcterms:created xsi:type="dcterms:W3CDTF">2024-10-03T01:43:00Z</dcterms:created>
  <dcterms:modified xsi:type="dcterms:W3CDTF">2024-10-11T16:49:00Z</dcterms:modified>
</cp:coreProperties>
</file>