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D6F62" w14:textId="77777777" w:rsidR="00820D0F" w:rsidRPr="00DD6AA8" w:rsidRDefault="00C20A43">
      <w:pPr>
        <w:pStyle w:val="Ttulo"/>
      </w:pPr>
      <w:r w:rsidRPr="00DD6AA8">
        <w:t>Polyacrylamide-pectin cryogel: adsorption of human immunoglobulin G in metal chelate</w:t>
      </w:r>
    </w:p>
    <w:p w14:paraId="3716C956" w14:textId="77777777" w:rsidR="00820D0F" w:rsidRPr="00DD6AA8" w:rsidRDefault="00820D0F" w:rsidP="00C63851">
      <w:pPr>
        <w:pStyle w:val="Corpodetexto"/>
      </w:pPr>
    </w:p>
    <w:p w14:paraId="0036ADB4" w14:textId="77777777" w:rsidR="00820D0F" w:rsidRPr="00DD6AA8" w:rsidRDefault="00C20A43">
      <w:pPr>
        <w:ind w:left="1" w:right="23"/>
        <w:jc w:val="center"/>
        <w:rPr>
          <w:sz w:val="26"/>
          <w:lang w:val="pt-BR"/>
        </w:rPr>
      </w:pPr>
      <w:r w:rsidRPr="00DD6AA8">
        <w:rPr>
          <w:sz w:val="26"/>
          <w:lang w:val="pt-BR"/>
        </w:rPr>
        <w:t>Giovanna Giatti</w:t>
      </w:r>
      <w:r w:rsidRPr="00DD6AA8">
        <w:rPr>
          <w:sz w:val="26"/>
          <w:vertAlign w:val="superscript"/>
          <w:lang w:val="pt-BR"/>
        </w:rPr>
        <w:t>a</w:t>
      </w:r>
      <w:r w:rsidRPr="00DD6AA8">
        <w:rPr>
          <w:sz w:val="26"/>
          <w:lang w:val="pt-BR"/>
        </w:rPr>
        <w:t>,</w:t>
      </w:r>
      <w:r w:rsidRPr="00DD6AA8">
        <w:rPr>
          <w:spacing w:val="-7"/>
          <w:sz w:val="26"/>
          <w:lang w:val="pt-BR"/>
        </w:rPr>
        <w:t xml:space="preserve"> </w:t>
      </w:r>
      <w:r w:rsidRPr="00DD6AA8">
        <w:rPr>
          <w:sz w:val="26"/>
          <w:lang w:val="pt-BR"/>
        </w:rPr>
        <w:t>Sônia M. A. Bueno</w:t>
      </w:r>
      <w:r w:rsidRPr="00DD6AA8">
        <w:rPr>
          <w:sz w:val="26"/>
          <w:vertAlign w:val="superscript"/>
          <w:lang w:val="pt-BR"/>
        </w:rPr>
        <w:t>a</w:t>
      </w:r>
      <w:r w:rsidRPr="00DD6AA8">
        <w:rPr>
          <w:spacing w:val="-2"/>
          <w:sz w:val="26"/>
          <w:vertAlign w:val="superscript"/>
          <w:lang w:val="pt-BR"/>
        </w:rPr>
        <w:t>*</w:t>
      </w:r>
    </w:p>
    <w:p w14:paraId="4CB2947A" w14:textId="77777777" w:rsidR="00C20A43" w:rsidRPr="00DD6AA8" w:rsidRDefault="008671A3" w:rsidP="00C20A43">
      <w:pPr>
        <w:spacing w:before="151" w:line="206" w:lineRule="exact"/>
        <w:ind w:left="6" w:right="23"/>
        <w:jc w:val="center"/>
        <w:rPr>
          <w:i/>
          <w:sz w:val="18"/>
        </w:rPr>
      </w:pPr>
      <w:r w:rsidRPr="00DD6AA8">
        <w:rPr>
          <w:i/>
          <w:position w:val="6"/>
          <w:sz w:val="12"/>
        </w:rPr>
        <w:t>a</w:t>
      </w:r>
      <w:r w:rsidR="00C20A43" w:rsidRPr="00DD6AA8">
        <w:rPr>
          <w:i/>
          <w:sz w:val="18"/>
        </w:rPr>
        <w:t>School of Chemical Engineering, Universidade Estadual de Campinas, UNICAMP</w:t>
      </w:r>
      <w:r w:rsidRPr="00DD6AA8">
        <w:rPr>
          <w:i/>
          <w:sz w:val="18"/>
        </w:rPr>
        <w:t>,</w:t>
      </w:r>
      <w:r w:rsidRPr="00DD6AA8">
        <w:rPr>
          <w:i/>
          <w:spacing w:val="-2"/>
          <w:sz w:val="18"/>
        </w:rPr>
        <w:t xml:space="preserve"> </w:t>
      </w:r>
      <w:r w:rsidRPr="00DD6AA8">
        <w:rPr>
          <w:i/>
          <w:sz w:val="18"/>
        </w:rPr>
        <w:t>C</w:t>
      </w:r>
      <w:r w:rsidR="00C20A43" w:rsidRPr="00DD6AA8">
        <w:rPr>
          <w:i/>
          <w:sz w:val="18"/>
        </w:rPr>
        <w:t>ampinas, Brazil</w:t>
      </w:r>
    </w:p>
    <w:p w14:paraId="79F6EE1A" w14:textId="77777777" w:rsidR="00820D0F" w:rsidRPr="00DD6AA8" w:rsidRDefault="00C20A43" w:rsidP="00C20A43">
      <w:pPr>
        <w:spacing w:before="151" w:line="206" w:lineRule="exact"/>
        <w:ind w:left="6" w:right="23"/>
        <w:jc w:val="center"/>
        <w:rPr>
          <w:i/>
          <w:sz w:val="18"/>
        </w:rPr>
      </w:pPr>
      <w:r w:rsidRPr="00DD6AA8">
        <w:rPr>
          <w:i/>
          <w:spacing w:val="13"/>
          <w:position w:val="6"/>
          <w:sz w:val="12"/>
        </w:rPr>
        <w:t>*</w:t>
      </w:r>
      <w:r w:rsidRPr="00DD6AA8">
        <w:rPr>
          <w:i/>
          <w:sz w:val="18"/>
        </w:rPr>
        <w:t>Corresponding author’s email address: alves@unicamp.br</w:t>
      </w:r>
    </w:p>
    <w:p w14:paraId="1119453F" w14:textId="77777777" w:rsidR="00A417EB" w:rsidRPr="00DD6AA8" w:rsidRDefault="00AA1104" w:rsidP="00C3689F">
      <w:pPr>
        <w:pStyle w:val="Corpodetexto"/>
        <w:ind w:firstLine="0"/>
      </w:pPr>
      <w:r w:rsidRPr="00DD6AA8">
        <w:t>_________________________________________________________________________________________</w:t>
      </w:r>
    </w:p>
    <w:p w14:paraId="118247A6" w14:textId="77777777" w:rsidR="00820D0F" w:rsidRPr="00DD6AA8" w:rsidRDefault="00A417EB" w:rsidP="00FD4C64">
      <w:pPr>
        <w:pStyle w:val="Corpodetexto"/>
        <w:ind w:firstLine="0"/>
        <w:rPr>
          <w:b/>
          <w:bCs/>
        </w:rPr>
      </w:pPr>
      <w:r w:rsidRPr="00DD6AA8">
        <w:rPr>
          <w:b/>
          <w:bCs/>
        </w:rPr>
        <w:t>Abstract</w:t>
      </w:r>
    </w:p>
    <w:p w14:paraId="4E0362E7" w14:textId="77777777" w:rsidR="00820D0F" w:rsidRPr="00DD6AA8" w:rsidRDefault="003F163E" w:rsidP="00C3689F">
      <w:pPr>
        <w:spacing w:before="207"/>
        <w:jc w:val="both"/>
        <w:rPr>
          <w:sz w:val="20"/>
        </w:rPr>
      </w:pPr>
      <w:r w:rsidRPr="00DD6AA8">
        <w:rPr>
          <w:rFonts w:eastAsia="SimSun"/>
          <w:sz w:val="20"/>
          <w:szCs w:val="20"/>
        </w:rPr>
        <w:t xml:space="preserve">Polyacrylamide-pectin (pAAm-pec) and polyacrylamide-pectin-iminodiacetic acid (pAAm-pec-IDA) monoliths synthesized by cryogelation technique were used as stationary phase in chromatography to adsorb human immunoglobulin G (hIgG). The cryogels pAAm-pec-IDA chelated with copper, nickel, and cobalt metal ions exhibit ideal characteristics for use in immobilized metal-ion affinity chromatography (IMAC), such as a porosity of 65-75% and a pore size ranging from 20 to 100 </w:t>
      </w:r>
      <w:r w:rsidRPr="00DD6AA8">
        <w:rPr>
          <w:sz w:val="20"/>
          <w:szCs w:val="20"/>
        </w:rPr>
        <w:t>µm. They also supported flow rates of up to 4 mL/min in a column 1.0 cm of internal diameter. The adsorption of hIgG on cryogels was dependent on the buffer system and pH. The highest amount of adsorbed hIgG was observed in MOPS buffer pH 6.5, resulting in 87%, 90%, and 77% hIgG fed on pAAm-pec-IDA-Co(II), pAAm-pec-IDA-Cu(II), and pAAm-pec-IDA-Ni(II), respectively. Elution was carried out under mild conditions, with the addition of 100 mmol/L imidazole to the adsorption buffer. The pAAm-pec-IDA-Me(II) cryogels have the potential for adsorbing and purifying IgG from human serum</w:t>
      </w:r>
      <w:r w:rsidRPr="00DD6AA8">
        <w:rPr>
          <w:spacing w:val="-2"/>
          <w:sz w:val="20"/>
        </w:rPr>
        <w:t>.</w:t>
      </w:r>
    </w:p>
    <w:p w14:paraId="72F60936" w14:textId="77777777" w:rsidR="00820D0F" w:rsidRPr="00DD6AA8" w:rsidRDefault="00820D0F" w:rsidP="00C63851">
      <w:pPr>
        <w:pStyle w:val="Corpodetexto"/>
      </w:pPr>
    </w:p>
    <w:p w14:paraId="63CC5FE4" w14:textId="77777777" w:rsidR="00D35FA3" w:rsidRPr="00DD6AA8" w:rsidRDefault="008671A3" w:rsidP="00C3689F">
      <w:pPr>
        <w:rPr>
          <w:sz w:val="20"/>
        </w:rPr>
      </w:pPr>
      <w:r w:rsidRPr="00DD6AA8">
        <w:rPr>
          <w:i/>
          <w:sz w:val="20"/>
        </w:rPr>
        <w:t>Keywords</w:t>
      </w:r>
      <w:r w:rsidRPr="00DD6AA8">
        <w:rPr>
          <w:iCs/>
          <w:sz w:val="20"/>
        </w:rPr>
        <w:t>:</w:t>
      </w:r>
      <w:r w:rsidRPr="00DD6AA8">
        <w:rPr>
          <w:iCs/>
          <w:spacing w:val="-4"/>
          <w:sz w:val="20"/>
        </w:rPr>
        <w:t xml:space="preserve"> </w:t>
      </w:r>
      <w:r w:rsidR="003F163E" w:rsidRPr="00DD6AA8">
        <w:rPr>
          <w:sz w:val="20"/>
        </w:rPr>
        <w:t>Cryogel; IMAC; hIgG; Purification; Adsorption</w:t>
      </w:r>
    </w:p>
    <w:p w14:paraId="328790A9" w14:textId="77777777" w:rsidR="00AA1104" w:rsidRPr="00DD6AA8" w:rsidRDefault="00AA1104" w:rsidP="00C3689F">
      <w:pPr>
        <w:sectPr w:rsidR="00AA1104" w:rsidRPr="00DD6AA8" w:rsidSect="00AA1104">
          <w:headerReference w:type="default" r:id="rId8"/>
          <w:type w:val="continuous"/>
          <w:pgSz w:w="11910" w:h="16840"/>
          <w:pgMar w:top="3000" w:right="980" w:bottom="280" w:left="1000" w:header="569" w:footer="0" w:gutter="0"/>
          <w:cols w:space="393"/>
        </w:sectPr>
      </w:pPr>
      <w:r w:rsidRPr="00DD6AA8">
        <w:t>_________________</w:t>
      </w:r>
      <w:r w:rsidR="00D35FA3" w:rsidRPr="00DD6AA8">
        <w:t>_______</w:t>
      </w:r>
      <w:r w:rsidRPr="00DD6AA8">
        <w:t>________________________</w:t>
      </w:r>
      <w:r w:rsidR="00C3689F" w:rsidRPr="00DD6AA8">
        <w:t>_</w:t>
      </w:r>
      <w:r w:rsidRPr="00DD6AA8">
        <w:t>_________________________________________</w:t>
      </w:r>
    </w:p>
    <w:p w14:paraId="15C56D47" w14:textId="77777777" w:rsidR="003F163E" w:rsidRPr="00DD6AA8" w:rsidRDefault="008671A3" w:rsidP="00023068">
      <w:pPr>
        <w:pStyle w:val="Ttulo1"/>
        <w:spacing w:before="240"/>
        <w:ind w:left="0"/>
      </w:pPr>
      <w:r w:rsidRPr="00DD6AA8">
        <w:t xml:space="preserve">1. </w:t>
      </w:r>
      <w:r w:rsidR="003F163E" w:rsidRPr="00DD6AA8">
        <w:t>Introduction</w:t>
      </w:r>
    </w:p>
    <w:p w14:paraId="51FDF404" w14:textId="77777777" w:rsidR="00C63851" w:rsidRPr="00DD6AA8" w:rsidRDefault="003F163E" w:rsidP="00C63851">
      <w:pPr>
        <w:pStyle w:val="Corpodetexto"/>
      </w:pPr>
      <w:r w:rsidRPr="00DD6AA8">
        <w:t xml:space="preserve">Adsorption chromatography is a widely used technique for protein purification, in which traditional polysaccharide gels or synthetic polymers are commonly used as stationary phase. </w:t>
      </w:r>
      <w:r w:rsidR="00AA40EA" w:rsidRPr="00DD6AA8">
        <w:t>T</w:t>
      </w:r>
      <w:r w:rsidRPr="00DD6AA8">
        <w:t>hese traditional gels</w:t>
      </w:r>
      <w:r w:rsidR="00AA40EA" w:rsidRPr="00DD6AA8">
        <w:t>, however,</w:t>
      </w:r>
      <w:r w:rsidRPr="00DD6AA8">
        <w:t xml:space="preserve"> </w:t>
      </w:r>
      <w:r w:rsidR="00AA40EA" w:rsidRPr="00DD6AA8">
        <w:t>may</w:t>
      </w:r>
      <w:r w:rsidRPr="00DD6AA8">
        <w:t xml:space="preserve"> exhibit preferential pathways and slow diffusional mass transfer</w:t>
      </w:r>
      <w:r w:rsidR="00651439" w:rsidRPr="00DD6AA8">
        <w:rPr>
          <w:vertAlign w:val="superscript"/>
        </w:rPr>
        <w:t xml:space="preserve"> </w:t>
      </w:r>
      <w:r w:rsidR="00651439" w:rsidRPr="00DD6AA8">
        <w:t>[1]</w:t>
      </w:r>
      <w:r w:rsidRPr="00DD6AA8">
        <w:t xml:space="preserve">. </w:t>
      </w:r>
      <w:r w:rsidR="00AA40EA" w:rsidRPr="00DD6AA8">
        <w:t>To</w:t>
      </w:r>
      <w:r w:rsidRPr="00DD6AA8">
        <w:t xml:space="preserve"> </w:t>
      </w:r>
      <w:r w:rsidR="00AA40EA" w:rsidRPr="00DD6AA8">
        <w:t>get over</w:t>
      </w:r>
      <w:r w:rsidRPr="00DD6AA8">
        <w:t xml:space="preserve"> these issues, continuous blocks with a porous solid structure (</w:t>
      </w:r>
      <w:r w:rsidR="00AA40EA" w:rsidRPr="00DD6AA8">
        <w:t xml:space="preserve">known as </w:t>
      </w:r>
      <w:r w:rsidRPr="00DD6AA8">
        <w:t xml:space="preserve">monoliths) were proposed as chromatographic stationary phase for </w:t>
      </w:r>
      <w:r w:rsidR="00AA40EA" w:rsidRPr="00DD6AA8">
        <w:t xml:space="preserve">the </w:t>
      </w:r>
      <w:r w:rsidRPr="00DD6AA8">
        <w:t>biomolecule purification. Monoliths minimize the</w:t>
      </w:r>
      <w:r w:rsidR="00AA40EA" w:rsidRPr="00DD6AA8">
        <w:t xml:space="preserve"> aforementioned</w:t>
      </w:r>
      <w:r w:rsidRPr="00DD6AA8">
        <w:t xml:space="preserve"> </w:t>
      </w:r>
      <w:r w:rsidR="00AA40EA" w:rsidRPr="00DD6AA8">
        <w:t>issues</w:t>
      </w:r>
      <w:r w:rsidRPr="00DD6AA8">
        <w:t xml:space="preserve"> associated with fixed bed chromatography</w:t>
      </w:r>
      <w:r w:rsidR="005511CB" w:rsidRPr="00DD6AA8">
        <w:t xml:space="preserve"> [2]</w:t>
      </w:r>
      <w:r w:rsidRPr="00DD6AA8">
        <w:t>. The highly porous structure of monoliths provides low resistance to fluid flow due to the interconnection of its pores and channels</w:t>
      </w:r>
      <w:r w:rsidR="00AA40EA" w:rsidRPr="00DD6AA8">
        <w:t>. Moreover,</w:t>
      </w:r>
      <w:r w:rsidRPr="00DD6AA8">
        <w:t xml:space="preserve"> high flow rates can be achieved with moderate pressures due to negligible diffusion within the pores. </w:t>
      </w:r>
      <w:r w:rsidR="00243034" w:rsidRPr="00DD6AA8">
        <w:t>Depending on the purpose, m</w:t>
      </w:r>
      <w:r w:rsidRPr="00DD6AA8">
        <w:t xml:space="preserve">onoliths can be synthesized using </w:t>
      </w:r>
      <w:r w:rsidR="00243034" w:rsidRPr="00DD6AA8">
        <w:t xml:space="preserve">a variety of </w:t>
      </w:r>
      <w:r w:rsidRPr="00DD6AA8">
        <w:t>synthetic and natural polymers</w:t>
      </w:r>
      <w:r w:rsidR="00243034" w:rsidRPr="00DD6AA8">
        <w:t xml:space="preserve">, including </w:t>
      </w:r>
      <w:r w:rsidRPr="00DD6AA8">
        <w:t>acrylamide, methacrylate, chitosan, alginate or pecti</w:t>
      </w:r>
      <w:r w:rsidR="00243034" w:rsidRPr="00DD6AA8">
        <w:t>n [</w:t>
      </w:r>
      <w:r w:rsidR="005511CB" w:rsidRPr="00DD6AA8">
        <w:t>2]</w:t>
      </w:r>
      <w:r w:rsidRPr="00DD6AA8">
        <w:t>.</w:t>
      </w:r>
    </w:p>
    <w:p w14:paraId="16871246" w14:textId="77777777" w:rsidR="00C63851" w:rsidRPr="00DD6AA8" w:rsidRDefault="003F163E" w:rsidP="00C63851">
      <w:pPr>
        <w:pStyle w:val="Corpodetexto"/>
        <w:spacing w:before="0"/>
      </w:pPr>
      <w:r w:rsidRPr="00DD6AA8">
        <w:t xml:space="preserve">When the hydrogel is synthesized at temperatures below the freezing point of water (-20 to -5ºC), they </w:t>
      </w:r>
    </w:p>
    <w:p w14:paraId="56D4D295" w14:textId="77777777" w:rsidR="00C63851" w:rsidRPr="00DD6AA8" w:rsidRDefault="00C63851" w:rsidP="00C63851">
      <w:pPr>
        <w:jc w:val="both"/>
        <w:rPr>
          <w:rFonts w:eastAsia="SimSun"/>
          <w:szCs w:val="20"/>
        </w:rPr>
      </w:pPr>
    </w:p>
    <w:p w14:paraId="3D9F7F16" w14:textId="77777777" w:rsidR="00C3689F" w:rsidRPr="00DD6AA8" w:rsidRDefault="00C3689F" w:rsidP="00C63851">
      <w:pPr>
        <w:jc w:val="both"/>
        <w:rPr>
          <w:rFonts w:eastAsia="SimSun"/>
          <w:szCs w:val="20"/>
        </w:rPr>
      </w:pPr>
    </w:p>
    <w:p w14:paraId="2ADB4A7B" w14:textId="77777777" w:rsidR="008A28E5" w:rsidRPr="00DD6AA8" w:rsidRDefault="003F163E" w:rsidP="00CC449E">
      <w:pPr>
        <w:jc w:val="both"/>
        <w:rPr>
          <w:rFonts w:eastAsia="SimSun"/>
          <w:szCs w:val="20"/>
        </w:rPr>
      </w:pPr>
      <w:r w:rsidRPr="00DD6AA8">
        <w:rPr>
          <w:rFonts w:eastAsia="SimSun"/>
          <w:szCs w:val="20"/>
        </w:rPr>
        <w:t xml:space="preserve">are called cryogels. </w:t>
      </w:r>
      <w:r w:rsidR="00CC449E" w:rsidRPr="00DD6AA8">
        <w:rPr>
          <w:rFonts w:eastAsia="SimSun"/>
          <w:szCs w:val="20"/>
        </w:rPr>
        <w:t>Because of their porous structure, c</w:t>
      </w:r>
      <w:r w:rsidRPr="00DD6AA8">
        <w:rPr>
          <w:rFonts w:eastAsia="SimSun"/>
          <w:szCs w:val="20"/>
        </w:rPr>
        <w:t>ryogels can be</w:t>
      </w:r>
      <w:r w:rsidR="00CC449E" w:rsidRPr="00DD6AA8">
        <w:rPr>
          <w:rFonts w:eastAsia="SimSun"/>
          <w:szCs w:val="20"/>
        </w:rPr>
        <w:t xml:space="preserve"> repeatedly</w:t>
      </w:r>
      <w:r w:rsidRPr="00DD6AA8">
        <w:rPr>
          <w:rFonts w:eastAsia="SimSun"/>
          <w:szCs w:val="20"/>
        </w:rPr>
        <w:t xml:space="preserve"> compressed to 50% of their initial volume without </w:t>
      </w:r>
      <w:r w:rsidR="00863C97" w:rsidRPr="00DD6AA8">
        <w:rPr>
          <w:rFonts w:eastAsia="SimSun"/>
          <w:szCs w:val="20"/>
        </w:rPr>
        <w:t>caus</w:t>
      </w:r>
      <w:r w:rsidRPr="00DD6AA8">
        <w:rPr>
          <w:rFonts w:eastAsia="SimSun"/>
          <w:szCs w:val="20"/>
        </w:rPr>
        <w:t>ing pore structure</w:t>
      </w:r>
      <w:r w:rsidR="00863C97" w:rsidRPr="00DD6AA8">
        <w:rPr>
          <w:rFonts w:eastAsia="SimSun"/>
          <w:szCs w:val="20"/>
        </w:rPr>
        <w:t xml:space="preserve"> damage</w:t>
      </w:r>
      <w:r w:rsidR="005511CB" w:rsidRPr="00DD6AA8">
        <w:rPr>
          <w:rFonts w:eastAsia="SimSun"/>
          <w:szCs w:val="20"/>
          <w:vertAlign w:val="superscript"/>
        </w:rPr>
        <w:t xml:space="preserve"> </w:t>
      </w:r>
      <w:r w:rsidR="005511CB" w:rsidRPr="00DD6AA8">
        <w:rPr>
          <w:rFonts w:eastAsia="SimSun"/>
          <w:szCs w:val="20"/>
        </w:rPr>
        <w:t>[3]</w:t>
      </w:r>
      <w:r w:rsidRPr="00DD6AA8">
        <w:rPr>
          <w:rFonts w:eastAsia="SimSun"/>
          <w:szCs w:val="20"/>
        </w:rPr>
        <w:t xml:space="preserve">. </w:t>
      </w:r>
      <w:r w:rsidR="00863C97" w:rsidRPr="00DD6AA8">
        <w:rPr>
          <w:rFonts w:eastAsia="SimSun"/>
          <w:szCs w:val="20"/>
        </w:rPr>
        <w:t>For the cryogel to</w:t>
      </w:r>
      <w:r w:rsidRPr="00DD6AA8">
        <w:rPr>
          <w:rFonts w:eastAsia="SimSun"/>
          <w:szCs w:val="20"/>
        </w:rPr>
        <w:t xml:space="preserve"> be u</w:t>
      </w:r>
      <w:r w:rsidR="00863C97" w:rsidRPr="00DD6AA8">
        <w:rPr>
          <w:rFonts w:eastAsia="SimSun"/>
          <w:szCs w:val="20"/>
        </w:rPr>
        <w:t>tiliz</w:t>
      </w:r>
      <w:r w:rsidRPr="00DD6AA8">
        <w:rPr>
          <w:rFonts w:eastAsia="SimSun"/>
          <w:szCs w:val="20"/>
        </w:rPr>
        <w:t xml:space="preserve">ed in the chromatography, </w:t>
      </w:r>
      <w:r w:rsidR="00863C97" w:rsidRPr="00DD6AA8">
        <w:rPr>
          <w:rFonts w:eastAsia="SimSun"/>
          <w:szCs w:val="20"/>
        </w:rPr>
        <w:t>it</w:t>
      </w:r>
      <w:r w:rsidRPr="00DD6AA8">
        <w:rPr>
          <w:rFonts w:eastAsia="SimSun"/>
          <w:szCs w:val="20"/>
        </w:rPr>
        <w:t xml:space="preserve"> must be</w:t>
      </w:r>
      <w:r w:rsidR="00863C97" w:rsidRPr="00DD6AA8">
        <w:rPr>
          <w:rFonts w:eastAsia="SimSun"/>
          <w:szCs w:val="20"/>
        </w:rPr>
        <w:t xml:space="preserve"> porous,</w:t>
      </w:r>
      <w:r w:rsidRPr="00DD6AA8">
        <w:rPr>
          <w:rFonts w:eastAsia="SimSun"/>
          <w:szCs w:val="20"/>
        </w:rPr>
        <w:t xml:space="preserve"> hydrophilic</w:t>
      </w:r>
      <w:r w:rsidR="00863C97" w:rsidRPr="00DD6AA8">
        <w:rPr>
          <w:rFonts w:eastAsia="SimSun"/>
          <w:szCs w:val="20"/>
        </w:rPr>
        <w:t xml:space="preserve"> and resistant to</w:t>
      </w:r>
      <w:r w:rsidRPr="00DD6AA8">
        <w:rPr>
          <w:rFonts w:eastAsia="SimSun"/>
          <w:szCs w:val="20"/>
        </w:rPr>
        <w:t xml:space="preserve"> flow. </w:t>
      </w:r>
      <w:r w:rsidR="00863C97" w:rsidRPr="00DD6AA8">
        <w:rPr>
          <w:rFonts w:eastAsia="SimSun"/>
          <w:szCs w:val="20"/>
        </w:rPr>
        <w:t>C</w:t>
      </w:r>
      <w:r w:rsidRPr="00DD6AA8">
        <w:rPr>
          <w:rFonts w:eastAsia="SimSun"/>
          <w:szCs w:val="20"/>
        </w:rPr>
        <w:t>ryogels can</w:t>
      </w:r>
      <w:r w:rsidR="00863C97" w:rsidRPr="00DD6AA8">
        <w:rPr>
          <w:rFonts w:eastAsia="SimSun"/>
          <w:szCs w:val="20"/>
        </w:rPr>
        <w:t xml:space="preserve"> therefore</w:t>
      </w:r>
      <w:r w:rsidRPr="00DD6AA8">
        <w:rPr>
          <w:rFonts w:eastAsia="SimSun"/>
          <w:szCs w:val="20"/>
        </w:rPr>
        <w:t xml:space="preserve"> be made using only synthetic monomers, </w:t>
      </w:r>
      <w:r w:rsidR="00863C97" w:rsidRPr="00DD6AA8">
        <w:rPr>
          <w:rFonts w:eastAsia="SimSun"/>
          <w:szCs w:val="20"/>
        </w:rPr>
        <w:t>like</w:t>
      </w:r>
      <w:r w:rsidRPr="00DD6AA8">
        <w:rPr>
          <w:rFonts w:eastAsia="SimSun"/>
          <w:szCs w:val="20"/>
        </w:rPr>
        <w:t xml:space="preserve"> acrylamide and methacrylate, or </w:t>
      </w:r>
      <w:r w:rsidR="00863C97" w:rsidRPr="00DD6AA8">
        <w:rPr>
          <w:rFonts w:eastAsia="SimSun"/>
          <w:szCs w:val="20"/>
        </w:rPr>
        <w:t>hybrid cryogels can be created by mixing them with polysaccharides, like</w:t>
      </w:r>
      <w:r w:rsidRPr="00DD6AA8">
        <w:rPr>
          <w:rFonts w:eastAsia="SimSun"/>
          <w:szCs w:val="20"/>
        </w:rPr>
        <w:t xml:space="preserve"> chitosan and alginate</w:t>
      </w:r>
      <w:r w:rsidR="00863C97" w:rsidRPr="00DD6AA8">
        <w:rPr>
          <w:rFonts w:eastAsia="SimSun"/>
          <w:szCs w:val="20"/>
        </w:rPr>
        <w:t xml:space="preserve"> </w:t>
      </w:r>
      <w:r w:rsidR="005511CB" w:rsidRPr="00DD6AA8">
        <w:rPr>
          <w:rFonts w:eastAsia="SimSun"/>
          <w:szCs w:val="20"/>
        </w:rPr>
        <w:t>[4,5,6]</w:t>
      </w:r>
      <w:r w:rsidRPr="00DD6AA8">
        <w:rPr>
          <w:rFonts w:eastAsia="SimSun"/>
          <w:szCs w:val="20"/>
        </w:rPr>
        <w:t>. Pectin is a polysaccharide that has not been extensively studied; it is obtained from renewable, sustainable, and low-cost sources, and is widely used in food engineering</w:t>
      </w:r>
      <w:r w:rsidR="00863C97" w:rsidRPr="00DD6AA8">
        <w:rPr>
          <w:rFonts w:eastAsia="SimSun"/>
          <w:szCs w:val="20"/>
        </w:rPr>
        <w:t xml:space="preserve"> as a gelling agent</w:t>
      </w:r>
      <w:r w:rsidRPr="00DD6AA8">
        <w:rPr>
          <w:rFonts w:eastAsia="SimSun"/>
          <w:szCs w:val="20"/>
        </w:rPr>
        <w:t>.</w:t>
      </w:r>
    </w:p>
    <w:p w14:paraId="39C52235" w14:textId="77777777" w:rsidR="0041214A" w:rsidRPr="00DD6AA8" w:rsidRDefault="008A28E5" w:rsidP="00003ADD">
      <w:pPr>
        <w:spacing w:line="240" w:lineRule="exact"/>
        <w:ind w:firstLine="284"/>
        <w:jc w:val="both"/>
        <w:rPr>
          <w:rFonts w:eastAsia="SimSun"/>
          <w:szCs w:val="20"/>
        </w:rPr>
      </w:pPr>
      <w:r w:rsidRPr="00DD6AA8">
        <w:rPr>
          <w:rFonts w:eastAsia="SimSun"/>
          <w:szCs w:val="20"/>
        </w:rPr>
        <w:t>T</w:t>
      </w:r>
      <w:r w:rsidR="003F163E" w:rsidRPr="00DD6AA8">
        <w:rPr>
          <w:rFonts w:eastAsia="SimSun"/>
          <w:szCs w:val="20"/>
        </w:rPr>
        <w:t xml:space="preserve">he present study explores the </w:t>
      </w:r>
      <w:r w:rsidR="00863C97" w:rsidRPr="00DD6AA8">
        <w:rPr>
          <w:rFonts w:eastAsia="SimSun"/>
          <w:szCs w:val="20"/>
        </w:rPr>
        <w:t>v</w:t>
      </w:r>
      <w:r w:rsidR="003F163E" w:rsidRPr="00DD6AA8">
        <w:rPr>
          <w:rFonts w:eastAsia="SimSun"/>
          <w:szCs w:val="20"/>
        </w:rPr>
        <w:t>i</w:t>
      </w:r>
      <w:r w:rsidR="00863C97" w:rsidRPr="00DD6AA8">
        <w:rPr>
          <w:rFonts w:eastAsia="SimSun"/>
          <w:szCs w:val="20"/>
        </w:rPr>
        <w:t>a</w:t>
      </w:r>
      <w:r w:rsidR="003F163E" w:rsidRPr="00DD6AA8">
        <w:rPr>
          <w:rFonts w:eastAsia="SimSun"/>
          <w:szCs w:val="20"/>
        </w:rPr>
        <w:t xml:space="preserve">bility of </w:t>
      </w:r>
      <w:r w:rsidR="00863C97" w:rsidRPr="00DD6AA8">
        <w:rPr>
          <w:rFonts w:eastAsia="SimSun"/>
          <w:szCs w:val="20"/>
        </w:rPr>
        <w:t>employi</w:t>
      </w:r>
      <w:r w:rsidR="003F163E" w:rsidRPr="00DD6AA8">
        <w:rPr>
          <w:rFonts w:eastAsia="SimSun"/>
          <w:szCs w:val="20"/>
        </w:rPr>
        <w:t xml:space="preserve">ng polyacrylamide-pectin cryogel (pAAm-pec) as the stationary phase in immobilized metal-ion affinity chromatography (IMAC) for the adsorption of immunoglobulin G (hIgG). </w:t>
      </w:r>
      <w:r w:rsidR="00B33E3F" w:rsidRPr="00DD6AA8">
        <w:rPr>
          <w:rFonts w:eastAsia="SimSun"/>
          <w:szCs w:val="20"/>
        </w:rPr>
        <w:t xml:space="preserve">For this, iminodiacetic acid (IDA), the immobilized chelating ligand, is complexed with cobalt, copper, and nickel metal ions. The reversible interactions between chelated metal ions in the stationary phase and accessible amino acid residues on the protein surface are the basis of the </w:t>
      </w:r>
      <w:r w:rsidR="003F163E" w:rsidRPr="00DD6AA8">
        <w:rPr>
          <w:rFonts w:eastAsia="SimSun"/>
          <w:szCs w:val="20"/>
        </w:rPr>
        <w:t>IMAC adsorption technique.</w:t>
      </w:r>
    </w:p>
    <w:p w14:paraId="5ABE16B5" w14:textId="77777777" w:rsidR="00A9724A" w:rsidRPr="00DD6AA8" w:rsidRDefault="00A9724A" w:rsidP="00023068">
      <w:pPr>
        <w:pStyle w:val="Ttulo1"/>
        <w:spacing w:before="240"/>
        <w:ind w:left="0"/>
      </w:pPr>
      <w:r w:rsidRPr="00DD6AA8">
        <w:lastRenderedPageBreak/>
        <w:t>2. Materials and Methods</w:t>
      </w:r>
    </w:p>
    <w:p w14:paraId="4979F439" w14:textId="77777777" w:rsidR="00003ADD" w:rsidRPr="00DD6AA8" w:rsidRDefault="00003ADD" w:rsidP="00003ADD">
      <w:pPr>
        <w:spacing w:before="238" w:line="228" w:lineRule="auto"/>
        <w:jc w:val="both"/>
        <w:rPr>
          <w:rFonts w:eastAsia="SimSun"/>
          <w:i/>
          <w:iCs/>
          <w:szCs w:val="20"/>
        </w:rPr>
      </w:pPr>
      <w:r w:rsidRPr="00DD6AA8">
        <w:rPr>
          <w:rFonts w:eastAsia="SimSun"/>
          <w:i/>
          <w:iCs/>
          <w:szCs w:val="20"/>
        </w:rPr>
        <w:t>2.1. Materials</w:t>
      </w:r>
    </w:p>
    <w:p w14:paraId="669AF9B5" w14:textId="77777777" w:rsidR="00003ADD" w:rsidRPr="00DD6AA8" w:rsidRDefault="00003ADD" w:rsidP="00C63851">
      <w:pPr>
        <w:pStyle w:val="Corpodetexto"/>
      </w:pPr>
      <w:r w:rsidRPr="00DD6AA8">
        <w:t xml:space="preserve">Acrylamide (AAm), bisacrylamide (BAAm), human immunoglobulin G (hIgG), and epichlorohydrin (ECH) were obtained from Sigma-Aldrich (USA). TEMED (N,N,N',N'-tetra-methylenediamine), ammonium persulfate, SDS (sodium dodecyl sulfate) were supplied by Cytiva (USA). Pectin (pec) GENU type LM 102-AS was purchased from CPKelco (Brazil). The remaining reagents were of analytical grade. Milli-Q ultrapure water (Millipore, USA) was used to prepare all solutions. </w:t>
      </w:r>
    </w:p>
    <w:p w14:paraId="626A8E23" w14:textId="77777777" w:rsidR="00A9724A" w:rsidRPr="00DD6AA8" w:rsidRDefault="00003ADD" w:rsidP="00003ADD">
      <w:pPr>
        <w:spacing w:before="238" w:line="228" w:lineRule="auto"/>
        <w:jc w:val="both"/>
      </w:pPr>
      <w:r w:rsidRPr="00DD6AA8">
        <w:rPr>
          <w:i/>
          <w:iCs/>
        </w:rPr>
        <w:t xml:space="preserve">2.2. </w:t>
      </w:r>
      <w:r w:rsidR="00C04E30" w:rsidRPr="00DD6AA8">
        <w:rPr>
          <w:i/>
          <w:iCs/>
        </w:rPr>
        <w:t>Synthesis of the cryogel, activation with ECH and IDA immobilization</w:t>
      </w:r>
    </w:p>
    <w:p w14:paraId="2CDBB872" w14:textId="77777777" w:rsidR="00C04E30" w:rsidRPr="00DD6AA8" w:rsidRDefault="00C04E30" w:rsidP="00C63851">
      <w:pPr>
        <w:pStyle w:val="Corpodetexto"/>
      </w:pPr>
      <w:r w:rsidRPr="00DD6AA8">
        <w:t>AAm, BAAm, and pec were dissolved in water (4.74% m/v, 1.26% m/v, and 0.1% m/v, respectively). After degassing, the mixture was cooled to 4ºC, ammonium persulfate (2% v/v) and TEMED (2% v/v) were added. A final volume of 3.0 mL of the final mixture was deposited in previously sealed plastic syringes and placed in a freezer at -20ºC for 16 hours. After polymerization, the cryogels contained in the molds were thawed at room temperature and washed with water</w:t>
      </w:r>
      <w:r w:rsidR="00DD6AA8" w:rsidRPr="00DD6AA8">
        <w:t xml:space="preserve"> [</w:t>
      </w:r>
      <w:r w:rsidRPr="00DD6AA8">
        <w:t>7</w:t>
      </w:r>
      <w:r w:rsidR="00DD6AA8" w:rsidRPr="00DD6AA8">
        <w:t>]</w:t>
      </w:r>
      <w:r w:rsidRPr="00DD6AA8">
        <w:t>.</w:t>
      </w:r>
      <w:r w:rsidR="00B9306E" w:rsidRPr="00DD6AA8">
        <w:t xml:space="preserve"> </w:t>
      </w:r>
      <w:r w:rsidRPr="00DD6AA8">
        <w:t>After, the cryogel was activated with ECH and IDA was coupling on the cryogel as described by Fioravante and Bueno</w:t>
      </w:r>
      <w:r w:rsidR="007C762A" w:rsidRPr="009C38CA">
        <w:rPr>
          <w:vertAlign w:val="superscript"/>
        </w:rPr>
        <w:t>5</w:t>
      </w:r>
      <w:r w:rsidRPr="00DD6AA8">
        <w:t>.</w:t>
      </w:r>
    </w:p>
    <w:p w14:paraId="043FBE31" w14:textId="77777777" w:rsidR="003A008C" w:rsidRPr="00DD6AA8" w:rsidRDefault="003A008C" w:rsidP="003A008C">
      <w:pPr>
        <w:spacing w:before="238" w:line="228" w:lineRule="auto"/>
        <w:jc w:val="both"/>
      </w:pPr>
      <w:r w:rsidRPr="00DD6AA8">
        <w:rPr>
          <w:i/>
          <w:iCs/>
        </w:rPr>
        <w:t xml:space="preserve">2.3. </w:t>
      </w:r>
      <w:r w:rsidR="000E004B" w:rsidRPr="00DD6AA8">
        <w:rPr>
          <w:i/>
          <w:lang w:val="en-GB"/>
        </w:rPr>
        <w:t>Adsorption</w:t>
      </w:r>
      <w:r w:rsidRPr="00DD6AA8">
        <w:rPr>
          <w:i/>
          <w:lang w:val="en-GB"/>
        </w:rPr>
        <w:t xml:space="preserve"> experiments</w:t>
      </w:r>
    </w:p>
    <w:p w14:paraId="1C7009F0" w14:textId="77777777" w:rsidR="00003ADD" w:rsidRPr="00432623" w:rsidRDefault="003A008C" w:rsidP="00C63851">
      <w:pPr>
        <w:pStyle w:val="Corpodetexto"/>
      </w:pPr>
      <w:r w:rsidRPr="00DD6AA8">
        <w:t>All chromatographic experiments were carried out using an Econo Liquid Chromatography System (Bio-Rad, USA) at 25 °C</w:t>
      </w:r>
      <w:r w:rsidR="00E20ADA" w:rsidRPr="00DD6AA8">
        <w:t xml:space="preserve"> at a</w:t>
      </w:r>
      <w:r w:rsidRPr="00DD6AA8">
        <w:t xml:space="preserve"> flow rate of 1.0 mL/min. The column containing 3 mL of pAAm-pec-IDA cryogel was saturated with </w:t>
      </w:r>
      <w:r w:rsidR="00E20ADA" w:rsidRPr="00DD6AA8">
        <w:t xml:space="preserve">metal ions of </w:t>
      </w:r>
      <w:r w:rsidR="0029364A" w:rsidRPr="00DD6AA8">
        <w:t xml:space="preserve">cobalt, </w:t>
      </w:r>
      <w:r w:rsidRPr="00DD6AA8">
        <w:t>copper,</w:t>
      </w:r>
      <w:r w:rsidR="0029364A" w:rsidRPr="00DD6AA8">
        <w:t xml:space="preserve"> or</w:t>
      </w:r>
      <w:r w:rsidRPr="00DD6AA8">
        <w:t xml:space="preserve"> nickel (Me</w:t>
      </w:r>
      <w:r w:rsidRPr="007C52B6">
        <w:rPr>
          <w:vertAlign w:val="superscript"/>
        </w:rPr>
        <w:t>2+</w:t>
      </w:r>
      <w:r w:rsidRPr="00DD6AA8">
        <w:t>), followed by washing with 25 mmol/L acetate buffer pH 4.0 and then with water. In the case of experiments with pAAm-pec (</w:t>
      </w:r>
      <w:r w:rsidRPr="00432623">
        <w:t xml:space="preserve">control), the column was not saturated with metal ions. The columns were equilibrated with </w:t>
      </w:r>
      <w:r w:rsidR="0029492D" w:rsidRPr="00432623">
        <w:t xml:space="preserve">adsorption buffer  </w:t>
      </w:r>
      <w:r w:rsidRPr="00432623">
        <w:t>25 mmol/L MOPS</w:t>
      </w:r>
      <w:r w:rsidR="0029364A" w:rsidRPr="00432623">
        <w:t>, Tris-HCl or NaP</w:t>
      </w:r>
      <w:r w:rsidRPr="00432623">
        <w:t xml:space="preserve"> buffer at pH </w:t>
      </w:r>
      <w:r w:rsidR="0029364A" w:rsidRPr="00432623">
        <w:t xml:space="preserve">from </w:t>
      </w:r>
      <w:r w:rsidRPr="00432623">
        <w:t>6.5</w:t>
      </w:r>
      <w:r w:rsidR="0029364A" w:rsidRPr="00432623">
        <w:t xml:space="preserve"> to 8.0</w:t>
      </w:r>
      <w:r w:rsidRPr="00432623">
        <w:t xml:space="preserve"> </w:t>
      </w:r>
      <w:r w:rsidR="0029492D" w:rsidRPr="00432623">
        <w:t xml:space="preserve"> (control experiments) and for IMAC experiments, the buffer </w:t>
      </w:r>
      <w:r w:rsidR="007C52B6" w:rsidRPr="00432623">
        <w:t xml:space="preserve"> </w:t>
      </w:r>
      <w:r w:rsidR="0029492D" w:rsidRPr="00432623">
        <w:t xml:space="preserve">contained </w:t>
      </w:r>
      <w:r w:rsidR="007C52B6" w:rsidRPr="00432623">
        <w:t>2 mmol/L of imidazole to avoid</w:t>
      </w:r>
      <w:r w:rsidR="000B153F" w:rsidRPr="00432623">
        <w:t xml:space="preserve"> the </w:t>
      </w:r>
      <w:r w:rsidR="00DA3CE8" w:rsidRPr="00432623">
        <w:t>non-specific</w:t>
      </w:r>
      <w:r w:rsidR="000B153F" w:rsidRPr="00432623">
        <w:t xml:space="preserve"> interactions</w:t>
      </w:r>
      <w:r w:rsidR="00DA3CE8" w:rsidRPr="00432623">
        <w:t xml:space="preserve"> between proteins and the chelated metal ions</w:t>
      </w:r>
      <w:r w:rsidRPr="00432623">
        <w:t>.</w:t>
      </w:r>
      <w:r w:rsidR="0029492D" w:rsidRPr="00432623">
        <w:t xml:space="preserve"> </w:t>
      </w:r>
      <w:r w:rsidRPr="00432623">
        <w:t xml:space="preserve">Two </w:t>
      </w:r>
      <w:r w:rsidR="001462B6" w:rsidRPr="00432623">
        <w:t>milliliters</w:t>
      </w:r>
      <w:r w:rsidRPr="00432623">
        <w:t xml:space="preserve"> of hIgG (approximately 2.0 mg of total protein) in adsorption buffer were loaded </w:t>
      </w:r>
      <w:r w:rsidR="00E20ADA" w:rsidRPr="00432623">
        <w:t>o</w:t>
      </w:r>
      <w:r w:rsidRPr="00432623">
        <w:t>nto the column, and subsequently washed with adsor</w:t>
      </w:r>
      <w:r w:rsidR="0029364A" w:rsidRPr="00432623">
        <w:t>p</w:t>
      </w:r>
      <w:r w:rsidRPr="00432623">
        <w:t>tion buffer until</w:t>
      </w:r>
      <w:r w:rsidRPr="00DD6AA8">
        <w:t xml:space="preserve"> no </w:t>
      </w:r>
      <w:r w:rsidRPr="00DD6AA8">
        <w:t>protein was detected in the column out</w:t>
      </w:r>
      <w:r w:rsidR="00E20ADA" w:rsidRPr="00DD6AA8">
        <w:t xml:space="preserve">let </w:t>
      </w:r>
      <w:r w:rsidRPr="00DD6AA8">
        <w:t>stream by absor</w:t>
      </w:r>
      <w:r w:rsidR="00E20ADA" w:rsidRPr="00DD6AA8">
        <w:t>bance</w:t>
      </w:r>
      <w:r w:rsidRPr="00DD6AA8">
        <w:t xml:space="preserve"> at 280 nm. The adsorbed proteins were eluted with buffer containing 100 mmol/L imidazole at pH 7.0 (column loaded with metal ions) or adsorption </w:t>
      </w:r>
      <w:r w:rsidRPr="00432623">
        <w:t xml:space="preserve">buffer containing 1.0 mol/L NaCl </w:t>
      </w:r>
      <w:r w:rsidR="00E20ADA" w:rsidRPr="00432623">
        <w:t>(</w:t>
      </w:r>
      <w:r w:rsidRPr="00432623">
        <w:t>control experiments</w:t>
      </w:r>
      <w:r w:rsidR="00E20ADA" w:rsidRPr="00432623">
        <w:t>).</w:t>
      </w:r>
      <w:r w:rsidR="00FB0045" w:rsidRPr="00432623">
        <w:rPr>
          <w:rFonts w:eastAsia="Times New Roman"/>
          <w:szCs w:val="22"/>
        </w:rPr>
        <w:t xml:space="preserve"> </w:t>
      </w:r>
      <w:r w:rsidR="00FB0045" w:rsidRPr="00432623">
        <w:t xml:space="preserve">In IMAC, imidazole, (chemical structure </w:t>
      </w:r>
      <w:proofErr w:type="gramStart"/>
      <w:r w:rsidR="00FB0045" w:rsidRPr="00432623">
        <w:t>similar to</w:t>
      </w:r>
      <w:proofErr w:type="gramEnd"/>
      <w:r w:rsidR="00FB0045" w:rsidRPr="00432623">
        <w:t xml:space="preserve"> histidine), competes with the target protein for binding to the metal ion,  displacing the bound protein from the column. </w:t>
      </w:r>
    </w:p>
    <w:p w14:paraId="1139EF24" w14:textId="77777777" w:rsidR="003A008C" w:rsidRPr="00432623" w:rsidRDefault="003A008C" w:rsidP="003A008C">
      <w:pPr>
        <w:spacing w:before="238" w:line="228" w:lineRule="auto"/>
        <w:jc w:val="both"/>
      </w:pPr>
      <w:r w:rsidRPr="00432623">
        <w:rPr>
          <w:i/>
          <w:iCs/>
        </w:rPr>
        <w:t xml:space="preserve">2.4. </w:t>
      </w:r>
      <w:r w:rsidRPr="00432623">
        <w:rPr>
          <w:i/>
          <w:lang w:val="en-GB"/>
        </w:rPr>
        <w:t>Total protein determination</w:t>
      </w:r>
    </w:p>
    <w:p w14:paraId="7697FF55" w14:textId="77777777" w:rsidR="00D57CA8" w:rsidRPr="00DD6AA8" w:rsidRDefault="003A008C" w:rsidP="00C63851">
      <w:pPr>
        <w:pStyle w:val="Corpodetexto"/>
        <w:rPr>
          <w:lang w:val="en-GB"/>
        </w:rPr>
      </w:pPr>
      <w:r w:rsidRPr="00DD6AA8">
        <w:t>Total protein concentrations were determined by the method of Bradford</w:t>
      </w:r>
      <w:r w:rsidR="00DD6AA8" w:rsidRPr="00DD6AA8">
        <w:t xml:space="preserve"> [</w:t>
      </w:r>
      <w:r w:rsidRPr="00DD6AA8">
        <w:t>8</w:t>
      </w:r>
      <w:r w:rsidR="00DD6AA8" w:rsidRPr="00DD6AA8">
        <w:t>]</w:t>
      </w:r>
      <w:r w:rsidRPr="00DD6AA8">
        <w:t>, with BSA as a reference protein.</w:t>
      </w:r>
    </w:p>
    <w:p w14:paraId="402B561E" w14:textId="77777777" w:rsidR="00D57CA8" w:rsidRPr="00DD6AA8" w:rsidRDefault="00D57CA8" w:rsidP="00023068">
      <w:pPr>
        <w:pStyle w:val="Ttulo1"/>
        <w:spacing w:before="240"/>
        <w:ind w:left="0"/>
      </w:pPr>
      <w:r w:rsidRPr="00DD6AA8">
        <w:t>3. Results and discus</w:t>
      </w:r>
      <w:r w:rsidR="004A6918" w:rsidRPr="00DD6AA8">
        <w:t>s</w:t>
      </w:r>
      <w:r w:rsidRPr="00DD6AA8">
        <w:t>ion</w:t>
      </w:r>
    </w:p>
    <w:p w14:paraId="599388A6" w14:textId="77777777" w:rsidR="00C63851" w:rsidRDefault="004A6918" w:rsidP="00C63851">
      <w:pPr>
        <w:pStyle w:val="Corpodetexto"/>
      </w:pPr>
      <w:r w:rsidRPr="00DD6AA8">
        <w:t xml:space="preserve">Both the pAAm-pec and pAAm-pec-IDA cryogels </w:t>
      </w:r>
      <w:r w:rsidR="00C61CB2" w:rsidRPr="00DD6AA8">
        <w:t xml:space="preserve">have an elastic and spongy appearance, with a pore size ranging from 20 to 100 µm, and a porosity of 65-75%, </w:t>
      </w:r>
      <w:r w:rsidR="00626382" w:rsidRPr="00DD6AA8">
        <w:t>which are</w:t>
      </w:r>
      <w:r w:rsidR="00C61CB2" w:rsidRPr="00DD6AA8">
        <w:t xml:space="preserve"> desirable physical </w:t>
      </w:r>
      <w:r w:rsidR="00626382" w:rsidRPr="00DD6AA8">
        <w:t>properties</w:t>
      </w:r>
      <w:r w:rsidR="00C61CB2" w:rsidRPr="00DD6AA8">
        <w:t xml:space="preserve"> for a chromatographic column.</w:t>
      </w:r>
    </w:p>
    <w:p w14:paraId="0BEE3AA6" w14:textId="77777777" w:rsidR="00623D4E" w:rsidRPr="00623D4E" w:rsidRDefault="00623D4E" w:rsidP="00BA7726">
      <w:pPr>
        <w:pStyle w:val="Corpodetexto"/>
        <w:spacing w:before="0"/>
      </w:pPr>
      <w:r w:rsidRPr="00BA7726">
        <w:t>The IDA was attached to the cryogels (Figure 1) by covalent bonds between the IDA amino group and the epoxy group introduced in the cryogels. Its attachment was quantified by the complexation of metal ions, measured as the difference in the moles of metal ions chelated on the cryogels with and without the chelating agent.</w:t>
      </w:r>
    </w:p>
    <w:p w14:paraId="4D4CACD3" w14:textId="77777777" w:rsidR="006D7D62" w:rsidRDefault="006D7D62" w:rsidP="006D7D62">
      <w:pPr>
        <w:pStyle w:val="Corpodetexto"/>
        <w:ind w:firstLine="0"/>
        <w:jc w:val="center"/>
      </w:pPr>
      <w:r w:rsidRPr="002658F4">
        <w:rPr>
          <w:noProof/>
          <w:lang w:val="pt-BR" w:eastAsia="pt-BR"/>
        </w:rPr>
        <w:drawing>
          <wp:inline distT="0" distB="0" distL="0" distR="0" wp14:anchorId="10C9AC74" wp14:editId="23E9A10E">
            <wp:extent cx="2457792" cy="1421149"/>
            <wp:effectExtent l="0" t="0" r="0" b="7620"/>
            <wp:docPr id="503" name="Imagem 503" descr="Mesa de vidr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Imagem 503" descr="Mesa de vidro&#10;&#10;Descrição gerada automaticamente com confiança médi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699"/>
                    <a:stretch/>
                  </pic:blipFill>
                  <pic:spPr bwMode="auto">
                    <a:xfrm>
                      <a:off x="0" y="0"/>
                      <a:ext cx="2458225" cy="1421399"/>
                    </a:xfrm>
                    <a:prstGeom prst="rect">
                      <a:avLst/>
                    </a:prstGeom>
                    <a:noFill/>
                    <a:ln>
                      <a:noFill/>
                    </a:ln>
                    <a:extLst>
                      <a:ext uri="{53640926-AAD7-44D8-BBD7-CCE9431645EC}">
                        <a14:shadowObscured xmlns:a14="http://schemas.microsoft.com/office/drawing/2010/main"/>
                      </a:ext>
                    </a:extLst>
                  </pic:spPr>
                </pic:pic>
              </a:graphicData>
            </a:graphic>
          </wp:inline>
        </w:drawing>
      </w:r>
    </w:p>
    <w:p w14:paraId="118EEF2D" w14:textId="77777777" w:rsidR="006D7D62" w:rsidRPr="00C65297" w:rsidRDefault="006D7D62" w:rsidP="00C65297">
      <w:pPr>
        <w:pStyle w:val="Corpodetexto"/>
        <w:ind w:firstLine="0"/>
      </w:pPr>
      <w:r w:rsidRPr="00C65297">
        <w:t xml:space="preserve">Fig. 1. </w:t>
      </w:r>
      <w:r w:rsidR="00C65297" w:rsidRPr="00C65297">
        <w:t>pAAm-pec-IDA cryogel (a) without</w:t>
      </w:r>
      <w:r w:rsidR="00C65297">
        <w:t xml:space="preserve"> metal ion and with metal ions (b) copper, (c) cobalt</w:t>
      </w:r>
      <w:r w:rsidR="00623D4E">
        <w:t>,</w:t>
      </w:r>
      <w:r w:rsidR="00C65297">
        <w:t xml:space="preserve"> and (d) nickel.</w:t>
      </w:r>
    </w:p>
    <w:p w14:paraId="337A40A1" w14:textId="77777777" w:rsidR="002E2500" w:rsidRPr="00BA7726" w:rsidRDefault="002E2500" w:rsidP="00464E8D">
      <w:pPr>
        <w:pStyle w:val="Corpodetexto"/>
      </w:pPr>
      <w:r w:rsidRPr="00BA7726">
        <w:t>It is possible that the control cryogel did not chelate metal ions due to the protonation of the pectin's carboxyl groups. On the other hand, cryogels with immobilized IDA complexed the three studied metal ions. The results in Table 1 show the dependence of the quantity of metal ions chelated on the type of metal.</w:t>
      </w:r>
    </w:p>
    <w:p w14:paraId="740E2B90" w14:textId="77777777" w:rsidR="00B7534A" w:rsidRPr="00432623" w:rsidRDefault="00FC5C69" w:rsidP="00BA7726">
      <w:pPr>
        <w:pStyle w:val="Corpodetexto"/>
        <w:ind w:firstLine="0"/>
        <w:jc w:val="left"/>
      </w:pPr>
      <w:r w:rsidRPr="00BA7726">
        <w:t xml:space="preserve">Table 1. </w:t>
      </w:r>
      <w:r w:rsidR="002E2500" w:rsidRPr="00432623">
        <w:t>Density of metal ions</w:t>
      </w:r>
      <w:r w:rsidR="007C52B6" w:rsidRPr="00432623">
        <w:t xml:space="preserve"> (µmol/mL)</w:t>
      </w:r>
      <w:r w:rsidR="002E2500" w:rsidRPr="00432623">
        <w:t xml:space="preserve"> chelated</w:t>
      </w:r>
      <w:r w:rsidRPr="00432623">
        <w:t xml:space="preserve"> </w:t>
      </w:r>
      <w:r w:rsidR="002E2500" w:rsidRPr="00432623">
        <w:t>on</w:t>
      </w:r>
      <w:r w:rsidRPr="00432623">
        <w:t xml:space="preserve"> </w:t>
      </w:r>
      <w:r w:rsidRPr="00432623">
        <w:lastRenderedPageBreak/>
        <w:t xml:space="preserve">the </w:t>
      </w:r>
      <w:r w:rsidR="00EE2066" w:rsidRPr="00432623">
        <w:t xml:space="preserve">pAAm-pec and pAAm-pec-IDA </w:t>
      </w:r>
      <w:r w:rsidRPr="00432623">
        <w:t>cryogels</w:t>
      </w:r>
      <w:r w:rsidR="002B4BDF" w:rsidRPr="00432623">
        <w:t xml:space="preserve"> (3.0 mL of cryogel)</w:t>
      </w:r>
    </w:p>
    <w:tbl>
      <w:tblPr>
        <w:tblStyle w:val="Tabelacomgrade"/>
        <w:tblW w:w="48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82"/>
        <w:gridCol w:w="1707"/>
      </w:tblGrid>
      <w:tr w:rsidR="00B7534A" w:rsidRPr="00BA7726" w14:paraId="426A677A" w14:textId="77777777" w:rsidTr="00337235">
        <w:trPr>
          <w:jc w:val="center"/>
        </w:trPr>
        <w:tc>
          <w:tcPr>
            <w:tcW w:w="1560" w:type="dxa"/>
            <w:tcBorders>
              <w:top w:val="single" w:sz="4" w:space="0" w:color="auto"/>
              <w:bottom w:val="single" w:sz="4" w:space="0" w:color="auto"/>
            </w:tcBorders>
          </w:tcPr>
          <w:p w14:paraId="5EAA33AA" w14:textId="77777777" w:rsidR="00B7534A" w:rsidRPr="00BA7726" w:rsidRDefault="00B7534A" w:rsidP="00FC5C69">
            <w:pPr>
              <w:pStyle w:val="Corpodetexto"/>
              <w:spacing w:before="0" w:line="276" w:lineRule="auto"/>
              <w:ind w:firstLine="0"/>
              <w:jc w:val="center"/>
            </w:pPr>
          </w:p>
        </w:tc>
        <w:tc>
          <w:tcPr>
            <w:tcW w:w="1582" w:type="dxa"/>
            <w:tcBorders>
              <w:top w:val="single" w:sz="4" w:space="0" w:color="auto"/>
              <w:bottom w:val="single" w:sz="4" w:space="0" w:color="auto"/>
            </w:tcBorders>
          </w:tcPr>
          <w:p w14:paraId="428CE071" w14:textId="77777777" w:rsidR="00B7534A" w:rsidRPr="00BA7726" w:rsidRDefault="00B7534A" w:rsidP="00FC5C69">
            <w:pPr>
              <w:pStyle w:val="Corpodetexto"/>
              <w:spacing w:before="0" w:line="276" w:lineRule="auto"/>
              <w:ind w:firstLine="0"/>
              <w:jc w:val="center"/>
            </w:pPr>
            <w:r w:rsidRPr="00BA7726">
              <w:t>pAAm-pec</w:t>
            </w:r>
          </w:p>
        </w:tc>
        <w:tc>
          <w:tcPr>
            <w:tcW w:w="1707" w:type="dxa"/>
            <w:tcBorders>
              <w:top w:val="single" w:sz="4" w:space="0" w:color="auto"/>
              <w:bottom w:val="single" w:sz="4" w:space="0" w:color="auto"/>
            </w:tcBorders>
          </w:tcPr>
          <w:p w14:paraId="318B272B" w14:textId="77777777" w:rsidR="00B7534A" w:rsidRPr="00BA7726" w:rsidRDefault="00B7534A" w:rsidP="00FC5C69">
            <w:pPr>
              <w:pStyle w:val="Corpodetexto"/>
              <w:spacing w:before="0" w:line="276" w:lineRule="auto"/>
              <w:ind w:firstLine="0"/>
              <w:jc w:val="center"/>
            </w:pPr>
            <w:r w:rsidRPr="00BA7726">
              <w:t>pAAm-pec-</w:t>
            </w:r>
            <w:r w:rsidR="00D233FE" w:rsidRPr="00BA7726">
              <w:t>IDA</w:t>
            </w:r>
          </w:p>
        </w:tc>
      </w:tr>
      <w:tr w:rsidR="00B7534A" w:rsidRPr="00BA7726" w14:paraId="1B003D3D" w14:textId="77777777" w:rsidTr="00337235">
        <w:trPr>
          <w:jc w:val="center"/>
        </w:trPr>
        <w:tc>
          <w:tcPr>
            <w:tcW w:w="1560" w:type="dxa"/>
            <w:tcBorders>
              <w:top w:val="single" w:sz="4" w:space="0" w:color="auto"/>
            </w:tcBorders>
          </w:tcPr>
          <w:p w14:paraId="07107868" w14:textId="77777777" w:rsidR="00B7534A" w:rsidRPr="00BA7726" w:rsidRDefault="00D233FE" w:rsidP="00FC5C69">
            <w:pPr>
              <w:pStyle w:val="Corpodetexto"/>
              <w:spacing w:before="0" w:line="276" w:lineRule="auto"/>
              <w:ind w:firstLine="0"/>
              <w:jc w:val="center"/>
            </w:pPr>
            <w:r w:rsidRPr="00BA7726">
              <w:t>C</w:t>
            </w:r>
            <w:r w:rsidR="008A77CC" w:rsidRPr="00BA7726">
              <w:t>u(II)</w:t>
            </w:r>
          </w:p>
        </w:tc>
        <w:tc>
          <w:tcPr>
            <w:tcW w:w="1582" w:type="dxa"/>
            <w:tcBorders>
              <w:top w:val="single" w:sz="4" w:space="0" w:color="auto"/>
            </w:tcBorders>
          </w:tcPr>
          <w:p w14:paraId="1DE7F364" w14:textId="77777777" w:rsidR="00B7534A" w:rsidRPr="00BA7726" w:rsidRDefault="002E2500" w:rsidP="00FC5C69">
            <w:pPr>
              <w:pStyle w:val="Corpodetexto"/>
              <w:spacing w:before="0" w:line="276" w:lineRule="auto"/>
              <w:ind w:firstLine="0"/>
              <w:jc w:val="center"/>
            </w:pPr>
            <w:r w:rsidRPr="00BA7726">
              <w:rPr>
                <w:rFonts w:eastAsia="Times New Roman"/>
                <w:lang w:eastAsia="pt-BR"/>
              </w:rPr>
              <w:t>1.</w:t>
            </w:r>
            <w:r w:rsidR="00D233FE" w:rsidRPr="00BA7726">
              <w:rPr>
                <w:rFonts w:eastAsia="Times New Roman"/>
                <w:lang w:eastAsia="pt-BR"/>
              </w:rPr>
              <w:t>04</w:t>
            </w:r>
          </w:p>
        </w:tc>
        <w:tc>
          <w:tcPr>
            <w:tcW w:w="1707" w:type="dxa"/>
            <w:tcBorders>
              <w:top w:val="single" w:sz="4" w:space="0" w:color="auto"/>
            </w:tcBorders>
          </w:tcPr>
          <w:p w14:paraId="66711359" w14:textId="77777777" w:rsidR="00B7534A" w:rsidRPr="00BA7726" w:rsidRDefault="00D233FE" w:rsidP="002E2500">
            <w:pPr>
              <w:pStyle w:val="Corpodetexto"/>
              <w:spacing w:before="0" w:line="276" w:lineRule="auto"/>
              <w:ind w:firstLine="0"/>
              <w:jc w:val="center"/>
            </w:pPr>
            <w:r w:rsidRPr="00BA7726">
              <w:rPr>
                <w:rFonts w:eastAsia="Times New Roman"/>
                <w:lang w:eastAsia="pt-BR"/>
              </w:rPr>
              <w:t>171</w:t>
            </w:r>
            <w:r w:rsidR="002E2500" w:rsidRPr="00BA7726">
              <w:rPr>
                <w:rFonts w:eastAsia="Times New Roman"/>
                <w:lang w:eastAsia="pt-BR"/>
              </w:rPr>
              <w:t>.</w:t>
            </w:r>
            <w:r w:rsidRPr="00BA7726">
              <w:rPr>
                <w:rFonts w:eastAsia="Times New Roman"/>
                <w:lang w:eastAsia="pt-BR"/>
              </w:rPr>
              <w:t>03 ± 3</w:t>
            </w:r>
            <w:r w:rsidR="002E2500" w:rsidRPr="00BA7726">
              <w:rPr>
                <w:rFonts w:eastAsia="Times New Roman"/>
                <w:lang w:eastAsia="pt-BR"/>
              </w:rPr>
              <w:t>.</w:t>
            </w:r>
            <w:r w:rsidRPr="00BA7726">
              <w:rPr>
                <w:rFonts w:eastAsia="Times New Roman"/>
                <w:lang w:eastAsia="pt-BR"/>
              </w:rPr>
              <w:t>20</w:t>
            </w:r>
          </w:p>
        </w:tc>
      </w:tr>
      <w:tr w:rsidR="00B7534A" w:rsidRPr="00BA7726" w14:paraId="77682CF0" w14:textId="77777777" w:rsidTr="00337235">
        <w:trPr>
          <w:jc w:val="center"/>
        </w:trPr>
        <w:tc>
          <w:tcPr>
            <w:tcW w:w="1560" w:type="dxa"/>
          </w:tcPr>
          <w:p w14:paraId="733A02F5" w14:textId="77777777" w:rsidR="00B7534A" w:rsidRPr="00BA7726" w:rsidRDefault="00D233FE" w:rsidP="00FC5C69">
            <w:pPr>
              <w:pStyle w:val="Corpodetexto"/>
              <w:spacing w:before="0" w:line="276" w:lineRule="auto"/>
              <w:ind w:firstLine="0"/>
              <w:jc w:val="center"/>
            </w:pPr>
            <w:r w:rsidRPr="00BA7726">
              <w:t>Ni</w:t>
            </w:r>
            <w:r w:rsidR="008A77CC" w:rsidRPr="00BA7726">
              <w:t>(II)</w:t>
            </w:r>
          </w:p>
        </w:tc>
        <w:tc>
          <w:tcPr>
            <w:tcW w:w="1582" w:type="dxa"/>
          </w:tcPr>
          <w:p w14:paraId="13905AE1" w14:textId="77777777" w:rsidR="00B7534A" w:rsidRPr="00BA7726" w:rsidRDefault="00D233FE" w:rsidP="002E2500">
            <w:pPr>
              <w:pStyle w:val="Corpodetexto"/>
              <w:spacing w:before="0" w:line="276" w:lineRule="auto"/>
              <w:ind w:firstLine="0"/>
              <w:jc w:val="center"/>
            </w:pPr>
            <w:r w:rsidRPr="00BA7726">
              <w:rPr>
                <w:rFonts w:eastAsia="Times New Roman"/>
                <w:lang w:eastAsia="pt-BR"/>
              </w:rPr>
              <w:t>0</w:t>
            </w:r>
            <w:r w:rsidR="002E2500" w:rsidRPr="00BA7726">
              <w:rPr>
                <w:rFonts w:eastAsia="Times New Roman"/>
                <w:lang w:eastAsia="pt-BR"/>
              </w:rPr>
              <w:t>.</w:t>
            </w:r>
            <w:r w:rsidRPr="00BA7726">
              <w:rPr>
                <w:rFonts w:eastAsia="Times New Roman"/>
                <w:lang w:eastAsia="pt-BR"/>
              </w:rPr>
              <w:t>00</w:t>
            </w:r>
          </w:p>
        </w:tc>
        <w:tc>
          <w:tcPr>
            <w:tcW w:w="1707" w:type="dxa"/>
          </w:tcPr>
          <w:p w14:paraId="23FB368B" w14:textId="77777777" w:rsidR="00B7534A" w:rsidRPr="00BA7726" w:rsidRDefault="00D233FE" w:rsidP="002E2500">
            <w:pPr>
              <w:pStyle w:val="Corpodetexto"/>
              <w:spacing w:before="0" w:line="276" w:lineRule="auto"/>
              <w:ind w:firstLine="0"/>
              <w:jc w:val="center"/>
            </w:pPr>
            <w:r w:rsidRPr="00BA7726">
              <w:rPr>
                <w:rFonts w:eastAsia="Times New Roman"/>
                <w:lang w:eastAsia="pt-BR"/>
              </w:rPr>
              <w:t>92</w:t>
            </w:r>
            <w:r w:rsidR="002E2500" w:rsidRPr="00BA7726">
              <w:rPr>
                <w:rFonts w:eastAsia="Times New Roman"/>
                <w:lang w:eastAsia="pt-BR"/>
              </w:rPr>
              <w:t>.</w:t>
            </w:r>
            <w:r w:rsidRPr="00BA7726">
              <w:rPr>
                <w:rFonts w:eastAsia="Times New Roman"/>
                <w:lang w:eastAsia="pt-BR"/>
              </w:rPr>
              <w:t>77 ± 2</w:t>
            </w:r>
            <w:r w:rsidR="002E2500" w:rsidRPr="00BA7726">
              <w:rPr>
                <w:rFonts w:eastAsia="Times New Roman"/>
                <w:lang w:eastAsia="pt-BR"/>
              </w:rPr>
              <w:t>.</w:t>
            </w:r>
            <w:r w:rsidRPr="00BA7726">
              <w:rPr>
                <w:rFonts w:eastAsia="Times New Roman"/>
                <w:lang w:eastAsia="pt-BR"/>
              </w:rPr>
              <w:t>07</w:t>
            </w:r>
          </w:p>
        </w:tc>
      </w:tr>
      <w:tr w:rsidR="00B7534A" w14:paraId="6DFA050F" w14:textId="77777777" w:rsidTr="00337235">
        <w:trPr>
          <w:jc w:val="center"/>
        </w:trPr>
        <w:tc>
          <w:tcPr>
            <w:tcW w:w="1560" w:type="dxa"/>
            <w:tcBorders>
              <w:bottom w:val="single" w:sz="4" w:space="0" w:color="auto"/>
            </w:tcBorders>
          </w:tcPr>
          <w:p w14:paraId="7290E719" w14:textId="77777777" w:rsidR="00B7534A" w:rsidRPr="00BA7726" w:rsidRDefault="00D233FE" w:rsidP="00FC5C69">
            <w:pPr>
              <w:pStyle w:val="Corpodetexto"/>
              <w:spacing w:before="0" w:line="276" w:lineRule="auto"/>
              <w:ind w:firstLine="0"/>
              <w:jc w:val="center"/>
            </w:pPr>
            <w:r w:rsidRPr="00BA7726">
              <w:t>Co</w:t>
            </w:r>
            <w:r w:rsidR="008A77CC" w:rsidRPr="00BA7726">
              <w:t>(II)</w:t>
            </w:r>
          </w:p>
        </w:tc>
        <w:tc>
          <w:tcPr>
            <w:tcW w:w="1582" w:type="dxa"/>
            <w:tcBorders>
              <w:bottom w:val="single" w:sz="4" w:space="0" w:color="auto"/>
            </w:tcBorders>
          </w:tcPr>
          <w:p w14:paraId="3BFEAA49" w14:textId="77777777" w:rsidR="00B7534A" w:rsidRPr="00BA7726" w:rsidRDefault="00D233FE" w:rsidP="002E2500">
            <w:pPr>
              <w:pStyle w:val="Corpodetexto"/>
              <w:spacing w:before="0" w:line="276" w:lineRule="auto"/>
              <w:ind w:firstLine="0"/>
              <w:jc w:val="center"/>
            </w:pPr>
            <w:r w:rsidRPr="00BA7726">
              <w:rPr>
                <w:rFonts w:eastAsia="Times New Roman"/>
                <w:lang w:eastAsia="pt-BR"/>
              </w:rPr>
              <w:t>0</w:t>
            </w:r>
            <w:r w:rsidR="002E2500" w:rsidRPr="00BA7726">
              <w:rPr>
                <w:rFonts w:eastAsia="Times New Roman"/>
                <w:lang w:eastAsia="pt-BR"/>
              </w:rPr>
              <w:t>.</w:t>
            </w:r>
            <w:r w:rsidRPr="00BA7726">
              <w:rPr>
                <w:rFonts w:eastAsia="Times New Roman"/>
                <w:lang w:eastAsia="pt-BR"/>
              </w:rPr>
              <w:t>00</w:t>
            </w:r>
          </w:p>
        </w:tc>
        <w:tc>
          <w:tcPr>
            <w:tcW w:w="1707" w:type="dxa"/>
            <w:tcBorders>
              <w:bottom w:val="single" w:sz="4" w:space="0" w:color="auto"/>
            </w:tcBorders>
          </w:tcPr>
          <w:p w14:paraId="33D78444" w14:textId="77777777" w:rsidR="00B7534A" w:rsidRDefault="00D233FE" w:rsidP="002E2500">
            <w:pPr>
              <w:pStyle w:val="Corpodetexto"/>
              <w:spacing w:before="0" w:line="276" w:lineRule="auto"/>
              <w:ind w:firstLine="0"/>
              <w:jc w:val="center"/>
            </w:pPr>
            <w:r w:rsidRPr="00BA7726">
              <w:rPr>
                <w:rFonts w:eastAsia="Times New Roman"/>
                <w:lang w:eastAsia="pt-BR"/>
              </w:rPr>
              <w:t>132</w:t>
            </w:r>
            <w:r w:rsidR="002E2500" w:rsidRPr="00BA7726">
              <w:rPr>
                <w:rFonts w:eastAsia="Times New Roman"/>
                <w:lang w:eastAsia="pt-BR"/>
              </w:rPr>
              <w:t>.</w:t>
            </w:r>
            <w:r w:rsidRPr="00BA7726">
              <w:rPr>
                <w:rFonts w:eastAsia="Times New Roman"/>
                <w:lang w:eastAsia="pt-BR"/>
              </w:rPr>
              <w:t>86 ± 0</w:t>
            </w:r>
            <w:r w:rsidR="002E2500" w:rsidRPr="00BA7726">
              <w:rPr>
                <w:rFonts w:eastAsia="Times New Roman"/>
                <w:lang w:eastAsia="pt-BR"/>
              </w:rPr>
              <w:t>.</w:t>
            </w:r>
            <w:r w:rsidRPr="00BA7726">
              <w:rPr>
                <w:rFonts w:eastAsia="Times New Roman"/>
                <w:lang w:eastAsia="pt-BR"/>
              </w:rPr>
              <w:t>83</w:t>
            </w:r>
          </w:p>
        </w:tc>
      </w:tr>
    </w:tbl>
    <w:p w14:paraId="2BA100EB" w14:textId="77777777" w:rsidR="003C7EF8" w:rsidRPr="00DD6AA8" w:rsidRDefault="003C7EF8" w:rsidP="00C63851">
      <w:pPr>
        <w:pStyle w:val="Corpodetexto"/>
      </w:pPr>
    </w:p>
    <w:p w14:paraId="5AAD0392" w14:textId="77777777" w:rsidR="00965734" w:rsidRDefault="009D1C08" w:rsidP="00C63851">
      <w:pPr>
        <w:pStyle w:val="Corpodetexto"/>
        <w:spacing w:before="0"/>
      </w:pPr>
      <w:r w:rsidRPr="00DD6AA8">
        <w:t xml:space="preserve">The effect of </w:t>
      </w:r>
      <w:r w:rsidR="00626382" w:rsidRPr="00DD6AA8">
        <w:t xml:space="preserve">the </w:t>
      </w:r>
      <w:r w:rsidRPr="00DD6AA8">
        <w:t xml:space="preserve">buffer system and pH on IgG adsorption was </w:t>
      </w:r>
      <w:r w:rsidR="00626382" w:rsidRPr="00DD6AA8">
        <w:t>first</w:t>
      </w:r>
      <w:r w:rsidRPr="00DD6AA8">
        <w:t xml:space="preserve"> </w:t>
      </w:r>
      <w:r w:rsidR="00626382" w:rsidRPr="00DD6AA8">
        <w:t>investigated</w:t>
      </w:r>
      <w:r w:rsidRPr="00DD6AA8">
        <w:t xml:space="preserve"> for the pAAm-pec cryogel (control). The three</w:t>
      </w:r>
      <w:r w:rsidR="00EB72EF" w:rsidRPr="00DD6AA8">
        <w:t xml:space="preserve"> </w:t>
      </w:r>
      <w:r w:rsidR="00843F76" w:rsidRPr="00DD6AA8">
        <w:t>MOPS, Tris-HCl</w:t>
      </w:r>
      <w:r w:rsidR="00EB72EF" w:rsidRPr="00DD6AA8">
        <w:t>,</w:t>
      </w:r>
      <w:r w:rsidR="00843F76" w:rsidRPr="00DD6AA8">
        <w:t xml:space="preserve"> and NaP </w:t>
      </w:r>
      <w:r w:rsidR="006B6670" w:rsidRPr="00DD6AA8">
        <w:t xml:space="preserve">buffers </w:t>
      </w:r>
      <w:r w:rsidRPr="00DD6AA8">
        <w:t xml:space="preserve">were tested </w:t>
      </w:r>
      <w:r w:rsidR="00843F76" w:rsidRPr="00DD6AA8">
        <w:t>in their</w:t>
      </w:r>
      <w:r w:rsidRPr="00DD6AA8">
        <w:t xml:space="preserve"> respective </w:t>
      </w:r>
      <w:r w:rsidR="00843F76" w:rsidRPr="00DD6AA8">
        <w:t>pH ranges, from pH 6.5 to 8.0</w:t>
      </w:r>
      <w:r w:rsidR="00F22E53">
        <w:t xml:space="preserve">. </w:t>
      </w:r>
      <w:r w:rsidR="00843F76" w:rsidRPr="00DD6AA8">
        <w:t>The adsorption of IgG was negatively affected by increas</w:t>
      </w:r>
      <w:r w:rsidR="006B6670" w:rsidRPr="00DD6AA8">
        <w:t>ing</w:t>
      </w:r>
      <w:r w:rsidR="00843F76" w:rsidRPr="00DD6AA8">
        <w:t xml:space="preserve"> </w:t>
      </w:r>
      <w:r w:rsidR="006B6670" w:rsidRPr="00DD6AA8">
        <w:t>the</w:t>
      </w:r>
      <w:r w:rsidR="00843F76" w:rsidRPr="00DD6AA8">
        <w:t xml:space="preserve"> pH in all cases</w:t>
      </w:r>
      <w:r w:rsidR="00965734">
        <w:t xml:space="preserve"> (Figure </w:t>
      </w:r>
      <w:r w:rsidR="00117CC9">
        <w:t>2</w:t>
      </w:r>
      <w:r w:rsidR="00965734">
        <w:t>)</w:t>
      </w:r>
      <w:r w:rsidR="00843F76" w:rsidRPr="00DD6AA8">
        <w:t>.</w:t>
      </w:r>
    </w:p>
    <w:p w14:paraId="3A6EEDD4" w14:textId="77777777" w:rsidR="00881555" w:rsidRPr="00DD6AA8" w:rsidRDefault="00E01C2E" w:rsidP="00E01C2E">
      <w:pPr>
        <w:spacing w:before="238" w:line="228" w:lineRule="auto"/>
        <w:ind w:right="40"/>
        <w:jc w:val="both"/>
      </w:pPr>
      <w:r w:rsidRPr="00DD6AA8">
        <w:rPr>
          <w:noProof/>
          <w:lang w:val="pt-BR" w:eastAsia="pt-BR"/>
        </w:rPr>
        <w:drawing>
          <wp:inline distT="0" distB="0" distL="0" distR="0" wp14:anchorId="54D4516E" wp14:editId="7044BD67">
            <wp:extent cx="2924175" cy="1526651"/>
            <wp:effectExtent l="0" t="0" r="0" b="0"/>
            <wp:docPr id="1044605020" name="Gráfico 1">
              <a:extLst xmlns:a="http://schemas.openxmlformats.org/drawingml/2006/main">
                <a:ext uri="{FF2B5EF4-FFF2-40B4-BE49-F238E27FC236}">
                  <a16:creationId xmlns:a16="http://schemas.microsoft.com/office/drawing/2014/main" id="{AF360C9E-BC8D-8D0B-3331-B96DF64862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A6A62C" w14:textId="77777777" w:rsidR="00E01C2E" w:rsidRDefault="008119BE" w:rsidP="005A541E">
      <w:pPr>
        <w:spacing w:line="228" w:lineRule="auto"/>
        <w:ind w:right="40"/>
      </w:pPr>
      <w:r w:rsidRPr="00DD6AA8">
        <w:t xml:space="preserve">Fig. </w:t>
      </w:r>
      <w:r w:rsidR="00117CC9">
        <w:t>2</w:t>
      </w:r>
      <w:r w:rsidRPr="00DD6AA8">
        <w:t>. Effect of the buffering system and pH in the IgG adsorption on pAAm-pec-cryogel. Blue, green, and red correspond at MOPS, Tris-HCl, and NaP buffers, respectively.</w:t>
      </w:r>
    </w:p>
    <w:p w14:paraId="3041BCC1" w14:textId="77777777" w:rsidR="00965734" w:rsidRPr="00DD6AA8" w:rsidRDefault="00965734" w:rsidP="005A541E">
      <w:pPr>
        <w:spacing w:line="228" w:lineRule="auto"/>
        <w:ind w:right="40"/>
      </w:pPr>
    </w:p>
    <w:p w14:paraId="64F2F8A0" w14:textId="77777777" w:rsidR="00965734" w:rsidRDefault="00965734" w:rsidP="00965734">
      <w:pPr>
        <w:pStyle w:val="Corpodetexto"/>
        <w:spacing w:before="0"/>
      </w:pPr>
      <w:r w:rsidRPr="00DD6AA8">
        <w:t>The effectiveness of IgG adsorption depended not only on pH but also on the type of buffer used; different quantities of IgG were adsorbed with different buffers at the same pH. This variability in this case can be attributed to the conductivity of the medium (MOPS &lt; 1/k</w:t>
      </w:r>
      <w:r w:rsidRPr="00DD6AA8">
        <w:sym w:font="Symbol" w:char="F057"/>
      </w:r>
      <w:r w:rsidRPr="00DD6AA8">
        <w:t>c m and NaP and Tris-HCl in the range of 1-3.5 1/k</w:t>
      </w:r>
      <w:r w:rsidRPr="00DD6AA8">
        <w:sym w:font="Symbol" w:char="F057"/>
      </w:r>
      <w:r w:rsidRPr="00DD6AA8">
        <w:t xml:space="preserve">cm) [9]. The presence of free ions in the mobile phase may hinder electrostatic interactions between the pAAm-pec cryogel and IgG. </w:t>
      </w:r>
    </w:p>
    <w:p w14:paraId="5838FB06" w14:textId="77777777" w:rsidR="00965734" w:rsidRPr="00DD6AA8" w:rsidRDefault="00965734" w:rsidP="00965734">
      <w:pPr>
        <w:pStyle w:val="Corpodetexto"/>
        <w:spacing w:before="0"/>
      </w:pPr>
      <w:r w:rsidRPr="00DD6AA8">
        <w:t>The adsorption of IgG was possible between pH 6.5 and 8.0, but the pH and buffer system optimum of adsorption was MOPS at pH 6.5 (when the buffer is in the zwitterionic form). Since the polyclonal nature of IgG results in a range of isoelectric points (pI from 5.5 to 9.3), they are neutral, negatively charged, and positively charged at the pH values studied [10]. The adsorption of IgG appeared to be governed by electrostatic forces on</w:t>
      </w:r>
      <w:r>
        <w:t xml:space="preserve"> the</w:t>
      </w:r>
      <w:r w:rsidRPr="00DD6AA8">
        <w:t xml:space="preserve"> pAAm-pec cryogel since elution was possible with salt (NaCl) in the adsorption buffer.</w:t>
      </w:r>
    </w:p>
    <w:p w14:paraId="1D02FA69" w14:textId="77777777" w:rsidR="00023068" w:rsidRPr="00432623" w:rsidRDefault="0098525E" w:rsidP="00C63851">
      <w:pPr>
        <w:ind w:right="40" w:firstLine="284"/>
        <w:jc w:val="both"/>
      </w:pPr>
      <w:r w:rsidRPr="00DD6AA8">
        <w:t xml:space="preserve">Since the MOPS buffer at pH 6.5 was the optimal </w:t>
      </w:r>
      <w:r w:rsidRPr="00DD6AA8">
        <w:t xml:space="preserve">condition for </w:t>
      </w:r>
      <w:r w:rsidR="00FE7710">
        <w:t xml:space="preserve">the </w:t>
      </w:r>
      <w:r w:rsidRPr="00DD6AA8">
        <w:t>adsorption of hIgG on the pAAm-pec cryogel, this buffer was maintained when using the pAAm-pec-IDA-Me(II) cryogel. Thus, the Cu(II), Ni(II), and Co(II) were chelated on</w:t>
      </w:r>
      <w:r w:rsidR="00FE7710">
        <w:t xml:space="preserve"> </w:t>
      </w:r>
      <w:r w:rsidRPr="00DD6AA8">
        <w:t>t</w:t>
      </w:r>
      <w:r w:rsidR="00FE7710">
        <w:t>he</w:t>
      </w:r>
      <w:r w:rsidRPr="00DD6AA8">
        <w:t xml:space="preserve"> pAAm-pec-IDA, and the quantification of chelated metal</w:t>
      </w:r>
      <w:r w:rsidR="00FE7710">
        <w:t>s</w:t>
      </w:r>
      <w:r w:rsidRPr="00DD6AA8">
        <w:t xml:space="preserve"> w</w:t>
      </w:r>
      <w:r w:rsidR="00FE7710">
        <w:t>as</w:t>
      </w:r>
      <w:r w:rsidRPr="00DD6AA8">
        <w:t xml:space="preserve"> 57</w:t>
      </w:r>
      <w:r w:rsidR="00F13CA2" w:rsidRPr="00DD6AA8">
        <w:t>.01</w:t>
      </w:r>
      <w:r w:rsidR="00DF5BD7" w:rsidRPr="00DD6AA8">
        <w:t xml:space="preserve"> </w:t>
      </w:r>
      <w:r w:rsidR="00C13192" w:rsidRPr="00432623">
        <w:t>±</w:t>
      </w:r>
      <w:r w:rsidR="00DF5BD7" w:rsidRPr="00432623">
        <w:t xml:space="preserve"> </w:t>
      </w:r>
      <w:r w:rsidR="00C13192" w:rsidRPr="00432623">
        <w:t>1.05, 3</w:t>
      </w:r>
      <w:r w:rsidR="00F13CA2" w:rsidRPr="00432623">
        <w:t>0.92</w:t>
      </w:r>
      <w:r w:rsidR="00DF5BD7" w:rsidRPr="00432623">
        <w:t xml:space="preserve"> </w:t>
      </w:r>
      <w:r w:rsidR="00C13192" w:rsidRPr="00432623">
        <w:t>±</w:t>
      </w:r>
      <w:r w:rsidR="00DF5BD7" w:rsidRPr="00432623">
        <w:t xml:space="preserve"> </w:t>
      </w:r>
      <w:r w:rsidR="00C13192" w:rsidRPr="00432623">
        <w:t>0.69, and 44.</w:t>
      </w:r>
      <w:r w:rsidR="00F13CA2" w:rsidRPr="00432623">
        <w:t>29</w:t>
      </w:r>
      <w:r w:rsidR="00DF5BD7" w:rsidRPr="00432623">
        <w:t xml:space="preserve"> </w:t>
      </w:r>
      <w:r w:rsidR="00C13192" w:rsidRPr="00432623">
        <w:t>±</w:t>
      </w:r>
      <w:r w:rsidR="00DF5BD7" w:rsidRPr="00432623">
        <w:t xml:space="preserve"> </w:t>
      </w:r>
      <w:r w:rsidR="00C13192" w:rsidRPr="00432623">
        <w:t>0.27 µmol/</w:t>
      </w:r>
      <w:r w:rsidR="002B4BDF" w:rsidRPr="00432623">
        <w:t>m</w:t>
      </w:r>
      <w:r w:rsidR="00C13192" w:rsidRPr="00432623">
        <w:t xml:space="preserve">L, respectively. The molarity of chelated Cu(II) was </w:t>
      </w:r>
      <w:proofErr w:type="gramStart"/>
      <w:r w:rsidR="00C13192" w:rsidRPr="00432623">
        <w:t>similar to</w:t>
      </w:r>
      <w:proofErr w:type="gramEnd"/>
      <w:r w:rsidR="00C13192" w:rsidRPr="00432623">
        <w:t xml:space="preserve"> that </w:t>
      </w:r>
      <w:r w:rsidR="00FE7710" w:rsidRPr="00432623">
        <w:t>reported</w:t>
      </w:r>
      <w:r w:rsidR="00C13192" w:rsidRPr="00432623">
        <w:t xml:space="preserve"> in the literature; Kumar et al11 reported chelation of 25 to 62 µmol Cu(II)/mL pAAm-IDA cryogel and Sepharose®-IDA, respectively.</w:t>
      </w:r>
    </w:p>
    <w:p w14:paraId="164D50D5" w14:textId="77777777" w:rsidR="00F22E53" w:rsidRPr="00432623" w:rsidRDefault="00F22E53" w:rsidP="00C63851">
      <w:pPr>
        <w:ind w:right="40" w:firstLine="284"/>
        <w:jc w:val="both"/>
      </w:pPr>
      <w:r w:rsidRPr="00432623">
        <w:t>In IMAC, salts such as NaCl are typically used in the adsorption buffer to prevent electrostatic interactions between the protein and the metal chelate. In this study, the adsorption buffer was devoid of salt to promote electrostatic interactions between the protein and the metal chelate. This approach enhances the adsorption capacity for the IgG [4,5,6].</w:t>
      </w:r>
    </w:p>
    <w:p w14:paraId="2F22C82F" w14:textId="77777777" w:rsidR="005A541E" w:rsidRDefault="00C13192" w:rsidP="00C63851">
      <w:pPr>
        <w:ind w:right="40" w:firstLine="284"/>
        <w:jc w:val="both"/>
      </w:pPr>
      <w:r w:rsidRPr="00432623">
        <w:t>As shown in Figure</w:t>
      </w:r>
      <w:r w:rsidRPr="00DD6AA8">
        <w:t xml:space="preserve"> </w:t>
      </w:r>
      <w:r w:rsidR="00856792">
        <w:t>3</w:t>
      </w:r>
      <w:r w:rsidRPr="00DD6AA8">
        <w:t>, the IDA-Co(II), IDA-Cu(II), and IDA-Ni(II)</w:t>
      </w:r>
      <w:r w:rsidR="00E41B4A" w:rsidRPr="00DD6AA8">
        <w:t xml:space="preserve"> were able to adsorb hIgG, retaining about 87%, 90% and 77% of the fed protein</w:t>
      </w:r>
      <w:r w:rsidR="004E0E1D">
        <w:t>, respectively</w:t>
      </w:r>
      <w:r w:rsidR="00E41B4A" w:rsidRPr="00DD6AA8">
        <w:t xml:space="preserve">. This can be explained by the combination of electrostatics and coordination interactions between the hIgG and the metal ions, allowed by the zwitterionic character of the MOPS buffer, which does not compete for the binding sites on the cryogel. On </w:t>
      </w:r>
      <w:r w:rsidR="00FE7710">
        <w:t xml:space="preserve">the </w:t>
      </w:r>
      <w:r w:rsidR="00E41B4A" w:rsidRPr="00DD6AA8">
        <w:t>other hand, the difference in the amount of hIgG</w:t>
      </w:r>
      <w:r w:rsidR="006C5001">
        <w:t xml:space="preserve"> </w:t>
      </w:r>
      <w:r w:rsidR="006C5001" w:rsidRPr="00DD6AA8">
        <w:t>adsorbed</w:t>
      </w:r>
      <w:r w:rsidR="00E41B4A" w:rsidRPr="00DD6AA8">
        <w:t xml:space="preserve"> could be related to the type of metal ion</w:t>
      </w:r>
      <w:r w:rsidR="006C5001" w:rsidRPr="006C5001">
        <w:t xml:space="preserve"> </w:t>
      </w:r>
      <w:r w:rsidR="006C5001" w:rsidRPr="00DD6AA8">
        <w:t>chelated</w:t>
      </w:r>
      <w:r w:rsidR="00E41B4A" w:rsidRPr="00DD6AA8">
        <w:t>. According to Sulkowski</w:t>
      </w:r>
      <w:r w:rsidR="00E41B4A" w:rsidRPr="00117CC9">
        <w:rPr>
          <w:vertAlign w:val="superscript"/>
        </w:rPr>
        <w:t>12</w:t>
      </w:r>
      <w:r w:rsidR="00E41B4A" w:rsidRPr="00DD6AA8">
        <w:t xml:space="preserve">, the chelated Co(II) and Ni (II) </w:t>
      </w:r>
      <w:r w:rsidR="006C5001">
        <w:t>require</w:t>
      </w:r>
      <w:r w:rsidR="00E41B4A" w:rsidRPr="00DD6AA8">
        <w:t xml:space="preserve"> several exposed histidine residues on the protein surface for interaction, whereas chelated Cu(II) requires only one.</w:t>
      </w:r>
    </w:p>
    <w:p w14:paraId="64666D84" w14:textId="77777777" w:rsidR="00A97852" w:rsidRPr="00DD6AA8" w:rsidRDefault="00A97852" w:rsidP="00A97852">
      <w:pPr>
        <w:ind w:right="40" w:firstLine="284"/>
        <w:jc w:val="both"/>
      </w:pPr>
    </w:p>
    <w:p w14:paraId="488454DE" w14:textId="77777777" w:rsidR="00A97852" w:rsidRPr="00DD6AA8" w:rsidRDefault="00A97852" w:rsidP="00A97852">
      <w:pPr>
        <w:spacing w:before="238" w:line="228" w:lineRule="auto"/>
        <w:ind w:right="40"/>
        <w:jc w:val="both"/>
      </w:pPr>
      <w:r w:rsidRPr="00DD6AA8">
        <w:rPr>
          <w:noProof/>
          <w:lang w:val="pt-BR" w:eastAsia="pt-BR"/>
        </w:rPr>
        <w:drawing>
          <wp:inline distT="0" distB="0" distL="0" distR="0" wp14:anchorId="18230D75" wp14:editId="13C810DB">
            <wp:extent cx="2924175" cy="1590260"/>
            <wp:effectExtent l="0" t="0" r="0" b="0"/>
            <wp:docPr id="633841385" name="Gráfico 1">
              <a:extLst xmlns:a="http://schemas.openxmlformats.org/drawingml/2006/main">
                <a:ext uri="{FF2B5EF4-FFF2-40B4-BE49-F238E27FC236}">
                  <a16:creationId xmlns:a16="http://schemas.microsoft.com/office/drawing/2014/main" id="{E399A395-3BD0-6A40-DC9A-B3D424DFE3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B8A26A" w14:textId="77777777" w:rsidR="00A97852" w:rsidRDefault="00A97852" w:rsidP="007B1627">
      <w:pPr>
        <w:ind w:right="40"/>
        <w:jc w:val="both"/>
      </w:pPr>
      <w:r w:rsidRPr="00DD6AA8">
        <w:t xml:space="preserve">Fig. </w:t>
      </w:r>
      <w:r w:rsidR="00117CC9">
        <w:t>3</w:t>
      </w:r>
      <w:r w:rsidRPr="00DD6AA8">
        <w:t>. Effect of the immobilized metal ion on the hIgG adsorption onto pAAm-pec-IDA cryogel. Red, blue, and green are Co(II), Cu(II), and Ni(II), respectively.</w:t>
      </w:r>
    </w:p>
    <w:p w14:paraId="213B8737" w14:textId="77777777" w:rsidR="00A97852" w:rsidRPr="00DD6AA8" w:rsidRDefault="00A97852" w:rsidP="00A97852">
      <w:pPr>
        <w:ind w:right="40" w:firstLine="284"/>
        <w:jc w:val="both"/>
      </w:pPr>
    </w:p>
    <w:p w14:paraId="03BF0022" w14:textId="77777777" w:rsidR="00C13192" w:rsidRPr="00DD6AA8" w:rsidRDefault="00E41B4A" w:rsidP="00C63851">
      <w:pPr>
        <w:ind w:right="40" w:firstLine="284"/>
        <w:jc w:val="both"/>
      </w:pPr>
      <w:r w:rsidRPr="00DD6AA8">
        <w:t>Furthermore, the adsorbed hIgG was eluted using the ad</w:t>
      </w:r>
      <w:r w:rsidR="005A541E" w:rsidRPr="00DD6AA8">
        <w:t xml:space="preserve">sorption buffer containing imidazole as a </w:t>
      </w:r>
      <w:r w:rsidR="005A541E" w:rsidRPr="00DD6AA8">
        <w:lastRenderedPageBreak/>
        <w:t>competit</w:t>
      </w:r>
      <w:r w:rsidR="00AE7D14">
        <w:t>ive</w:t>
      </w:r>
      <w:r w:rsidR="005A541E" w:rsidRPr="00DD6AA8">
        <w:t xml:space="preserve"> agent. The imidazole elution method </w:t>
      </w:r>
      <w:r w:rsidR="00AE7D14">
        <w:t>showed an</w:t>
      </w:r>
      <w:r w:rsidR="005A541E" w:rsidRPr="00DD6AA8">
        <w:t xml:space="preserve"> incomplete recovery of the total adsorbed hIgG, resulting in contamination of the eluted fractions with metal ions complexed with EDTA during the subsequent regeneration step. The implementation of a gel filtration column downstream of the pAAm-pec-IDA-Me(II) cryogel columns could facilitate the removal of EDTA-complexed metal ions from the eluate without compromising the overall efficiency of the purification process.</w:t>
      </w:r>
    </w:p>
    <w:p w14:paraId="5174BFD7" w14:textId="77777777" w:rsidR="00C63851" w:rsidRPr="00DD6AA8" w:rsidRDefault="00C63851" w:rsidP="00C63851">
      <w:pPr>
        <w:pStyle w:val="Ttulo1"/>
        <w:spacing w:before="240"/>
        <w:ind w:left="0"/>
      </w:pPr>
      <w:r w:rsidRPr="00DD6AA8">
        <w:t>4. Conclusion</w:t>
      </w:r>
    </w:p>
    <w:p w14:paraId="06F06A62" w14:textId="77777777" w:rsidR="00C63851" w:rsidRPr="00DD6AA8" w:rsidRDefault="00C63851" w:rsidP="00C63851">
      <w:pPr>
        <w:spacing w:before="240"/>
        <w:ind w:right="40" w:firstLine="284"/>
        <w:jc w:val="both"/>
      </w:pPr>
      <w:r w:rsidRPr="00DD6AA8">
        <w:t xml:space="preserve">The acrylamide and pectin </w:t>
      </w:r>
      <w:r w:rsidR="00AE7D14">
        <w:t xml:space="preserve">based cryogels </w:t>
      </w:r>
      <w:r w:rsidRPr="00DD6AA8">
        <w:t>synthesized in this work showed high porosity, spongy aspect</w:t>
      </w:r>
      <w:r w:rsidR="00AE7D14">
        <w:t xml:space="preserve"> </w:t>
      </w:r>
      <w:r w:rsidRPr="00DD6AA8">
        <w:t xml:space="preserve">and ideal </w:t>
      </w:r>
      <w:r w:rsidR="00AE7D14">
        <w:t>properties</w:t>
      </w:r>
      <w:r w:rsidRPr="00DD6AA8">
        <w:t xml:space="preserve"> for a stationary phase in chromatography. Both pAAm-pec and pAAm-pec-IDA-Me(II) cryogels were able to adsorb hIgG, demonstrating their potential for use as chromatographic columns, especially in IMAC. Among the buffer systems studied, MOPS at pH 6.5 promoted the adsorption of hIgG in both cryogels. These results highlight the potential of the polyacrylamide-pectin-based cryogels for use as a </w:t>
      </w:r>
      <w:r w:rsidR="001462B6" w:rsidRPr="00DD6AA8">
        <w:t>chromatographic column</w:t>
      </w:r>
      <w:r w:rsidRPr="00DD6AA8">
        <w:t xml:space="preserve"> for protein separation.</w:t>
      </w:r>
    </w:p>
    <w:p w14:paraId="502DEBD2" w14:textId="77777777" w:rsidR="005A541E" w:rsidRPr="00DD6AA8" w:rsidRDefault="005A541E" w:rsidP="005A541E">
      <w:pPr>
        <w:spacing w:line="228" w:lineRule="auto"/>
        <w:ind w:right="40"/>
        <w:jc w:val="both"/>
      </w:pPr>
    </w:p>
    <w:p w14:paraId="0CBCB64D" w14:textId="77777777" w:rsidR="00023068" w:rsidRPr="00DD6AA8" w:rsidRDefault="00023068" w:rsidP="00D35FA3">
      <w:pPr>
        <w:pStyle w:val="Ttulo1"/>
        <w:spacing w:before="240"/>
        <w:ind w:left="0"/>
      </w:pPr>
      <w:r w:rsidRPr="00DD6AA8">
        <w:t xml:space="preserve">Acknowledgements </w:t>
      </w:r>
    </w:p>
    <w:p w14:paraId="3EAA67BD" w14:textId="77777777" w:rsidR="00023068" w:rsidRPr="00DD6AA8" w:rsidRDefault="00D35FA3" w:rsidP="00D35FA3">
      <w:pPr>
        <w:spacing w:before="240"/>
        <w:ind w:right="40" w:firstLine="284"/>
        <w:jc w:val="both"/>
      </w:pPr>
      <w:r w:rsidRPr="00DD6AA8">
        <w:t>The authors acknowledgement the scholarship received from the National Council for Scientific and Technological Development, CNPq. This study was financed by the Coordination for the Improvement of Higher Education Personnel – CAPES, Brazil, Finance Code 001.</w:t>
      </w:r>
    </w:p>
    <w:p w14:paraId="2A5A873E" w14:textId="77777777" w:rsidR="00023068" w:rsidRPr="009C38CA" w:rsidRDefault="00023068" w:rsidP="00023068">
      <w:pPr>
        <w:pStyle w:val="Ttulo1"/>
        <w:spacing w:before="240"/>
        <w:ind w:left="0"/>
        <w:rPr>
          <w:lang w:val="pt-BR"/>
        </w:rPr>
      </w:pPr>
      <w:proofErr w:type="spellStart"/>
      <w:r w:rsidRPr="009C38CA">
        <w:rPr>
          <w:lang w:val="pt-BR"/>
        </w:rPr>
        <w:t>References</w:t>
      </w:r>
      <w:proofErr w:type="spellEnd"/>
    </w:p>
    <w:p w14:paraId="6E03173C" w14:textId="77777777" w:rsidR="00023068" w:rsidRPr="009C38CA" w:rsidRDefault="00023068" w:rsidP="00023068">
      <w:pPr>
        <w:rPr>
          <w:b/>
          <w:bCs/>
          <w:lang w:val="pt-BR"/>
        </w:rPr>
      </w:pPr>
    </w:p>
    <w:p w14:paraId="079F3E1B" w14:textId="77777777" w:rsidR="009F0859" w:rsidRPr="00340EB1" w:rsidRDefault="009F0859" w:rsidP="0046598A">
      <w:pPr>
        <w:ind w:left="284" w:hanging="284"/>
        <w:jc w:val="both"/>
        <w:rPr>
          <w:sz w:val="20"/>
          <w:szCs w:val="20"/>
          <w:lang w:val="pt-BR"/>
        </w:rPr>
      </w:pPr>
      <w:r w:rsidRPr="00DD6AA8">
        <w:rPr>
          <w:sz w:val="20"/>
          <w:szCs w:val="20"/>
          <w:lang w:val="pt-BR"/>
        </w:rPr>
        <w:t>[</w:t>
      </w:r>
      <w:r w:rsidRPr="00340EB1">
        <w:rPr>
          <w:sz w:val="20"/>
          <w:szCs w:val="20"/>
          <w:lang w:val="pt-BR"/>
        </w:rPr>
        <w:t>1]</w:t>
      </w:r>
      <w:r w:rsidR="00FC7A5D" w:rsidRPr="00340EB1">
        <w:rPr>
          <w:sz w:val="20"/>
          <w:szCs w:val="20"/>
          <w:lang w:val="pt-BR"/>
        </w:rPr>
        <w:t xml:space="preserve"> </w:t>
      </w:r>
      <w:r w:rsidR="0046598A" w:rsidRPr="00340EB1">
        <w:rPr>
          <w:sz w:val="20"/>
          <w:szCs w:val="20"/>
          <w:lang w:val="pt-BR"/>
        </w:rPr>
        <w:t>S</w:t>
      </w:r>
      <w:r w:rsidR="00B24FA2" w:rsidRPr="00340EB1">
        <w:rPr>
          <w:sz w:val="20"/>
          <w:szCs w:val="20"/>
          <w:lang w:val="pt-BR"/>
        </w:rPr>
        <w:t>.</w:t>
      </w:r>
      <w:r w:rsidR="00457C00" w:rsidRPr="00340EB1">
        <w:rPr>
          <w:sz w:val="20"/>
          <w:szCs w:val="20"/>
          <w:lang w:val="pt-BR"/>
        </w:rPr>
        <w:t xml:space="preserve"> </w:t>
      </w:r>
      <w:r w:rsidR="0046598A" w:rsidRPr="00340EB1">
        <w:rPr>
          <w:sz w:val="20"/>
          <w:szCs w:val="20"/>
          <w:lang w:val="pt-BR"/>
        </w:rPr>
        <w:t>M</w:t>
      </w:r>
      <w:r w:rsidR="00B24FA2" w:rsidRPr="00340EB1">
        <w:rPr>
          <w:sz w:val="20"/>
          <w:szCs w:val="20"/>
          <w:lang w:val="pt-BR"/>
        </w:rPr>
        <w:t>.</w:t>
      </w:r>
      <w:r w:rsidR="00457C00" w:rsidRPr="00340EB1">
        <w:rPr>
          <w:sz w:val="20"/>
          <w:szCs w:val="20"/>
          <w:lang w:val="pt-BR"/>
        </w:rPr>
        <w:t xml:space="preserve"> </w:t>
      </w:r>
      <w:r w:rsidR="0046598A" w:rsidRPr="00340EB1">
        <w:rPr>
          <w:sz w:val="20"/>
          <w:szCs w:val="20"/>
          <w:lang w:val="pt-BR"/>
        </w:rPr>
        <w:t>A</w:t>
      </w:r>
      <w:r w:rsidR="00B24FA2" w:rsidRPr="00340EB1">
        <w:rPr>
          <w:sz w:val="20"/>
          <w:szCs w:val="20"/>
          <w:lang w:val="pt-BR"/>
        </w:rPr>
        <w:t xml:space="preserve">. </w:t>
      </w:r>
      <w:r w:rsidR="0046598A" w:rsidRPr="00340EB1">
        <w:rPr>
          <w:sz w:val="20"/>
          <w:szCs w:val="20"/>
          <w:lang w:val="pt-BR"/>
        </w:rPr>
        <w:t>Bueno</w:t>
      </w:r>
      <w:r w:rsidR="00B24FA2" w:rsidRPr="00340EB1">
        <w:rPr>
          <w:sz w:val="20"/>
          <w:szCs w:val="20"/>
          <w:lang w:val="pt-BR"/>
        </w:rPr>
        <w:t xml:space="preserve"> and</w:t>
      </w:r>
      <w:r w:rsidR="0046598A" w:rsidRPr="00340EB1">
        <w:rPr>
          <w:sz w:val="20"/>
          <w:szCs w:val="20"/>
          <w:lang w:val="pt-BR"/>
        </w:rPr>
        <w:t xml:space="preserve"> E</w:t>
      </w:r>
      <w:r w:rsidR="00B24FA2" w:rsidRPr="00340EB1">
        <w:rPr>
          <w:sz w:val="20"/>
          <w:szCs w:val="20"/>
          <w:lang w:val="pt-BR"/>
        </w:rPr>
        <w:t>.</w:t>
      </w:r>
      <w:r w:rsidR="00457C00" w:rsidRPr="00340EB1">
        <w:rPr>
          <w:sz w:val="20"/>
          <w:szCs w:val="20"/>
          <w:lang w:val="pt-BR"/>
        </w:rPr>
        <w:t xml:space="preserve"> </w:t>
      </w:r>
      <w:r w:rsidR="0046598A" w:rsidRPr="00340EB1">
        <w:rPr>
          <w:sz w:val="20"/>
          <w:szCs w:val="20"/>
          <w:lang w:val="pt-BR"/>
        </w:rPr>
        <w:t>A</w:t>
      </w:r>
      <w:r w:rsidR="00B24FA2" w:rsidRPr="00340EB1">
        <w:rPr>
          <w:sz w:val="20"/>
          <w:szCs w:val="20"/>
          <w:lang w:val="pt-BR"/>
        </w:rPr>
        <w:t xml:space="preserve">. </w:t>
      </w:r>
      <w:r w:rsidR="0046598A" w:rsidRPr="00340EB1">
        <w:rPr>
          <w:sz w:val="20"/>
          <w:szCs w:val="20"/>
          <w:lang w:val="pt-BR"/>
        </w:rPr>
        <w:t xml:space="preserve">Miranda. Membranas </w:t>
      </w:r>
      <w:proofErr w:type="spellStart"/>
      <w:r w:rsidR="0046598A" w:rsidRPr="00340EB1">
        <w:rPr>
          <w:sz w:val="20"/>
          <w:szCs w:val="20"/>
          <w:lang w:val="pt-BR"/>
        </w:rPr>
        <w:t>adsortivas</w:t>
      </w:r>
      <w:proofErr w:type="spellEnd"/>
      <w:r w:rsidR="0046598A" w:rsidRPr="00340EB1">
        <w:rPr>
          <w:sz w:val="20"/>
          <w:szCs w:val="20"/>
          <w:lang w:val="pt-BR"/>
        </w:rPr>
        <w:t xml:space="preserve"> em purificação de produtos biotecnológicos. A. Pessoa Jr</w:t>
      </w:r>
      <w:r w:rsidR="00B24FA2" w:rsidRPr="00340EB1">
        <w:rPr>
          <w:sz w:val="20"/>
          <w:szCs w:val="20"/>
          <w:lang w:val="pt-BR"/>
        </w:rPr>
        <w:t xml:space="preserve"> and</w:t>
      </w:r>
      <w:r w:rsidR="0046598A" w:rsidRPr="00340EB1">
        <w:rPr>
          <w:sz w:val="20"/>
          <w:szCs w:val="20"/>
          <w:lang w:val="pt-BR"/>
        </w:rPr>
        <w:t xml:space="preserve"> B.V. Kilikian (</w:t>
      </w:r>
      <w:proofErr w:type="spellStart"/>
      <w:r w:rsidR="0046598A" w:rsidRPr="00340EB1">
        <w:rPr>
          <w:sz w:val="20"/>
          <w:szCs w:val="20"/>
          <w:lang w:val="pt-BR"/>
        </w:rPr>
        <w:t>ed</w:t>
      </w:r>
      <w:proofErr w:type="spellEnd"/>
      <w:r w:rsidR="0046598A" w:rsidRPr="00340EB1">
        <w:rPr>
          <w:sz w:val="20"/>
          <w:szCs w:val="20"/>
          <w:lang w:val="pt-BR"/>
        </w:rPr>
        <w:t>), Editora Manole, Brasil</w:t>
      </w:r>
      <w:r w:rsidR="00F66F6F" w:rsidRPr="00340EB1">
        <w:rPr>
          <w:sz w:val="20"/>
          <w:szCs w:val="20"/>
          <w:lang w:val="pt-BR"/>
        </w:rPr>
        <w:t>, 2005</w:t>
      </w:r>
      <w:r w:rsidR="0046598A" w:rsidRPr="00340EB1">
        <w:rPr>
          <w:sz w:val="20"/>
          <w:szCs w:val="20"/>
          <w:lang w:val="pt-BR"/>
        </w:rPr>
        <w:t>.</w:t>
      </w:r>
    </w:p>
    <w:p w14:paraId="031E351B" w14:textId="77777777" w:rsidR="00B24FA2" w:rsidRPr="00340EB1" w:rsidRDefault="00B24FA2" w:rsidP="0046598A">
      <w:pPr>
        <w:ind w:left="284" w:hanging="284"/>
        <w:jc w:val="both"/>
        <w:rPr>
          <w:sz w:val="20"/>
          <w:szCs w:val="20"/>
        </w:rPr>
      </w:pPr>
      <w:r w:rsidRPr="00340EB1">
        <w:rPr>
          <w:sz w:val="20"/>
          <w:szCs w:val="20"/>
          <w:lang w:val="pt-BR"/>
        </w:rPr>
        <w:t>[2] R.</w:t>
      </w:r>
      <w:r w:rsidR="00457C00" w:rsidRPr="00340EB1">
        <w:rPr>
          <w:sz w:val="20"/>
          <w:szCs w:val="20"/>
          <w:lang w:val="pt-BR"/>
        </w:rPr>
        <w:t xml:space="preserve"> </w:t>
      </w:r>
      <w:r w:rsidRPr="00340EB1">
        <w:rPr>
          <w:sz w:val="20"/>
          <w:szCs w:val="20"/>
          <w:lang w:val="pt-BR"/>
        </w:rPr>
        <w:t>D. Arrua, C.</w:t>
      </w:r>
      <w:r w:rsidR="00457C00" w:rsidRPr="00340EB1">
        <w:rPr>
          <w:sz w:val="20"/>
          <w:szCs w:val="20"/>
          <w:lang w:val="pt-BR"/>
        </w:rPr>
        <w:t xml:space="preserve"> </w:t>
      </w:r>
      <w:r w:rsidRPr="00340EB1">
        <w:rPr>
          <w:sz w:val="20"/>
          <w:szCs w:val="20"/>
          <w:lang w:val="pt-BR"/>
        </w:rPr>
        <w:t>I.</w:t>
      </w:r>
      <w:r w:rsidR="00457C00" w:rsidRPr="00340EB1">
        <w:rPr>
          <w:sz w:val="20"/>
          <w:szCs w:val="20"/>
          <w:lang w:val="pt-BR"/>
        </w:rPr>
        <w:t xml:space="preserve"> </w:t>
      </w:r>
      <w:r w:rsidRPr="00340EB1">
        <w:rPr>
          <w:sz w:val="20"/>
          <w:szCs w:val="20"/>
          <w:lang w:val="pt-BR"/>
        </w:rPr>
        <w:t xml:space="preserve">A. </w:t>
      </w:r>
      <w:proofErr w:type="spellStart"/>
      <w:r w:rsidRPr="00340EB1">
        <w:rPr>
          <w:sz w:val="20"/>
          <w:szCs w:val="20"/>
          <w:lang w:val="pt-BR"/>
        </w:rPr>
        <w:t>Igarzabal</w:t>
      </w:r>
      <w:proofErr w:type="spellEnd"/>
      <w:r w:rsidRPr="00340EB1">
        <w:rPr>
          <w:sz w:val="20"/>
          <w:szCs w:val="20"/>
          <w:lang w:val="pt-BR"/>
        </w:rPr>
        <w:t>.</w:t>
      </w:r>
      <w:r w:rsidR="002F668C" w:rsidRPr="00340EB1">
        <w:rPr>
          <w:sz w:val="20"/>
          <w:szCs w:val="20"/>
          <w:lang w:val="pt-BR"/>
        </w:rPr>
        <w:t xml:space="preserve"> </w:t>
      </w:r>
      <w:r w:rsidR="002F668C" w:rsidRPr="00340EB1">
        <w:rPr>
          <w:sz w:val="20"/>
          <w:szCs w:val="20"/>
        </w:rPr>
        <w:t>Macroporous monolithic supports for Affinity Chromatography.</w:t>
      </w:r>
      <w:r w:rsidRPr="00340EB1">
        <w:rPr>
          <w:sz w:val="20"/>
          <w:szCs w:val="20"/>
        </w:rPr>
        <w:t xml:space="preserve"> </w:t>
      </w:r>
      <w:r w:rsidR="007C6C03" w:rsidRPr="00340EB1">
        <w:rPr>
          <w:sz w:val="20"/>
          <w:szCs w:val="20"/>
        </w:rPr>
        <w:t xml:space="preserve">Journal of Separation Science. </w:t>
      </w:r>
      <w:r w:rsidRPr="00340EB1">
        <w:rPr>
          <w:sz w:val="20"/>
          <w:szCs w:val="20"/>
        </w:rPr>
        <w:t xml:space="preserve">Vol. </w:t>
      </w:r>
      <w:r w:rsidR="00ED170E" w:rsidRPr="00340EB1">
        <w:rPr>
          <w:sz w:val="20"/>
          <w:szCs w:val="20"/>
        </w:rPr>
        <w:t>34</w:t>
      </w:r>
      <w:r w:rsidRPr="00340EB1">
        <w:rPr>
          <w:sz w:val="20"/>
          <w:szCs w:val="20"/>
        </w:rPr>
        <w:t>, pp. 1974 – 1987, 2011.</w:t>
      </w:r>
    </w:p>
    <w:p w14:paraId="38E7EF20" w14:textId="77777777" w:rsidR="00B24FA2" w:rsidRPr="00AB6CFA" w:rsidRDefault="00B24FA2" w:rsidP="00B24FA2">
      <w:pPr>
        <w:ind w:left="284" w:hanging="284"/>
        <w:jc w:val="both"/>
        <w:rPr>
          <w:sz w:val="20"/>
          <w:szCs w:val="20"/>
        </w:rPr>
      </w:pPr>
      <w:r w:rsidRPr="00340EB1">
        <w:rPr>
          <w:sz w:val="20"/>
          <w:szCs w:val="20"/>
        </w:rPr>
        <w:t>[3] S. Hajizadeh</w:t>
      </w:r>
      <w:r w:rsidR="00D92935" w:rsidRPr="00340EB1">
        <w:rPr>
          <w:sz w:val="20"/>
          <w:szCs w:val="20"/>
        </w:rPr>
        <w:t xml:space="preserve">, B. Mattiasson, H. </w:t>
      </w:r>
      <w:proofErr w:type="spellStart"/>
      <w:r w:rsidR="00D92935" w:rsidRPr="00340EB1">
        <w:rPr>
          <w:sz w:val="20"/>
          <w:szCs w:val="20"/>
        </w:rPr>
        <w:t>Kirsebom</w:t>
      </w:r>
      <w:proofErr w:type="spellEnd"/>
      <w:r w:rsidRPr="00340EB1">
        <w:rPr>
          <w:sz w:val="20"/>
          <w:szCs w:val="20"/>
        </w:rPr>
        <w:t>.</w:t>
      </w:r>
      <w:r w:rsidR="002F668C" w:rsidRPr="00340EB1">
        <w:rPr>
          <w:sz w:val="20"/>
          <w:szCs w:val="20"/>
        </w:rPr>
        <w:t xml:space="preserve"> Flow-through-mediated surface immobilization of sub-</w:t>
      </w:r>
      <w:proofErr w:type="spellStart"/>
      <w:r w:rsidR="002F668C" w:rsidRPr="00340EB1">
        <w:rPr>
          <w:sz w:val="20"/>
          <w:szCs w:val="20"/>
        </w:rPr>
        <w:t>micrometre</w:t>
      </w:r>
      <w:proofErr w:type="spellEnd"/>
      <w:r w:rsidR="002F668C" w:rsidRPr="00340EB1">
        <w:rPr>
          <w:sz w:val="20"/>
          <w:szCs w:val="20"/>
        </w:rPr>
        <w:t xml:space="preserve"> particles in monolithic cryogels.</w:t>
      </w:r>
      <w:r w:rsidR="00AB6CFA">
        <w:rPr>
          <w:sz w:val="20"/>
          <w:szCs w:val="20"/>
        </w:rPr>
        <w:t xml:space="preserve"> </w:t>
      </w:r>
      <w:r w:rsidR="007C6C03" w:rsidRPr="00340EB1">
        <w:rPr>
          <w:sz w:val="20"/>
          <w:szCs w:val="20"/>
        </w:rPr>
        <w:t xml:space="preserve">Macromolecular Materials and Engineering. </w:t>
      </w:r>
      <w:r w:rsidRPr="00AB6CFA">
        <w:rPr>
          <w:sz w:val="20"/>
          <w:szCs w:val="20"/>
        </w:rPr>
        <w:t xml:space="preserve">Vol. </w:t>
      </w:r>
      <w:r w:rsidR="00D92935" w:rsidRPr="00AB6CFA">
        <w:rPr>
          <w:sz w:val="20"/>
          <w:szCs w:val="20"/>
        </w:rPr>
        <w:t>299</w:t>
      </w:r>
      <w:r w:rsidRPr="00AB6CFA">
        <w:rPr>
          <w:sz w:val="20"/>
          <w:szCs w:val="20"/>
        </w:rPr>
        <w:t xml:space="preserve">, pp. </w:t>
      </w:r>
      <w:r w:rsidR="00D92935" w:rsidRPr="00AB6CFA">
        <w:rPr>
          <w:sz w:val="20"/>
          <w:szCs w:val="20"/>
        </w:rPr>
        <w:t>631</w:t>
      </w:r>
      <w:r w:rsidRPr="00AB6CFA">
        <w:rPr>
          <w:sz w:val="20"/>
          <w:szCs w:val="20"/>
        </w:rPr>
        <w:t xml:space="preserve"> – </w:t>
      </w:r>
      <w:r w:rsidR="00D92935" w:rsidRPr="00AB6CFA">
        <w:rPr>
          <w:sz w:val="20"/>
          <w:szCs w:val="20"/>
        </w:rPr>
        <w:t>638</w:t>
      </w:r>
      <w:r w:rsidRPr="00AB6CFA">
        <w:rPr>
          <w:sz w:val="20"/>
          <w:szCs w:val="20"/>
        </w:rPr>
        <w:t>, 20</w:t>
      </w:r>
      <w:r w:rsidR="00D92935" w:rsidRPr="00AB6CFA">
        <w:rPr>
          <w:sz w:val="20"/>
          <w:szCs w:val="20"/>
        </w:rPr>
        <w:t>14</w:t>
      </w:r>
      <w:r w:rsidRPr="00AB6CFA">
        <w:rPr>
          <w:sz w:val="20"/>
          <w:szCs w:val="20"/>
        </w:rPr>
        <w:t>.</w:t>
      </w:r>
    </w:p>
    <w:p w14:paraId="34CD7FCF" w14:textId="77777777" w:rsidR="008D67F8" w:rsidRPr="00340EB1" w:rsidRDefault="008D67F8" w:rsidP="00F66F6F">
      <w:pPr>
        <w:ind w:left="284" w:hanging="284"/>
        <w:jc w:val="both"/>
        <w:rPr>
          <w:sz w:val="20"/>
          <w:szCs w:val="20"/>
        </w:rPr>
      </w:pPr>
      <w:r w:rsidRPr="00AB6CFA">
        <w:rPr>
          <w:sz w:val="20"/>
          <w:szCs w:val="20"/>
        </w:rPr>
        <w:t>[4] C.</w:t>
      </w:r>
      <w:r w:rsidR="00457C00" w:rsidRPr="00AB6CFA">
        <w:rPr>
          <w:sz w:val="20"/>
          <w:szCs w:val="20"/>
        </w:rPr>
        <w:t xml:space="preserve"> </w:t>
      </w:r>
      <w:r w:rsidRPr="00AB6CFA">
        <w:rPr>
          <w:sz w:val="20"/>
          <w:szCs w:val="20"/>
        </w:rPr>
        <w:t>A. Mourão, C. Marcuz, K. Haupt, S.</w:t>
      </w:r>
      <w:r w:rsidR="00457C00" w:rsidRPr="00AB6CFA">
        <w:rPr>
          <w:sz w:val="20"/>
          <w:szCs w:val="20"/>
        </w:rPr>
        <w:t xml:space="preserve"> </w:t>
      </w:r>
      <w:r w:rsidRPr="00AB6CFA">
        <w:rPr>
          <w:sz w:val="20"/>
          <w:szCs w:val="20"/>
        </w:rPr>
        <w:t>M.</w:t>
      </w:r>
      <w:r w:rsidR="00457C00" w:rsidRPr="00AB6CFA">
        <w:rPr>
          <w:sz w:val="20"/>
          <w:szCs w:val="20"/>
        </w:rPr>
        <w:t xml:space="preserve"> </w:t>
      </w:r>
      <w:r w:rsidRPr="00AB6CFA">
        <w:rPr>
          <w:sz w:val="20"/>
          <w:szCs w:val="20"/>
        </w:rPr>
        <w:t xml:space="preserve">A. Bueno. </w:t>
      </w:r>
      <w:r w:rsidR="002F668C" w:rsidRPr="00340EB1">
        <w:rPr>
          <w:sz w:val="20"/>
          <w:szCs w:val="20"/>
        </w:rPr>
        <w:t xml:space="preserve">Polyacrylamide-alginate (PAAm-Alg) and </w:t>
      </w:r>
      <w:proofErr w:type="spellStart"/>
      <w:r w:rsidR="002F668C" w:rsidRPr="00340EB1">
        <w:rPr>
          <w:sz w:val="20"/>
          <w:szCs w:val="20"/>
        </w:rPr>
        <w:t>phospo</w:t>
      </w:r>
      <w:proofErr w:type="spellEnd"/>
      <w:r w:rsidR="002F668C" w:rsidRPr="00340EB1">
        <w:rPr>
          <w:sz w:val="20"/>
          <w:szCs w:val="20"/>
        </w:rPr>
        <w:t xml:space="preserve">-L-tyrosine-linked PAAm-Alg monolithic cryogels: </w:t>
      </w:r>
      <w:r w:rsidR="002F668C" w:rsidRPr="00340EB1">
        <w:rPr>
          <w:sz w:val="20"/>
          <w:szCs w:val="20"/>
        </w:rPr>
        <w:t xml:space="preserve">purification of IgG from human serum. </w:t>
      </w:r>
      <w:r w:rsidR="00F66F6F" w:rsidRPr="00340EB1">
        <w:rPr>
          <w:sz w:val="20"/>
          <w:szCs w:val="20"/>
        </w:rPr>
        <w:t xml:space="preserve">Journal of Chromatography B. </w:t>
      </w:r>
      <w:r w:rsidRPr="00340EB1">
        <w:rPr>
          <w:sz w:val="20"/>
          <w:szCs w:val="20"/>
        </w:rPr>
        <w:t xml:space="preserve">Vol. </w:t>
      </w:r>
      <w:r w:rsidR="002F668C" w:rsidRPr="00340EB1">
        <w:rPr>
          <w:sz w:val="20"/>
          <w:szCs w:val="20"/>
        </w:rPr>
        <w:t>1129</w:t>
      </w:r>
      <w:r w:rsidRPr="00340EB1">
        <w:rPr>
          <w:sz w:val="20"/>
          <w:szCs w:val="20"/>
        </w:rPr>
        <w:t xml:space="preserve">, </w:t>
      </w:r>
      <w:r w:rsidR="002F668C" w:rsidRPr="00340EB1">
        <w:rPr>
          <w:sz w:val="20"/>
          <w:szCs w:val="20"/>
        </w:rPr>
        <w:t>No. 121783</w:t>
      </w:r>
      <w:r w:rsidRPr="00340EB1">
        <w:rPr>
          <w:sz w:val="20"/>
          <w:szCs w:val="20"/>
        </w:rPr>
        <w:t>, 2019.</w:t>
      </w:r>
    </w:p>
    <w:p w14:paraId="4AAD093B" w14:textId="77777777" w:rsidR="008D67F8" w:rsidRPr="00340EB1" w:rsidRDefault="008D67F8" w:rsidP="008D67F8">
      <w:pPr>
        <w:ind w:left="284" w:hanging="284"/>
        <w:jc w:val="both"/>
        <w:rPr>
          <w:sz w:val="20"/>
          <w:szCs w:val="20"/>
        </w:rPr>
      </w:pPr>
      <w:r w:rsidRPr="00340EB1">
        <w:rPr>
          <w:sz w:val="20"/>
          <w:szCs w:val="20"/>
        </w:rPr>
        <w:t>[5] I.</w:t>
      </w:r>
      <w:r w:rsidR="00457C00" w:rsidRPr="00340EB1">
        <w:rPr>
          <w:sz w:val="20"/>
          <w:szCs w:val="20"/>
        </w:rPr>
        <w:t xml:space="preserve"> </w:t>
      </w:r>
      <w:r w:rsidRPr="00340EB1">
        <w:rPr>
          <w:sz w:val="20"/>
          <w:szCs w:val="20"/>
        </w:rPr>
        <w:t>F. Fioravante and S.</w:t>
      </w:r>
      <w:r w:rsidR="00457C00" w:rsidRPr="00340EB1">
        <w:rPr>
          <w:sz w:val="20"/>
          <w:szCs w:val="20"/>
        </w:rPr>
        <w:t xml:space="preserve"> </w:t>
      </w:r>
      <w:r w:rsidRPr="00340EB1">
        <w:rPr>
          <w:sz w:val="20"/>
          <w:szCs w:val="20"/>
        </w:rPr>
        <w:t>M.</w:t>
      </w:r>
      <w:r w:rsidR="00457C00" w:rsidRPr="00340EB1">
        <w:rPr>
          <w:sz w:val="20"/>
          <w:szCs w:val="20"/>
        </w:rPr>
        <w:t xml:space="preserve"> </w:t>
      </w:r>
      <w:r w:rsidRPr="00340EB1">
        <w:rPr>
          <w:sz w:val="20"/>
          <w:szCs w:val="20"/>
        </w:rPr>
        <w:t>A. Bueno.</w:t>
      </w:r>
      <w:r w:rsidR="00531DD6" w:rsidRPr="00340EB1">
        <w:rPr>
          <w:sz w:val="20"/>
          <w:szCs w:val="20"/>
        </w:rPr>
        <w:t xml:space="preserve"> Performance of polyacrylamide-alginate-based cryogel for IgG purification from bovine serum by IMAC.</w:t>
      </w:r>
      <w:r w:rsidRPr="00340EB1">
        <w:rPr>
          <w:sz w:val="20"/>
          <w:szCs w:val="20"/>
        </w:rPr>
        <w:t xml:space="preserve"> </w:t>
      </w:r>
      <w:r w:rsidR="007C6C03" w:rsidRPr="00340EB1">
        <w:rPr>
          <w:sz w:val="20"/>
          <w:szCs w:val="20"/>
        </w:rPr>
        <w:t xml:space="preserve">Process Biochemistry. </w:t>
      </w:r>
      <w:r w:rsidRPr="00340EB1">
        <w:rPr>
          <w:sz w:val="20"/>
          <w:szCs w:val="20"/>
        </w:rPr>
        <w:t>Vol.</w:t>
      </w:r>
      <w:r w:rsidR="00531DD6" w:rsidRPr="00340EB1">
        <w:rPr>
          <w:sz w:val="20"/>
          <w:szCs w:val="20"/>
        </w:rPr>
        <w:t xml:space="preserve"> 118</w:t>
      </w:r>
      <w:r w:rsidRPr="00340EB1">
        <w:rPr>
          <w:sz w:val="20"/>
          <w:szCs w:val="20"/>
        </w:rPr>
        <w:t>, pp. 413</w:t>
      </w:r>
      <w:r w:rsidR="00457C00" w:rsidRPr="00340EB1">
        <w:rPr>
          <w:sz w:val="20"/>
          <w:szCs w:val="20"/>
        </w:rPr>
        <w:t xml:space="preserve"> </w:t>
      </w:r>
      <w:r w:rsidRPr="00340EB1">
        <w:rPr>
          <w:sz w:val="20"/>
          <w:szCs w:val="20"/>
        </w:rPr>
        <w:t>–</w:t>
      </w:r>
      <w:r w:rsidR="00457C00" w:rsidRPr="00340EB1">
        <w:rPr>
          <w:sz w:val="20"/>
          <w:szCs w:val="20"/>
        </w:rPr>
        <w:t xml:space="preserve"> </w:t>
      </w:r>
      <w:r w:rsidRPr="00340EB1">
        <w:rPr>
          <w:sz w:val="20"/>
          <w:szCs w:val="20"/>
        </w:rPr>
        <w:t>424, 2022.</w:t>
      </w:r>
    </w:p>
    <w:p w14:paraId="6B47FEE3" w14:textId="77777777" w:rsidR="008D67F8" w:rsidRPr="00340EB1" w:rsidRDefault="008D67F8" w:rsidP="008D67F8">
      <w:pPr>
        <w:ind w:left="284" w:hanging="284"/>
        <w:jc w:val="both"/>
        <w:rPr>
          <w:sz w:val="20"/>
          <w:szCs w:val="20"/>
        </w:rPr>
      </w:pPr>
      <w:r w:rsidRPr="00340EB1">
        <w:rPr>
          <w:sz w:val="20"/>
          <w:szCs w:val="20"/>
        </w:rPr>
        <w:t>[6]</w:t>
      </w:r>
      <w:r w:rsidR="00457C00" w:rsidRPr="00340EB1">
        <w:rPr>
          <w:sz w:val="20"/>
          <w:szCs w:val="20"/>
        </w:rPr>
        <w:t xml:space="preserve"> H. S. D. R. Hamacek, I. F. Fioravante, S.M</w:t>
      </w:r>
      <w:r w:rsidRPr="00340EB1">
        <w:rPr>
          <w:sz w:val="20"/>
          <w:szCs w:val="20"/>
        </w:rPr>
        <w:t>.</w:t>
      </w:r>
      <w:r w:rsidR="00457C00" w:rsidRPr="00340EB1">
        <w:rPr>
          <w:sz w:val="20"/>
          <w:szCs w:val="20"/>
        </w:rPr>
        <w:t xml:space="preserve"> A. Bueno.</w:t>
      </w:r>
      <w:r w:rsidRPr="00340EB1">
        <w:rPr>
          <w:sz w:val="20"/>
          <w:szCs w:val="20"/>
        </w:rPr>
        <w:t xml:space="preserve"> </w:t>
      </w:r>
      <w:r w:rsidR="00531DD6" w:rsidRPr="00340EB1">
        <w:rPr>
          <w:sz w:val="20"/>
          <w:szCs w:val="20"/>
        </w:rPr>
        <w:t xml:space="preserve">Synthesis and characterization of chitosan-polyacrylamide cryogels for the purification of human IgG by IMAC. </w:t>
      </w:r>
      <w:r w:rsidR="007C6C03" w:rsidRPr="00340EB1">
        <w:rPr>
          <w:sz w:val="20"/>
          <w:szCs w:val="20"/>
        </w:rPr>
        <w:t xml:space="preserve">Process Biochemistry. </w:t>
      </w:r>
      <w:r w:rsidRPr="00340EB1">
        <w:rPr>
          <w:sz w:val="20"/>
          <w:szCs w:val="20"/>
        </w:rPr>
        <w:t xml:space="preserve">Vol. </w:t>
      </w:r>
      <w:r w:rsidR="00531DD6" w:rsidRPr="00340EB1">
        <w:rPr>
          <w:sz w:val="20"/>
          <w:szCs w:val="20"/>
        </w:rPr>
        <w:t>131</w:t>
      </w:r>
      <w:r w:rsidRPr="00340EB1">
        <w:rPr>
          <w:sz w:val="20"/>
          <w:szCs w:val="20"/>
        </w:rPr>
        <w:t xml:space="preserve">, pp. </w:t>
      </w:r>
      <w:r w:rsidR="00531DD6" w:rsidRPr="00340EB1">
        <w:rPr>
          <w:sz w:val="20"/>
          <w:szCs w:val="20"/>
        </w:rPr>
        <w:t>199</w:t>
      </w:r>
      <w:r w:rsidRPr="00340EB1">
        <w:rPr>
          <w:sz w:val="20"/>
          <w:szCs w:val="20"/>
        </w:rPr>
        <w:t xml:space="preserve"> – </w:t>
      </w:r>
      <w:r w:rsidR="00531DD6" w:rsidRPr="00340EB1">
        <w:rPr>
          <w:sz w:val="20"/>
          <w:szCs w:val="20"/>
        </w:rPr>
        <w:t>209</w:t>
      </w:r>
      <w:r w:rsidRPr="00340EB1">
        <w:rPr>
          <w:sz w:val="20"/>
          <w:szCs w:val="20"/>
        </w:rPr>
        <w:t>, 2023.</w:t>
      </w:r>
    </w:p>
    <w:p w14:paraId="440A3E3B" w14:textId="77777777" w:rsidR="008D67F8" w:rsidRPr="00340EB1" w:rsidRDefault="008D67F8" w:rsidP="008D67F8">
      <w:pPr>
        <w:ind w:left="284" w:hanging="284"/>
        <w:jc w:val="both"/>
        <w:rPr>
          <w:sz w:val="20"/>
          <w:szCs w:val="20"/>
        </w:rPr>
      </w:pPr>
      <w:r w:rsidRPr="00340EB1">
        <w:rPr>
          <w:sz w:val="20"/>
          <w:szCs w:val="20"/>
        </w:rPr>
        <w:t>[7]</w:t>
      </w:r>
      <w:r w:rsidR="00FC7A5D" w:rsidRPr="00340EB1">
        <w:rPr>
          <w:sz w:val="20"/>
          <w:szCs w:val="20"/>
        </w:rPr>
        <w:t xml:space="preserve"> </w:t>
      </w:r>
      <w:r w:rsidR="00457C00" w:rsidRPr="00340EB1">
        <w:rPr>
          <w:sz w:val="20"/>
          <w:szCs w:val="20"/>
        </w:rPr>
        <w:t>G. Giatti and S. M. A. Bueno</w:t>
      </w:r>
      <w:r w:rsidR="00FC7A5D" w:rsidRPr="00340EB1">
        <w:rPr>
          <w:sz w:val="20"/>
          <w:szCs w:val="20"/>
        </w:rPr>
        <w:t xml:space="preserve">. Synthesis and characterization of polyacrylamide-pectin cryogel for adsorptive processes in 14º </w:t>
      </w:r>
      <w:proofErr w:type="spellStart"/>
      <w:r w:rsidR="00FC7A5D" w:rsidRPr="00340EB1">
        <w:rPr>
          <w:sz w:val="20"/>
          <w:szCs w:val="20"/>
        </w:rPr>
        <w:t>Encontro</w:t>
      </w:r>
      <w:proofErr w:type="spellEnd"/>
      <w:r w:rsidR="00FC7A5D" w:rsidRPr="00340EB1">
        <w:rPr>
          <w:sz w:val="20"/>
          <w:szCs w:val="20"/>
        </w:rPr>
        <w:t xml:space="preserve"> Brasileiro </w:t>
      </w:r>
      <w:proofErr w:type="spellStart"/>
      <w:r w:rsidR="00FC7A5D" w:rsidRPr="00340EB1">
        <w:rPr>
          <w:sz w:val="20"/>
          <w:szCs w:val="20"/>
        </w:rPr>
        <w:t>Sobre</w:t>
      </w:r>
      <w:proofErr w:type="spellEnd"/>
      <w:r w:rsidR="00FC7A5D" w:rsidRPr="00340EB1">
        <w:rPr>
          <w:sz w:val="20"/>
          <w:szCs w:val="20"/>
        </w:rPr>
        <w:t xml:space="preserve"> </w:t>
      </w:r>
      <w:proofErr w:type="spellStart"/>
      <w:r w:rsidR="00FC7A5D" w:rsidRPr="00340EB1">
        <w:rPr>
          <w:sz w:val="20"/>
          <w:szCs w:val="20"/>
        </w:rPr>
        <w:t>Adsorção</w:t>
      </w:r>
      <w:proofErr w:type="spellEnd"/>
      <w:r w:rsidR="00FC7A5D" w:rsidRPr="00340EB1">
        <w:rPr>
          <w:sz w:val="20"/>
          <w:szCs w:val="20"/>
        </w:rPr>
        <w:t xml:space="preserve">, November 23th to 25th, Brasília, DF, </w:t>
      </w:r>
      <w:proofErr w:type="spellStart"/>
      <w:r w:rsidR="00FC7A5D" w:rsidRPr="00340EB1">
        <w:rPr>
          <w:sz w:val="20"/>
          <w:szCs w:val="20"/>
        </w:rPr>
        <w:t>Brasil</w:t>
      </w:r>
      <w:proofErr w:type="spellEnd"/>
      <w:r w:rsidRPr="00340EB1">
        <w:rPr>
          <w:sz w:val="20"/>
          <w:szCs w:val="20"/>
        </w:rPr>
        <w:t>, 202</w:t>
      </w:r>
      <w:r w:rsidR="00457C00" w:rsidRPr="00340EB1">
        <w:rPr>
          <w:sz w:val="20"/>
          <w:szCs w:val="20"/>
        </w:rPr>
        <w:t>2</w:t>
      </w:r>
      <w:r w:rsidRPr="00340EB1">
        <w:rPr>
          <w:sz w:val="20"/>
          <w:szCs w:val="20"/>
        </w:rPr>
        <w:t>.</w:t>
      </w:r>
    </w:p>
    <w:p w14:paraId="58022956" w14:textId="77777777" w:rsidR="008D67F8" w:rsidRPr="00340EB1" w:rsidRDefault="008D67F8" w:rsidP="008D67F8">
      <w:pPr>
        <w:ind w:left="284" w:hanging="284"/>
        <w:jc w:val="both"/>
        <w:rPr>
          <w:sz w:val="20"/>
          <w:szCs w:val="20"/>
        </w:rPr>
      </w:pPr>
      <w:r w:rsidRPr="00340EB1">
        <w:rPr>
          <w:sz w:val="20"/>
          <w:szCs w:val="20"/>
        </w:rPr>
        <w:t>[8]</w:t>
      </w:r>
      <w:r w:rsidR="00D11205" w:rsidRPr="00340EB1">
        <w:rPr>
          <w:sz w:val="20"/>
          <w:szCs w:val="20"/>
        </w:rPr>
        <w:t xml:space="preserve"> M. M. Bradford</w:t>
      </w:r>
      <w:r w:rsidRPr="00340EB1">
        <w:rPr>
          <w:sz w:val="20"/>
          <w:szCs w:val="20"/>
        </w:rPr>
        <w:t>.</w:t>
      </w:r>
      <w:r w:rsidR="009170C5" w:rsidRPr="00340EB1">
        <w:rPr>
          <w:sz w:val="20"/>
          <w:szCs w:val="20"/>
        </w:rPr>
        <w:t xml:space="preserve"> A rapid and sensitive method for the quantitation of microgram quantities of protein utilizing the principle of protein-dye binding.</w:t>
      </w:r>
      <w:r w:rsidRPr="00340EB1">
        <w:rPr>
          <w:sz w:val="20"/>
          <w:szCs w:val="20"/>
        </w:rPr>
        <w:t xml:space="preserve"> </w:t>
      </w:r>
      <w:r w:rsidR="007C6C03" w:rsidRPr="00340EB1">
        <w:rPr>
          <w:sz w:val="20"/>
          <w:szCs w:val="20"/>
        </w:rPr>
        <w:t xml:space="preserve">Analytical Biochemistry. </w:t>
      </w:r>
      <w:r w:rsidRPr="00340EB1">
        <w:rPr>
          <w:sz w:val="20"/>
          <w:szCs w:val="20"/>
        </w:rPr>
        <w:t xml:space="preserve">Vol. </w:t>
      </w:r>
      <w:r w:rsidR="009170C5" w:rsidRPr="00340EB1">
        <w:rPr>
          <w:sz w:val="20"/>
          <w:szCs w:val="20"/>
        </w:rPr>
        <w:t>72</w:t>
      </w:r>
      <w:r w:rsidRPr="00340EB1">
        <w:rPr>
          <w:sz w:val="20"/>
          <w:szCs w:val="20"/>
        </w:rPr>
        <w:t>, pp.</w:t>
      </w:r>
      <w:r w:rsidR="00D11205" w:rsidRPr="00340EB1">
        <w:rPr>
          <w:sz w:val="20"/>
          <w:szCs w:val="20"/>
        </w:rPr>
        <w:t xml:space="preserve"> 248</w:t>
      </w:r>
      <w:r w:rsidRPr="00340EB1">
        <w:rPr>
          <w:sz w:val="20"/>
          <w:szCs w:val="20"/>
        </w:rPr>
        <w:t xml:space="preserve"> –</w:t>
      </w:r>
      <w:r w:rsidR="00D11205" w:rsidRPr="00340EB1">
        <w:rPr>
          <w:sz w:val="20"/>
          <w:szCs w:val="20"/>
        </w:rPr>
        <w:t xml:space="preserve"> 254</w:t>
      </w:r>
      <w:r w:rsidRPr="00340EB1">
        <w:rPr>
          <w:sz w:val="20"/>
          <w:szCs w:val="20"/>
        </w:rPr>
        <w:t xml:space="preserve">, </w:t>
      </w:r>
      <w:r w:rsidR="00D11205" w:rsidRPr="00340EB1">
        <w:rPr>
          <w:sz w:val="20"/>
          <w:szCs w:val="20"/>
        </w:rPr>
        <w:t>1976</w:t>
      </w:r>
      <w:r w:rsidRPr="00340EB1">
        <w:rPr>
          <w:sz w:val="20"/>
          <w:szCs w:val="20"/>
        </w:rPr>
        <w:t>.</w:t>
      </w:r>
    </w:p>
    <w:p w14:paraId="65F8A227" w14:textId="77777777" w:rsidR="008D67F8" w:rsidRPr="00340EB1" w:rsidRDefault="008D67F8" w:rsidP="008D67F8">
      <w:pPr>
        <w:ind w:left="284" w:hanging="284"/>
        <w:jc w:val="both"/>
        <w:rPr>
          <w:sz w:val="20"/>
          <w:szCs w:val="20"/>
        </w:rPr>
      </w:pPr>
      <w:r w:rsidRPr="00340EB1">
        <w:rPr>
          <w:sz w:val="20"/>
          <w:szCs w:val="20"/>
        </w:rPr>
        <w:t>[9]</w:t>
      </w:r>
      <w:r w:rsidR="0085334C" w:rsidRPr="00340EB1">
        <w:rPr>
          <w:sz w:val="20"/>
          <w:szCs w:val="20"/>
        </w:rPr>
        <w:t xml:space="preserve"> K. Haupt</w:t>
      </w:r>
      <w:r w:rsidR="007215CD" w:rsidRPr="00340EB1">
        <w:rPr>
          <w:sz w:val="20"/>
          <w:szCs w:val="20"/>
        </w:rPr>
        <w:t>, S. M. A. Bueno, M. A. Vijayalakshmi</w:t>
      </w:r>
      <w:r w:rsidRPr="00340EB1">
        <w:rPr>
          <w:sz w:val="20"/>
          <w:szCs w:val="20"/>
        </w:rPr>
        <w:t>.</w:t>
      </w:r>
      <w:r w:rsidR="00470B07" w:rsidRPr="00340EB1">
        <w:t xml:space="preserve"> </w:t>
      </w:r>
      <w:r w:rsidR="00470B07" w:rsidRPr="00340EB1">
        <w:rPr>
          <w:sz w:val="20"/>
          <w:szCs w:val="20"/>
        </w:rPr>
        <w:t>Interaction of human immunoglobulin G with l-histidine immobilized onto poly(ethylene vinyl alcohol) hollow-fiber membranes</w:t>
      </w:r>
      <w:r w:rsidR="007C6C03" w:rsidRPr="00340EB1">
        <w:rPr>
          <w:sz w:val="20"/>
          <w:szCs w:val="20"/>
        </w:rPr>
        <w:t xml:space="preserve"> </w:t>
      </w:r>
      <w:r w:rsidR="00B56651" w:rsidRPr="00340EB1">
        <w:rPr>
          <w:sz w:val="20"/>
          <w:szCs w:val="20"/>
        </w:rPr>
        <w:t xml:space="preserve">Journal of Chromatography. </w:t>
      </w:r>
      <w:r w:rsidRPr="00340EB1">
        <w:rPr>
          <w:sz w:val="20"/>
          <w:szCs w:val="20"/>
        </w:rPr>
        <w:t>Vol.</w:t>
      </w:r>
      <w:r w:rsidR="00B56651" w:rsidRPr="00340EB1">
        <w:rPr>
          <w:sz w:val="20"/>
          <w:szCs w:val="20"/>
        </w:rPr>
        <w:t xml:space="preserve"> 674</w:t>
      </w:r>
      <w:r w:rsidRPr="00340EB1">
        <w:rPr>
          <w:sz w:val="20"/>
          <w:szCs w:val="20"/>
        </w:rPr>
        <w:t>, pp.</w:t>
      </w:r>
      <w:r w:rsidR="007215CD" w:rsidRPr="00340EB1">
        <w:rPr>
          <w:sz w:val="20"/>
          <w:szCs w:val="20"/>
        </w:rPr>
        <w:t xml:space="preserve"> 13</w:t>
      </w:r>
      <w:r w:rsidRPr="00340EB1">
        <w:rPr>
          <w:sz w:val="20"/>
          <w:szCs w:val="20"/>
        </w:rPr>
        <w:t xml:space="preserve"> – </w:t>
      </w:r>
      <w:r w:rsidR="007215CD" w:rsidRPr="00340EB1">
        <w:rPr>
          <w:sz w:val="20"/>
          <w:szCs w:val="20"/>
        </w:rPr>
        <w:t>21</w:t>
      </w:r>
      <w:r w:rsidRPr="00340EB1">
        <w:rPr>
          <w:sz w:val="20"/>
          <w:szCs w:val="20"/>
        </w:rPr>
        <w:t xml:space="preserve">, </w:t>
      </w:r>
      <w:r w:rsidR="007215CD" w:rsidRPr="00340EB1">
        <w:rPr>
          <w:sz w:val="20"/>
          <w:szCs w:val="20"/>
        </w:rPr>
        <w:t>1995</w:t>
      </w:r>
      <w:r w:rsidRPr="00340EB1">
        <w:rPr>
          <w:sz w:val="20"/>
          <w:szCs w:val="20"/>
        </w:rPr>
        <w:t>.</w:t>
      </w:r>
    </w:p>
    <w:p w14:paraId="0E71B12D" w14:textId="77777777" w:rsidR="008D67F8" w:rsidRPr="00340EB1" w:rsidRDefault="008D67F8" w:rsidP="008D67F8">
      <w:pPr>
        <w:ind w:left="284" w:hanging="284"/>
        <w:jc w:val="both"/>
        <w:rPr>
          <w:sz w:val="20"/>
          <w:szCs w:val="20"/>
        </w:rPr>
      </w:pPr>
      <w:r w:rsidRPr="00340EB1">
        <w:rPr>
          <w:sz w:val="20"/>
          <w:szCs w:val="20"/>
        </w:rPr>
        <w:t>[10]</w:t>
      </w:r>
      <w:r w:rsidR="00060005" w:rsidRPr="00340EB1">
        <w:rPr>
          <w:sz w:val="20"/>
          <w:szCs w:val="20"/>
        </w:rPr>
        <w:t xml:space="preserve"> I. T. L. Bresolin, R. R. </w:t>
      </w:r>
      <w:proofErr w:type="spellStart"/>
      <w:r w:rsidR="00060005" w:rsidRPr="00340EB1">
        <w:rPr>
          <w:sz w:val="20"/>
          <w:szCs w:val="20"/>
        </w:rPr>
        <w:t>Fioritti</w:t>
      </w:r>
      <w:proofErr w:type="spellEnd"/>
      <w:r w:rsidR="00060005" w:rsidRPr="00340EB1">
        <w:rPr>
          <w:sz w:val="20"/>
          <w:szCs w:val="20"/>
        </w:rPr>
        <w:t>, S. M. A. Bueno</w:t>
      </w:r>
      <w:r w:rsidRPr="00340EB1">
        <w:rPr>
          <w:sz w:val="20"/>
          <w:szCs w:val="20"/>
        </w:rPr>
        <w:t xml:space="preserve">. </w:t>
      </w:r>
      <w:r w:rsidR="00B56651" w:rsidRPr="00340EB1">
        <w:rPr>
          <w:sz w:val="20"/>
          <w:szCs w:val="20"/>
        </w:rPr>
        <w:t xml:space="preserve">IgG purification by negative chromatography in amine-based ligands: A comparison of l-lysine and poly-l-lysine Process Biochemistry. </w:t>
      </w:r>
      <w:r w:rsidRPr="00340EB1">
        <w:rPr>
          <w:sz w:val="20"/>
          <w:szCs w:val="20"/>
        </w:rPr>
        <w:t>Vol.</w:t>
      </w:r>
      <w:r w:rsidR="00B56651" w:rsidRPr="00340EB1">
        <w:rPr>
          <w:sz w:val="20"/>
          <w:szCs w:val="20"/>
        </w:rPr>
        <w:t xml:space="preserve"> 46</w:t>
      </w:r>
      <w:r w:rsidRPr="00340EB1">
        <w:rPr>
          <w:sz w:val="20"/>
          <w:szCs w:val="20"/>
        </w:rPr>
        <w:t xml:space="preserve">, pp. </w:t>
      </w:r>
      <w:r w:rsidR="00060005" w:rsidRPr="00340EB1">
        <w:rPr>
          <w:sz w:val="20"/>
          <w:szCs w:val="20"/>
        </w:rPr>
        <w:t>2277</w:t>
      </w:r>
      <w:r w:rsidRPr="00340EB1">
        <w:rPr>
          <w:sz w:val="20"/>
          <w:szCs w:val="20"/>
        </w:rPr>
        <w:t xml:space="preserve"> – </w:t>
      </w:r>
      <w:r w:rsidR="00060005" w:rsidRPr="00340EB1">
        <w:rPr>
          <w:sz w:val="20"/>
          <w:szCs w:val="20"/>
        </w:rPr>
        <w:t>2285</w:t>
      </w:r>
      <w:r w:rsidRPr="00340EB1">
        <w:rPr>
          <w:sz w:val="20"/>
          <w:szCs w:val="20"/>
        </w:rPr>
        <w:t>, 20</w:t>
      </w:r>
      <w:r w:rsidR="00060005" w:rsidRPr="00340EB1">
        <w:rPr>
          <w:sz w:val="20"/>
          <w:szCs w:val="20"/>
        </w:rPr>
        <w:t>11</w:t>
      </w:r>
      <w:r w:rsidRPr="00340EB1">
        <w:rPr>
          <w:sz w:val="20"/>
          <w:szCs w:val="20"/>
        </w:rPr>
        <w:t>.</w:t>
      </w:r>
    </w:p>
    <w:p w14:paraId="3AA6BA41" w14:textId="77777777" w:rsidR="008D67F8" w:rsidRPr="00340EB1" w:rsidRDefault="008D67F8" w:rsidP="008D67F8">
      <w:pPr>
        <w:ind w:left="284" w:hanging="284"/>
        <w:jc w:val="both"/>
        <w:rPr>
          <w:sz w:val="20"/>
          <w:szCs w:val="20"/>
        </w:rPr>
      </w:pPr>
      <w:r w:rsidRPr="00340EB1">
        <w:rPr>
          <w:sz w:val="20"/>
          <w:szCs w:val="20"/>
        </w:rPr>
        <w:t>[11]</w:t>
      </w:r>
      <w:r w:rsidR="00060005" w:rsidRPr="00340EB1">
        <w:rPr>
          <w:sz w:val="20"/>
          <w:szCs w:val="20"/>
        </w:rPr>
        <w:t xml:space="preserve"> A. Kumar, V. Bansal, J. Anderson, P. K. Roychoudhury, B. Mattiasson</w:t>
      </w:r>
      <w:r w:rsidRPr="00340EB1">
        <w:rPr>
          <w:sz w:val="20"/>
          <w:szCs w:val="20"/>
        </w:rPr>
        <w:t xml:space="preserve">. </w:t>
      </w:r>
      <w:r w:rsidR="00C3689F" w:rsidRPr="00340EB1">
        <w:rPr>
          <w:sz w:val="20"/>
          <w:szCs w:val="20"/>
        </w:rPr>
        <w:t xml:space="preserve">Supermacroporous cryogel matrix for integrated protein isolation immobilized metal affinity chromatographic purification of urokinase from cell culture broth of a human kidney cell line. </w:t>
      </w:r>
      <w:r w:rsidR="00B56651" w:rsidRPr="00340EB1">
        <w:rPr>
          <w:sz w:val="20"/>
          <w:szCs w:val="20"/>
        </w:rPr>
        <w:t xml:space="preserve">Journal of Chromatography A. </w:t>
      </w:r>
      <w:r w:rsidRPr="00340EB1">
        <w:rPr>
          <w:sz w:val="20"/>
          <w:szCs w:val="20"/>
        </w:rPr>
        <w:t xml:space="preserve">Vol. </w:t>
      </w:r>
      <w:r w:rsidR="00C3689F" w:rsidRPr="00340EB1">
        <w:rPr>
          <w:sz w:val="20"/>
          <w:szCs w:val="20"/>
        </w:rPr>
        <w:t>1103</w:t>
      </w:r>
      <w:r w:rsidRPr="00340EB1">
        <w:rPr>
          <w:sz w:val="20"/>
          <w:szCs w:val="20"/>
        </w:rPr>
        <w:t xml:space="preserve">, pp. </w:t>
      </w:r>
      <w:r w:rsidR="00060005" w:rsidRPr="00340EB1">
        <w:rPr>
          <w:sz w:val="20"/>
          <w:szCs w:val="20"/>
        </w:rPr>
        <w:t>35</w:t>
      </w:r>
      <w:r w:rsidRPr="00340EB1">
        <w:rPr>
          <w:sz w:val="20"/>
          <w:szCs w:val="20"/>
        </w:rPr>
        <w:t xml:space="preserve"> – </w:t>
      </w:r>
      <w:r w:rsidR="00060005" w:rsidRPr="00340EB1">
        <w:rPr>
          <w:sz w:val="20"/>
          <w:szCs w:val="20"/>
        </w:rPr>
        <w:t>42</w:t>
      </w:r>
      <w:r w:rsidRPr="00340EB1">
        <w:rPr>
          <w:sz w:val="20"/>
          <w:szCs w:val="20"/>
        </w:rPr>
        <w:t>, 20</w:t>
      </w:r>
      <w:r w:rsidR="00060005" w:rsidRPr="00340EB1">
        <w:rPr>
          <w:sz w:val="20"/>
          <w:szCs w:val="20"/>
        </w:rPr>
        <w:t>06</w:t>
      </w:r>
      <w:r w:rsidRPr="00340EB1">
        <w:rPr>
          <w:sz w:val="20"/>
          <w:szCs w:val="20"/>
        </w:rPr>
        <w:t>.</w:t>
      </w:r>
    </w:p>
    <w:p w14:paraId="29441E37" w14:textId="77777777" w:rsidR="008D67F8" w:rsidRPr="00DD6AA8" w:rsidRDefault="008D67F8" w:rsidP="008D67F8">
      <w:pPr>
        <w:ind w:left="284" w:hanging="284"/>
        <w:jc w:val="both"/>
        <w:rPr>
          <w:sz w:val="20"/>
          <w:szCs w:val="20"/>
        </w:rPr>
      </w:pPr>
      <w:r w:rsidRPr="00340EB1">
        <w:rPr>
          <w:sz w:val="20"/>
          <w:szCs w:val="20"/>
        </w:rPr>
        <w:t>[12]</w:t>
      </w:r>
      <w:r w:rsidR="001A7D0F" w:rsidRPr="00340EB1">
        <w:rPr>
          <w:sz w:val="20"/>
          <w:szCs w:val="20"/>
        </w:rPr>
        <w:t xml:space="preserve"> E. Sulkowski</w:t>
      </w:r>
      <w:r w:rsidRPr="00340EB1">
        <w:rPr>
          <w:sz w:val="20"/>
          <w:szCs w:val="20"/>
        </w:rPr>
        <w:t xml:space="preserve">. </w:t>
      </w:r>
      <w:r w:rsidR="00B56651" w:rsidRPr="00340EB1">
        <w:rPr>
          <w:sz w:val="20"/>
          <w:szCs w:val="20"/>
        </w:rPr>
        <w:t xml:space="preserve">The saga of IMAC and MIT. </w:t>
      </w:r>
      <w:proofErr w:type="spellStart"/>
      <w:r w:rsidR="00B56651" w:rsidRPr="00340EB1">
        <w:rPr>
          <w:iCs/>
          <w:color w:val="242021"/>
        </w:rPr>
        <w:t>Bioessays</w:t>
      </w:r>
      <w:proofErr w:type="spellEnd"/>
      <w:r w:rsidR="00B56651" w:rsidRPr="00340EB1">
        <w:rPr>
          <w:sz w:val="20"/>
          <w:szCs w:val="20"/>
        </w:rPr>
        <w:t xml:space="preserve"> </w:t>
      </w:r>
      <w:r w:rsidRPr="00340EB1">
        <w:rPr>
          <w:sz w:val="20"/>
          <w:szCs w:val="20"/>
        </w:rPr>
        <w:t xml:space="preserve">Vol. , No. , pp. </w:t>
      </w:r>
      <w:r w:rsidR="001A7D0F" w:rsidRPr="00340EB1">
        <w:rPr>
          <w:sz w:val="20"/>
          <w:szCs w:val="20"/>
        </w:rPr>
        <w:t>170</w:t>
      </w:r>
      <w:r w:rsidRPr="00340EB1">
        <w:rPr>
          <w:sz w:val="20"/>
          <w:szCs w:val="20"/>
        </w:rPr>
        <w:t xml:space="preserve"> – </w:t>
      </w:r>
      <w:r w:rsidR="001A7D0F" w:rsidRPr="00340EB1">
        <w:rPr>
          <w:sz w:val="20"/>
          <w:szCs w:val="20"/>
        </w:rPr>
        <w:t>175</w:t>
      </w:r>
      <w:r w:rsidRPr="00340EB1">
        <w:rPr>
          <w:sz w:val="20"/>
          <w:szCs w:val="20"/>
        </w:rPr>
        <w:t xml:space="preserve">, </w:t>
      </w:r>
      <w:r w:rsidR="001A7D0F" w:rsidRPr="00340EB1">
        <w:rPr>
          <w:sz w:val="20"/>
          <w:szCs w:val="20"/>
        </w:rPr>
        <w:t>1989</w:t>
      </w:r>
      <w:r w:rsidRPr="00340EB1">
        <w:rPr>
          <w:sz w:val="20"/>
          <w:szCs w:val="20"/>
        </w:rPr>
        <w:t>.</w:t>
      </w:r>
    </w:p>
    <w:p w14:paraId="3547EC36" w14:textId="77777777" w:rsidR="008D67F8" w:rsidRPr="00DD6AA8" w:rsidRDefault="008D67F8" w:rsidP="008D67F8">
      <w:pPr>
        <w:ind w:left="284" w:hanging="284"/>
        <w:jc w:val="both"/>
        <w:rPr>
          <w:sz w:val="20"/>
          <w:szCs w:val="20"/>
        </w:rPr>
      </w:pPr>
    </w:p>
    <w:p w14:paraId="233DB15B" w14:textId="77777777" w:rsidR="005A541E" w:rsidRPr="00DD6AA8" w:rsidRDefault="005A541E" w:rsidP="00E01C2E">
      <w:pPr>
        <w:spacing w:before="238" w:line="228" w:lineRule="auto"/>
        <w:ind w:right="40"/>
        <w:jc w:val="both"/>
      </w:pPr>
    </w:p>
    <w:sectPr w:rsidR="005A541E" w:rsidRPr="00DD6AA8" w:rsidSect="0041214A">
      <w:type w:val="continuous"/>
      <w:pgSz w:w="11910" w:h="16840"/>
      <w:pgMar w:top="3000" w:right="980" w:bottom="280" w:left="1000" w:header="569" w:footer="0" w:gutter="0"/>
      <w:cols w:num="2" w:space="720" w:equalWidth="0">
        <w:col w:w="4712" w:space="393"/>
        <w:col w:w="482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C7701" w14:textId="77777777" w:rsidR="00172E4F" w:rsidRDefault="00172E4F">
      <w:r>
        <w:separator/>
      </w:r>
    </w:p>
  </w:endnote>
  <w:endnote w:type="continuationSeparator" w:id="0">
    <w:p w14:paraId="2B2329C1" w14:textId="77777777" w:rsidR="00172E4F" w:rsidRDefault="0017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CCA50" w14:textId="77777777" w:rsidR="00172E4F" w:rsidRDefault="00172E4F">
      <w:r>
        <w:separator/>
      </w:r>
    </w:p>
  </w:footnote>
  <w:footnote w:type="continuationSeparator" w:id="0">
    <w:p w14:paraId="11878332" w14:textId="77777777" w:rsidR="00172E4F" w:rsidRDefault="00172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4D8E3" w14:textId="77777777" w:rsidR="00820D0F" w:rsidRDefault="008671A3" w:rsidP="00C63851">
    <w:pPr>
      <w:pStyle w:val="Corpodetexto"/>
      <w:rPr>
        <w:sz w:val="20"/>
      </w:rPr>
    </w:pPr>
    <w:r>
      <w:rPr>
        <w:noProof/>
        <w:lang w:val="pt-BR" w:eastAsia="pt-BR"/>
      </w:rPr>
      <w:drawing>
        <wp:anchor distT="0" distB="0" distL="0" distR="0" simplePos="0" relativeHeight="251657216" behindDoc="1" locked="0" layoutInCell="1" allowOverlap="1" wp14:anchorId="7FCC4354" wp14:editId="5A3FEF24">
          <wp:simplePos x="0" y="0"/>
          <wp:positionH relativeFrom="page">
            <wp:posOffset>2841123</wp:posOffset>
          </wp:positionH>
          <wp:positionV relativeFrom="page">
            <wp:posOffset>361187</wp:posOffset>
          </wp:positionV>
          <wp:extent cx="1912015" cy="1432540"/>
          <wp:effectExtent l="0" t="0" r="0" b="0"/>
          <wp:wrapNone/>
          <wp:docPr id="106079682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12015" cy="1432540"/>
                  </a:xfrm>
                  <a:prstGeom prst="rect">
                    <a:avLst/>
                  </a:prstGeom>
                </pic:spPr>
              </pic:pic>
            </a:graphicData>
          </a:graphic>
        </wp:anchor>
      </w:drawing>
    </w:r>
    <w:r w:rsidR="00000000">
      <w:rPr>
        <w:noProof/>
        <w:lang w:val="pt-BR" w:eastAsia="pt-BR"/>
      </w:rPr>
      <w:pict w14:anchorId="61C61B35">
        <v:shape id="Graphic 2" o:spid="_x0000_s1025" style="position:absolute;left:0;text-align:left;margin-left:143.65pt;margin-top:149.75pt;width:312.6pt;height:.1pt;z-index:-251658240;visibility:visible;mso-wrap-style:square;mso-wrap-distance-left:0;mso-wrap-distance-top:0;mso-wrap-distance-right:0;mso-wrap-distance-bottom:0;mso-position-horizontal:absolute;mso-position-horizontal-relative:page;mso-position-vertical:absolute;mso-position-vertical-relative:page;v-text-anchor:top" coordsize="3970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" path="m,l3970020,e" filled="f" strokeweight=".72pt">
          <v:path arrowok="t"/>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E49A8"/>
    <w:multiLevelType w:val="hybridMultilevel"/>
    <w:tmpl w:val="D8EA3178"/>
    <w:lvl w:ilvl="0" w:tplc="3F96C62A">
      <w:start w:val="1"/>
      <w:numFmt w:val="decimal"/>
      <w:lvlText w:val="[%1]"/>
      <w:lvlJc w:val="left"/>
      <w:pPr>
        <w:ind w:left="372"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1" w:tplc="B130F8C2">
      <w:numFmt w:val="bullet"/>
      <w:lvlText w:val="•"/>
      <w:lvlJc w:val="left"/>
      <w:pPr>
        <w:ind w:left="824" w:hanging="281"/>
      </w:pPr>
      <w:rPr>
        <w:rFonts w:hint="default"/>
        <w:lang w:val="en-US" w:eastAsia="en-US" w:bidi="ar-SA"/>
      </w:rPr>
    </w:lvl>
    <w:lvl w:ilvl="2" w:tplc="B45240F0">
      <w:numFmt w:val="bullet"/>
      <w:lvlText w:val="•"/>
      <w:lvlJc w:val="left"/>
      <w:pPr>
        <w:ind w:left="1268" w:hanging="281"/>
      </w:pPr>
      <w:rPr>
        <w:rFonts w:hint="default"/>
        <w:lang w:val="en-US" w:eastAsia="en-US" w:bidi="ar-SA"/>
      </w:rPr>
    </w:lvl>
    <w:lvl w:ilvl="3" w:tplc="997CD452">
      <w:numFmt w:val="bullet"/>
      <w:lvlText w:val="•"/>
      <w:lvlJc w:val="left"/>
      <w:pPr>
        <w:ind w:left="1712" w:hanging="281"/>
      </w:pPr>
      <w:rPr>
        <w:rFonts w:hint="default"/>
        <w:lang w:val="en-US" w:eastAsia="en-US" w:bidi="ar-SA"/>
      </w:rPr>
    </w:lvl>
    <w:lvl w:ilvl="4" w:tplc="DD9076C6">
      <w:numFmt w:val="bullet"/>
      <w:lvlText w:val="•"/>
      <w:lvlJc w:val="left"/>
      <w:pPr>
        <w:ind w:left="2156" w:hanging="281"/>
      </w:pPr>
      <w:rPr>
        <w:rFonts w:hint="default"/>
        <w:lang w:val="en-US" w:eastAsia="en-US" w:bidi="ar-SA"/>
      </w:rPr>
    </w:lvl>
    <w:lvl w:ilvl="5" w:tplc="221CD17C">
      <w:numFmt w:val="bullet"/>
      <w:lvlText w:val="•"/>
      <w:lvlJc w:val="left"/>
      <w:pPr>
        <w:ind w:left="2600" w:hanging="281"/>
      </w:pPr>
      <w:rPr>
        <w:rFonts w:hint="default"/>
        <w:lang w:val="en-US" w:eastAsia="en-US" w:bidi="ar-SA"/>
      </w:rPr>
    </w:lvl>
    <w:lvl w:ilvl="6" w:tplc="34D898C6">
      <w:numFmt w:val="bullet"/>
      <w:lvlText w:val="•"/>
      <w:lvlJc w:val="left"/>
      <w:pPr>
        <w:ind w:left="3044" w:hanging="281"/>
      </w:pPr>
      <w:rPr>
        <w:rFonts w:hint="default"/>
        <w:lang w:val="en-US" w:eastAsia="en-US" w:bidi="ar-SA"/>
      </w:rPr>
    </w:lvl>
    <w:lvl w:ilvl="7" w:tplc="8F2E7186">
      <w:numFmt w:val="bullet"/>
      <w:lvlText w:val="•"/>
      <w:lvlJc w:val="left"/>
      <w:pPr>
        <w:ind w:left="3489" w:hanging="281"/>
      </w:pPr>
      <w:rPr>
        <w:rFonts w:hint="default"/>
        <w:lang w:val="en-US" w:eastAsia="en-US" w:bidi="ar-SA"/>
      </w:rPr>
    </w:lvl>
    <w:lvl w:ilvl="8" w:tplc="A9DC071C">
      <w:numFmt w:val="bullet"/>
      <w:lvlText w:val="•"/>
      <w:lvlJc w:val="left"/>
      <w:pPr>
        <w:ind w:left="3933" w:hanging="281"/>
      </w:pPr>
      <w:rPr>
        <w:rFonts w:hint="default"/>
        <w:lang w:val="en-US" w:eastAsia="en-US" w:bidi="ar-SA"/>
      </w:rPr>
    </w:lvl>
  </w:abstractNum>
  <w:abstractNum w:abstractNumId="1" w15:restartNumberingAfterBreak="0">
    <w:nsid w:val="71BC0622"/>
    <w:multiLevelType w:val="hybridMultilevel"/>
    <w:tmpl w:val="CC2427C2"/>
    <w:lvl w:ilvl="0" w:tplc="9B28BD8C">
      <w:start w:val="1"/>
      <w:numFmt w:val="decimal"/>
      <w:lvlText w:val="[%1]"/>
      <w:lvlJc w:val="left"/>
      <w:pPr>
        <w:ind w:left="427" w:hanging="295"/>
      </w:pPr>
      <w:rPr>
        <w:rFonts w:ascii="Times New Roman" w:eastAsia="Times New Roman" w:hAnsi="Times New Roman" w:cs="Times New Roman" w:hint="default"/>
        <w:b w:val="0"/>
        <w:bCs w:val="0"/>
        <w:i w:val="0"/>
        <w:iCs w:val="0"/>
        <w:spacing w:val="0"/>
        <w:w w:val="99"/>
        <w:sz w:val="20"/>
        <w:szCs w:val="20"/>
        <w:lang w:val="en-US" w:eastAsia="en-US" w:bidi="ar-SA"/>
      </w:rPr>
    </w:lvl>
    <w:lvl w:ilvl="1" w:tplc="338AC4F2">
      <w:numFmt w:val="bullet"/>
      <w:lvlText w:val="•"/>
      <w:lvlJc w:val="left"/>
      <w:pPr>
        <w:ind w:left="860" w:hanging="295"/>
      </w:pPr>
      <w:rPr>
        <w:rFonts w:hint="default"/>
        <w:lang w:val="en-US" w:eastAsia="en-US" w:bidi="ar-SA"/>
      </w:rPr>
    </w:lvl>
    <w:lvl w:ilvl="2" w:tplc="EDDE15F4">
      <w:numFmt w:val="bullet"/>
      <w:lvlText w:val="•"/>
      <w:lvlJc w:val="left"/>
      <w:pPr>
        <w:ind w:left="1300" w:hanging="295"/>
      </w:pPr>
      <w:rPr>
        <w:rFonts w:hint="default"/>
        <w:lang w:val="en-US" w:eastAsia="en-US" w:bidi="ar-SA"/>
      </w:rPr>
    </w:lvl>
    <w:lvl w:ilvl="3" w:tplc="84705E86">
      <w:numFmt w:val="bullet"/>
      <w:lvlText w:val="•"/>
      <w:lvlJc w:val="left"/>
      <w:pPr>
        <w:ind w:left="1740" w:hanging="295"/>
      </w:pPr>
      <w:rPr>
        <w:rFonts w:hint="default"/>
        <w:lang w:val="en-US" w:eastAsia="en-US" w:bidi="ar-SA"/>
      </w:rPr>
    </w:lvl>
    <w:lvl w:ilvl="4" w:tplc="9F76DE9C">
      <w:numFmt w:val="bullet"/>
      <w:lvlText w:val="•"/>
      <w:lvlJc w:val="left"/>
      <w:pPr>
        <w:ind w:left="2180" w:hanging="295"/>
      </w:pPr>
      <w:rPr>
        <w:rFonts w:hint="default"/>
        <w:lang w:val="en-US" w:eastAsia="en-US" w:bidi="ar-SA"/>
      </w:rPr>
    </w:lvl>
    <w:lvl w:ilvl="5" w:tplc="A16404D4">
      <w:numFmt w:val="bullet"/>
      <w:lvlText w:val="•"/>
      <w:lvlJc w:val="left"/>
      <w:pPr>
        <w:ind w:left="2620" w:hanging="295"/>
      </w:pPr>
      <w:rPr>
        <w:rFonts w:hint="default"/>
        <w:lang w:val="en-US" w:eastAsia="en-US" w:bidi="ar-SA"/>
      </w:rPr>
    </w:lvl>
    <w:lvl w:ilvl="6" w:tplc="76AABAFC">
      <w:numFmt w:val="bullet"/>
      <w:lvlText w:val="•"/>
      <w:lvlJc w:val="left"/>
      <w:pPr>
        <w:ind w:left="3060" w:hanging="295"/>
      </w:pPr>
      <w:rPr>
        <w:rFonts w:hint="default"/>
        <w:lang w:val="en-US" w:eastAsia="en-US" w:bidi="ar-SA"/>
      </w:rPr>
    </w:lvl>
    <w:lvl w:ilvl="7" w:tplc="D18C936E">
      <w:numFmt w:val="bullet"/>
      <w:lvlText w:val="•"/>
      <w:lvlJc w:val="left"/>
      <w:pPr>
        <w:ind w:left="3501" w:hanging="295"/>
      </w:pPr>
      <w:rPr>
        <w:rFonts w:hint="default"/>
        <w:lang w:val="en-US" w:eastAsia="en-US" w:bidi="ar-SA"/>
      </w:rPr>
    </w:lvl>
    <w:lvl w:ilvl="8" w:tplc="8B6292C6">
      <w:numFmt w:val="bullet"/>
      <w:lvlText w:val="•"/>
      <w:lvlJc w:val="left"/>
      <w:pPr>
        <w:ind w:left="3941" w:hanging="295"/>
      </w:pPr>
      <w:rPr>
        <w:rFonts w:hint="default"/>
        <w:lang w:val="en-US" w:eastAsia="en-US" w:bidi="ar-SA"/>
      </w:rPr>
    </w:lvl>
  </w:abstractNum>
  <w:num w:numId="1" w16cid:durableId="929971556">
    <w:abstractNumId w:val="1"/>
  </w:num>
  <w:num w:numId="2" w16cid:durableId="2011978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20D0F"/>
    <w:rsid w:val="00003ADD"/>
    <w:rsid w:val="0002039C"/>
    <w:rsid w:val="00023068"/>
    <w:rsid w:val="00031C3B"/>
    <w:rsid w:val="00060005"/>
    <w:rsid w:val="00064BF0"/>
    <w:rsid w:val="00096C87"/>
    <w:rsid w:val="000B153F"/>
    <w:rsid w:val="000E004B"/>
    <w:rsid w:val="00117CC9"/>
    <w:rsid w:val="001462B6"/>
    <w:rsid w:val="00172E4F"/>
    <w:rsid w:val="001A072E"/>
    <w:rsid w:val="001A27BE"/>
    <w:rsid w:val="001A7D0F"/>
    <w:rsid w:val="0020332C"/>
    <w:rsid w:val="00243034"/>
    <w:rsid w:val="0029364A"/>
    <w:rsid w:val="0029492D"/>
    <w:rsid w:val="002B4BDF"/>
    <w:rsid w:val="002E2500"/>
    <w:rsid w:val="002F668C"/>
    <w:rsid w:val="00306814"/>
    <w:rsid w:val="003348E7"/>
    <w:rsid w:val="00337235"/>
    <w:rsid w:val="00340EB1"/>
    <w:rsid w:val="003551AD"/>
    <w:rsid w:val="003A008C"/>
    <w:rsid w:val="003C7EF8"/>
    <w:rsid w:val="003D42DA"/>
    <w:rsid w:val="003E4371"/>
    <w:rsid w:val="003F163E"/>
    <w:rsid w:val="0041214A"/>
    <w:rsid w:val="00432623"/>
    <w:rsid w:val="00457C00"/>
    <w:rsid w:val="00464E8D"/>
    <w:rsid w:val="0046598A"/>
    <w:rsid w:val="004677A0"/>
    <w:rsid w:val="00470B07"/>
    <w:rsid w:val="004A5E90"/>
    <w:rsid w:val="004A6918"/>
    <w:rsid w:val="004D662E"/>
    <w:rsid w:val="004E0E1D"/>
    <w:rsid w:val="004E31DF"/>
    <w:rsid w:val="005102D3"/>
    <w:rsid w:val="00531DD6"/>
    <w:rsid w:val="005331A2"/>
    <w:rsid w:val="005511CB"/>
    <w:rsid w:val="00581442"/>
    <w:rsid w:val="00582559"/>
    <w:rsid w:val="00590B6F"/>
    <w:rsid w:val="005A541E"/>
    <w:rsid w:val="005B140E"/>
    <w:rsid w:val="005E0136"/>
    <w:rsid w:val="005E35DD"/>
    <w:rsid w:val="005F2DCF"/>
    <w:rsid w:val="006216AC"/>
    <w:rsid w:val="00623D4E"/>
    <w:rsid w:val="00626382"/>
    <w:rsid w:val="0063642E"/>
    <w:rsid w:val="00651439"/>
    <w:rsid w:val="006B6670"/>
    <w:rsid w:val="006C5001"/>
    <w:rsid w:val="006D7D62"/>
    <w:rsid w:val="006E3CDB"/>
    <w:rsid w:val="007215CD"/>
    <w:rsid w:val="00736257"/>
    <w:rsid w:val="00782C48"/>
    <w:rsid w:val="007B1627"/>
    <w:rsid w:val="007B4F1D"/>
    <w:rsid w:val="007C52B6"/>
    <w:rsid w:val="007C67DF"/>
    <w:rsid w:val="007C6C03"/>
    <w:rsid w:val="007C762A"/>
    <w:rsid w:val="008119BE"/>
    <w:rsid w:val="00820D0F"/>
    <w:rsid w:val="00843F76"/>
    <w:rsid w:val="0085334C"/>
    <w:rsid w:val="00856792"/>
    <w:rsid w:val="00863C97"/>
    <w:rsid w:val="008671A3"/>
    <w:rsid w:val="00881555"/>
    <w:rsid w:val="008A28E5"/>
    <w:rsid w:val="008A77CC"/>
    <w:rsid w:val="008C03AF"/>
    <w:rsid w:val="008D50AC"/>
    <w:rsid w:val="008D67F8"/>
    <w:rsid w:val="009170C5"/>
    <w:rsid w:val="00965734"/>
    <w:rsid w:val="0098525E"/>
    <w:rsid w:val="00990764"/>
    <w:rsid w:val="009C38CA"/>
    <w:rsid w:val="009D1C08"/>
    <w:rsid w:val="009F0859"/>
    <w:rsid w:val="00A417EB"/>
    <w:rsid w:val="00A624F7"/>
    <w:rsid w:val="00A625DF"/>
    <w:rsid w:val="00A95F92"/>
    <w:rsid w:val="00A9609E"/>
    <w:rsid w:val="00A9724A"/>
    <w:rsid w:val="00A97852"/>
    <w:rsid w:val="00AA1104"/>
    <w:rsid w:val="00AA40EA"/>
    <w:rsid w:val="00AB6CFA"/>
    <w:rsid w:val="00AE7D14"/>
    <w:rsid w:val="00AF61AC"/>
    <w:rsid w:val="00B234A7"/>
    <w:rsid w:val="00B24FA2"/>
    <w:rsid w:val="00B33E3F"/>
    <w:rsid w:val="00B56651"/>
    <w:rsid w:val="00B7534A"/>
    <w:rsid w:val="00B9306E"/>
    <w:rsid w:val="00B949B1"/>
    <w:rsid w:val="00BA7726"/>
    <w:rsid w:val="00BD0F9D"/>
    <w:rsid w:val="00C04E30"/>
    <w:rsid w:val="00C13192"/>
    <w:rsid w:val="00C20A43"/>
    <w:rsid w:val="00C3689F"/>
    <w:rsid w:val="00C4016A"/>
    <w:rsid w:val="00C61CB2"/>
    <w:rsid w:val="00C63851"/>
    <w:rsid w:val="00C65297"/>
    <w:rsid w:val="00C751DB"/>
    <w:rsid w:val="00C75354"/>
    <w:rsid w:val="00C97E86"/>
    <w:rsid w:val="00CA4503"/>
    <w:rsid w:val="00CB1487"/>
    <w:rsid w:val="00CC2F3C"/>
    <w:rsid w:val="00CC449E"/>
    <w:rsid w:val="00D11205"/>
    <w:rsid w:val="00D233FE"/>
    <w:rsid w:val="00D35FA3"/>
    <w:rsid w:val="00D41ECA"/>
    <w:rsid w:val="00D57CA8"/>
    <w:rsid w:val="00D76246"/>
    <w:rsid w:val="00D92935"/>
    <w:rsid w:val="00DA3CE8"/>
    <w:rsid w:val="00DD6AA8"/>
    <w:rsid w:val="00DF5BD7"/>
    <w:rsid w:val="00E01C2E"/>
    <w:rsid w:val="00E20ADA"/>
    <w:rsid w:val="00E41B4A"/>
    <w:rsid w:val="00E820A1"/>
    <w:rsid w:val="00EB72EF"/>
    <w:rsid w:val="00ED170E"/>
    <w:rsid w:val="00EE2066"/>
    <w:rsid w:val="00EE236C"/>
    <w:rsid w:val="00EF559A"/>
    <w:rsid w:val="00F13CA2"/>
    <w:rsid w:val="00F209AD"/>
    <w:rsid w:val="00F22E53"/>
    <w:rsid w:val="00F42AA7"/>
    <w:rsid w:val="00F66F6F"/>
    <w:rsid w:val="00FB0045"/>
    <w:rsid w:val="00FB2DB0"/>
    <w:rsid w:val="00FC5C69"/>
    <w:rsid w:val="00FC7A5D"/>
    <w:rsid w:val="00FD24C0"/>
    <w:rsid w:val="00FD4C64"/>
    <w:rsid w:val="00FE77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CA027"/>
  <w15:docId w15:val="{4EB061CE-FDD4-44B7-B3D0-5C5E014C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9AD"/>
    <w:rPr>
      <w:rFonts w:ascii="Times New Roman" w:eastAsia="Times New Roman" w:hAnsi="Times New Roman" w:cs="Times New Roman"/>
    </w:rPr>
  </w:style>
  <w:style w:type="paragraph" w:styleId="Ttulo1">
    <w:name w:val="heading 1"/>
    <w:basedOn w:val="Normal"/>
    <w:uiPriority w:val="9"/>
    <w:qFormat/>
    <w:rsid w:val="00F209AD"/>
    <w:pPr>
      <w:ind w:left="132"/>
      <w:outlineLvl w:val="0"/>
    </w:pPr>
    <w:rPr>
      <w:b/>
      <w:bCs/>
      <w:sz w:val="24"/>
      <w:szCs w:val="24"/>
    </w:rPr>
  </w:style>
  <w:style w:type="paragraph" w:styleId="Ttulo2">
    <w:name w:val="heading 2"/>
    <w:basedOn w:val="Normal"/>
    <w:next w:val="Normal"/>
    <w:link w:val="Ttulo2Char"/>
    <w:uiPriority w:val="9"/>
    <w:semiHidden/>
    <w:unhideWhenUsed/>
    <w:qFormat/>
    <w:rsid w:val="00F66F6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209AD"/>
    <w:tblPr>
      <w:tblInd w:w="0" w:type="dxa"/>
      <w:tblCellMar>
        <w:top w:w="0" w:type="dxa"/>
        <w:left w:w="0" w:type="dxa"/>
        <w:bottom w:w="0" w:type="dxa"/>
        <w:right w:w="0" w:type="dxa"/>
      </w:tblCellMar>
    </w:tblPr>
  </w:style>
  <w:style w:type="paragraph" w:styleId="Corpodetexto">
    <w:name w:val="Body Text"/>
    <w:basedOn w:val="Normal"/>
    <w:uiPriority w:val="1"/>
    <w:qFormat/>
    <w:rsid w:val="00C63851"/>
    <w:pPr>
      <w:spacing w:before="240"/>
      <w:ind w:right="40" w:firstLine="284"/>
      <w:jc w:val="both"/>
    </w:pPr>
    <w:rPr>
      <w:rFonts w:eastAsia="SimSun"/>
      <w:szCs w:val="20"/>
    </w:rPr>
  </w:style>
  <w:style w:type="paragraph" w:styleId="Ttulo">
    <w:name w:val="Title"/>
    <w:basedOn w:val="Normal"/>
    <w:uiPriority w:val="10"/>
    <w:qFormat/>
    <w:rsid w:val="00F209AD"/>
    <w:pPr>
      <w:spacing w:before="80"/>
      <w:ind w:right="23"/>
      <w:jc w:val="center"/>
    </w:pPr>
    <w:rPr>
      <w:b/>
      <w:bCs/>
      <w:sz w:val="32"/>
      <w:szCs w:val="32"/>
    </w:rPr>
  </w:style>
  <w:style w:type="paragraph" w:styleId="PargrafodaLista">
    <w:name w:val="List Paragraph"/>
    <w:basedOn w:val="Normal"/>
    <w:uiPriority w:val="1"/>
    <w:qFormat/>
    <w:rsid w:val="00F209AD"/>
    <w:pPr>
      <w:ind w:left="370" w:right="38" w:hanging="238"/>
      <w:jc w:val="both"/>
    </w:pPr>
  </w:style>
  <w:style w:type="paragraph" w:customStyle="1" w:styleId="TableParagraph">
    <w:name w:val="Table Paragraph"/>
    <w:basedOn w:val="Normal"/>
    <w:uiPriority w:val="1"/>
    <w:qFormat/>
    <w:rsid w:val="00F209AD"/>
  </w:style>
  <w:style w:type="paragraph" w:styleId="Cabealho">
    <w:name w:val="header"/>
    <w:basedOn w:val="Normal"/>
    <w:link w:val="CabealhoChar"/>
    <w:uiPriority w:val="99"/>
    <w:unhideWhenUsed/>
    <w:rsid w:val="003F163E"/>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CabealhoChar">
    <w:name w:val="Cabeçalho Char"/>
    <w:basedOn w:val="Fontepargpadro"/>
    <w:link w:val="Cabealho"/>
    <w:uiPriority w:val="99"/>
    <w:rsid w:val="003F163E"/>
    <w:rPr>
      <w:lang w:val="pt-BR"/>
    </w:rPr>
  </w:style>
  <w:style w:type="paragraph" w:styleId="Rodap">
    <w:name w:val="footer"/>
    <w:basedOn w:val="Normal"/>
    <w:link w:val="RodapChar"/>
    <w:uiPriority w:val="99"/>
    <w:unhideWhenUsed/>
    <w:rsid w:val="005E0136"/>
    <w:pPr>
      <w:tabs>
        <w:tab w:val="center" w:pos="4252"/>
        <w:tab w:val="right" w:pos="8504"/>
      </w:tabs>
    </w:pPr>
  </w:style>
  <w:style w:type="character" w:customStyle="1" w:styleId="RodapChar">
    <w:name w:val="Rodapé Char"/>
    <w:basedOn w:val="Fontepargpadro"/>
    <w:link w:val="Rodap"/>
    <w:uiPriority w:val="99"/>
    <w:rsid w:val="005E0136"/>
    <w:rPr>
      <w:rFonts w:ascii="Times New Roman" w:eastAsia="Times New Roman" w:hAnsi="Times New Roman" w:cs="Times New Roman"/>
    </w:rPr>
  </w:style>
  <w:style w:type="table" w:styleId="Tabelacomgrade">
    <w:name w:val="Table Grid"/>
    <w:basedOn w:val="Tabelanormal"/>
    <w:uiPriority w:val="39"/>
    <w:rsid w:val="00B75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06814"/>
    <w:rPr>
      <w:rFonts w:ascii="Tahoma" w:hAnsi="Tahoma" w:cs="Tahoma"/>
      <w:sz w:val="16"/>
      <w:szCs w:val="16"/>
    </w:rPr>
  </w:style>
  <w:style w:type="character" w:customStyle="1" w:styleId="TextodebaloChar">
    <w:name w:val="Texto de balão Char"/>
    <w:basedOn w:val="Fontepargpadro"/>
    <w:link w:val="Textodebalo"/>
    <w:uiPriority w:val="99"/>
    <w:semiHidden/>
    <w:rsid w:val="00306814"/>
    <w:rPr>
      <w:rFonts w:ascii="Tahoma" w:eastAsia="Times New Roman" w:hAnsi="Tahoma" w:cs="Tahoma"/>
      <w:sz w:val="16"/>
      <w:szCs w:val="16"/>
    </w:rPr>
  </w:style>
  <w:style w:type="paragraph" w:styleId="NormalWeb">
    <w:name w:val="Normal (Web)"/>
    <w:basedOn w:val="Normal"/>
    <w:uiPriority w:val="99"/>
    <w:semiHidden/>
    <w:unhideWhenUsed/>
    <w:rsid w:val="00623D4E"/>
    <w:pPr>
      <w:widowControl/>
      <w:autoSpaceDE/>
      <w:autoSpaceDN/>
      <w:spacing w:before="100" w:beforeAutospacing="1" w:after="100" w:afterAutospacing="1"/>
    </w:pPr>
    <w:rPr>
      <w:sz w:val="24"/>
      <w:szCs w:val="24"/>
      <w:lang w:val="pt-BR" w:eastAsia="pt-BR"/>
    </w:rPr>
  </w:style>
  <w:style w:type="character" w:customStyle="1" w:styleId="Ttulo2Char">
    <w:name w:val="Título 2 Char"/>
    <w:basedOn w:val="Fontepargpadro"/>
    <w:link w:val="Ttulo2"/>
    <w:uiPriority w:val="9"/>
    <w:semiHidden/>
    <w:rsid w:val="00F66F6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16730">
      <w:bodyDiv w:val="1"/>
      <w:marLeft w:val="0"/>
      <w:marRight w:val="0"/>
      <w:marTop w:val="0"/>
      <w:marBottom w:val="0"/>
      <w:divBdr>
        <w:top w:val="none" w:sz="0" w:space="0" w:color="auto"/>
        <w:left w:val="none" w:sz="0" w:space="0" w:color="auto"/>
        <w:bottom w:val="none" w:sz="0" w:space="0" w:color="auto"/>
        <w:right w:val="none" w:sz="0" w:space="0" w:color="auto"/>
      </w:divBdr>
    </w:div>
    <w:div w:id="806626465">
      <w:bodyDiv w:val="1"/>
      <w:marLeft w:val="0"/>
      <w:marRight w:val="0"/>
      <w:marTop w:val="0"/>
      <w:marBottom w:val="0"/>
      <w:divBdr>
        <w:top w:val="none" w:sz="0" w:space="0" w:color="auto"/>
        <w:left w:val="none" w:sz="0" w:space="0" w:color="auto"/>
        <w:bottom w:val="none" w:sz="0" w:space="0" w:color="auto"/>
        <w:right w:val="none" w:sz="0" w:space="0" w:color="auto"/>
      </w:divBdr>
      <w:divsChild>
        <w:div w:id="1866672993">
          <w:marLeft w:val="0"/>
          <w:marRight w:val="0"/>
          <w:marTop w:val="0"/>
          <w:marBottom w:val="0"/>
          <w:divBdr>
            <w:top w:val="none" w:sz="0" w:space="0" w:color="auto"/>
            <w:left w:val="none" w:sz="0" w:space="0" w:color="auto"/>
            <w:bottom w:val="none" w:sz="0" w:space="0" w:color="auto"/>
            <w:right w:val="none" w:sz="0" w:space="0" w:color="auto"/>
          </w:divBdr>
          <w:divsChild>
            <w:div w:id="2045059204">
              <w:marLeft w:val="0"/>
              <w:marRight w:val="0"/>
              <w:marTop w:val="0"/>
              <w:marBottom w:val="0"/>
              <w:divBdr>
                <w:top w:val="none" w:sz="0" w:space="0" w:color="auto"/>
                <w:left w:val="none" w:sz="0" w:space="0" w:color="auto"/>
                <w:bottom w:val="none" w:sz="0" w:space="0" w:color="auto"/>
                <w:right w:val="none" w:sz="0" w:space="0" w:color="auto"/>
              </w:divBdr>
              <w:divsChild>
                <w:div w:id="401175533">
                  <w:marLeft w:val="0"/>
                  <w:marRight w:val="0"/>
                  <w:marTop w:val="0"/>
                  <w:marBottom w:val="0"/>
                  <w:divBdr>
                    <w:top w:val="none" w:sz="0" w:space="0" w:color="auto"/>
                    <w:left w:val="none" w:sz="0" w:space="0" w:color="auto"/>
                    <w:bottom w:val="none" w:sz="0" w:space="0" w:color="auto"/>
                    <w:right w:val="none" w:sz="0" w:space="0" w:color="auto"/>
                  </w:divBdr>
                  <w:divsChild>
                    <w:div w:id="458259936">
                      <w:marLeft w:val="0"/>
                      <w:marRight w:val="0"/>
                      <w:marTop w:val="0"/>
                      <w:marBottom w:val="0"/>
                      <w:divBdr>
                        <w:top w:val="none" w:sz="0" w:space="0" w:color="auto"/>
                        <w:left w:val="none" w:sz="0" w:space="0" w:color="auto"/>
                        <w:bottom w:val="none" w:sz="0" w:space="0" w:color="auto"/>
                        <w:right w:val="none" w:sz="0" w:space="0" w:color="auto"/>
                      </w:divBdr>
                      <w:divsChild>
                        <w:div w:id="1717970730">
                          <w:marLeft w:val="0"/>
                          <w:marRight w:val="0"/>
                          <w:marTop w:val="0"/>
                          <w:marBottom w:val="0"/>
                          <w:divBdr>
                            <w:top w:val="none" w:sz="0" w:space="0" w:color="auto"/>
                            <w:left w:val="none" w:sz="0" w:space="0" w:color="auto"/>
                            <w:bottom w:val="none" w:sz="0" w:space="0" w:color="auto"/>
                            <w:right w:val="none" w:sz="0" w:space="0" w:color="auto"/>
                          </w:divBdr>
                          <w:divsChild>
                            <w:div w:id="19379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831657">
      <w:bodyDiv w:val="1"/>
      <w:marLeft w:val="0"/>
      <w:marRight w:val="0"/>
      <w:marTop w:val="0"/>
      <w:marBottom w:val="0"/>
      <w:divBdr>
        <w:top w:val="none" w:sz="0" w:space="0" w:color="auto"/>
        <w:left w:val="none" w:sz="0" w:space="0" w:color="auto"/>
        <w:bottom w:val="none" w:sz="0" w:space="0" w:color="auto"/>
        <w:right w:val="none" w:sz="0" w:space="0" w:color="auto"/>
      </w:divBdr>
      <w:divsChild>
        <w:div w:id="325980566">
          <w:marLeft w:val="0"/>
          <w:marRight w:val="0"/>
          <w:marTop w:val="0"/>
          <w:marBottom w:val="0"/>
          <w:divBdr>
            <w:top w:val="none" w:sz="0" w:space="0" w:color="auto"/>
            <w:left w:val="none" w:sz="0" w:space="0" w:color="auto"/>
            <w:bottom w:val="none" w:sz="0" w:space="0" w:color="auto"/>
            <w:right w:val="none" w:sz="0" w:space="0" w:color="auto"/>
          </w:divBdr>
          <w:divsChild>
            <w:div w:id="500242968">
              <w:marLeft w:val="0"/>
              <w:marRight w:val="0"/>
              <w:marTop w:val="0"/>
              <w:marBottom w:val="0"/>
              <w:divBdr>
                <w:top w:val="none" w:sz="0" w:space="0" w:color="auto"/>
                <w:left w:val="none" w:sz="0" w:space="0" w:color="auto"/>
                <w:bottom w:val="none" w:sz="0" w:space="0" w:color="auto"/>
                <w:right w:val="none" w:sz="0" w:space="0" w:color="auto"/>
              </w:divBdr>
              <w:divsChild>
                <w:div w:id="1933663960">
                  <w:marLeft w:val="0"/>
                  <w:marRight w:val="0"/>
                  <w:marTop w:val="0"/>
                  <w:marBottom w:val="0"/>
                  <w:divBdr>
                    <w:top w:val="none" w:sz="0" w:space="0" w:color="auto"/>
                    <w:left w:val="none" w:sz="0" w:space="0" w:color="auto"/>
                    <w:bottom w:val="none" w:sz="0" w:space="0" w:color="auto"/>
                    <w:right w:val="none" w:sz="0" w:space="0" w:color="auto"/>
                  </w:divBdr>
                  <w:divsChild>
                    <w:div w:id="378290297">
                      <w:marLeft w:val="0"/>
                      <w:marRight w:val="0"/>
                      <w:marTop w:val="0"/>
                      <w:marBottom w:val="0"/>
                      <w:divBdr>
                        <w:top w:val="none" w:sz="0" w:space="0" w:color="auto"/>
                        <w:left w:val="none" w:sz="0" w:space="0" w:color="auto"/>
                        <w:bottom w:val="none" w:sz="0" w:space="0" w:color="auto"/>
                        <w:right w:val="none" w:sz="0" w:space="0" w:color="auto"/>
                      </w:divBdr>
                      <w:divsChild>
                        <w:div w:id="1615017932">
                          <w:marLeft w:val="0"/>
                          <w:marRight w:val="0"/>
                          <w:marTop w:val="0"/>
                          <w:marBottom w:val="0"/>
                          <w:divBdr>
                            <w:top w:val="none" w:sz="0" w:space="0" w:color="auto"/>
                            <w:left w:val="none" w:sz="0" w:space="0" w:color="auto"/>
                            <w:bottom w:val="none" w:sz="0" w:space="0" w:color="auto"/>
                            <w:right w:val="none" w:sz="0" w:space="0" w:color="auto"/>
                          </w:divBdr>
                          <w:divsChild>
                            <w:div w:id="6435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331826">
      <w:bodyDiv w:val="1"/>
      <w:marLeft w:val="0"/>
      <w:marRight w:val="0"/>
      <w:marTop w:val="0"/>
      <w:marBottom w:val="0"/>
      <w:divBdr>
        <w:top w:val="none" w:sz="0" w:space="0" w:color="auto"/>
        <w:left w:val="none" w:sz="0" w:space="0" w:color="auto"/>
        <w:bottom w:val="none" w:sz="0" w:space="0" w:color="auto"/>
        <w:right w:val="none" w:sz="0" w:space="0" w:color="auto"/>
      </w:divBdr>
    </w:div>
    <w:div w:id="1601528101">
      <w:bodyDiv w:val="1"/>
      <w:marLeft w:val="0"/>
      <w:marRight w:val="0"/>
      <w:marTop w:val="0"/>
      <w:marBottom w:val="0"/>
      <w:divBdr>
        <w:top w:val="none" w:sz="0" w:space="0" w:color="auto"/>
        <w:left w:val="none" w:sz="0" w:space="0" w:color="auto"/>
        <w:bottom w:val="none" w:sz="0" w:space="0" w:color="auto"/>
        <w:right w:val="none" w:sz="0" w:space="0" w:color="auto"/>
      </w:divBdr>
      <w:divsChild>
        <w:div w:id="156772347">
          <w:marLeft w:val="0"/>
          <w:marRight w:val="0"/>
          <w:marTop w:val="0"/>
          <w:marBottom w:val="0"/>
          <w:divBdr>
            <w:top w:val="none" w:sz="0" w:space="0" w:color="auto"/>
            <w:left w:val="none" w:sz="0" w:space="0" w:color="auto"/>
            <w:bottom w:val="none" w:sz="0" w:space="0" w:color="auto"/>
            <w:right w:val="none" w:sz="0" w:space="0" w:color="auto"/>
          </w:divBdr>
          <w:divsChild>
            <w:div w:id="697388121">
              <w:marLeft w:val="0"/>
              <w:marRight w:val="0"/>
              <w:marTop w:val="0"/>
              <w:marBottom w:val="0"/>
              <w:divBdr>
                <w:top w:val="none" w:sz="0" w:space="0" w:color="auto"/>
                <w:left w:val="none" w:sz="0" w:space="0" w:color="auto"/>
                <w:bottom w:val="none" w:sz="0" w:space="0" w:color="auto"/>
                <w:right w:val="none" w:sz="0" w:space="0" w:color="auto"/>
              </w:divBdr>
              <w:divsChild>
                <w:div w:id="490602624">
                  <w:marLeft w:val="0"/>
                  <w:marRight w:val="0"/>
                  <w:marTop w:val="0"/>
                  <w:marBottom w:val="0"/>
                  <w:divBdr>
                    <w:top w:val="none" w:sz="0" w:space="0" w:color="auto"/>
                    <w:left w:val="none" w:sz="0" w:space="0" w:color="auto"/>
                    <w:bottom w:val="none" w:sz="0" w:space="0" w:color="auto"/>
                    <w:right w:val="none" w:sz="0" w:space="0" w:color="auto"/>
                  </w:divBdr>
                  <w:divsChild>
                    <w:div w:id="1609700571">
                      <w:marLeft w:val="0"/>
                      <w:marRight w:val="0"/>
                      <w:marTop w:val="0"/>
                      <w:marBottom w:val="0"/>
                      <w:divBdr>
                        <w:top w:val="none" w:sz="0" w:space="0" w:color="auto"/>
                        <w:left w:val="none" w:sz="0" w:space="0" w:color="auto"/>
                        <w:bottom w:val="none" w:sz="0" w:space="0" w:color="auto"/>
                        <w:right w:val="none" w:sz="0" w:space="0" w:color="auto"/>
                      </w:divBdr>
                      <w:divsChild>
                        <w:div w:id="1576893638">
                          <w:marLeft w:val="0"/>
                          <w:marRight w:val="0"/>
                          <w:marTop w:val="0"/>
                          <w:marBottom w:val="0"/>
                          <w:divBdr>
                            <w:top w:val="none" w:sz="0" w:space="0" w:color="auto"/>
                            <w:left w:val="none" w:sz="0" w:space="0" w:color="auto"/>
                            <w:bottom w:val="none" w:sz="0" w:space="0" w:color="auto"/>
                            <w:right w:val="none" w:sz="0" w:space="0" w:color="auto"/>
                          </w:divBdr>
                          <w:divsChild>
                            <w:div w:id="17967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050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815048118985129"/>
          <c:y val="5.0925925925925992E-2"/>
          <c:w val="0.83129396325459493"/>
          <c:h val="0.75803975002292767"/>
        </c:manualLayout>
      </c:layout>
      <c:barChart>
        <c:barDir val="col"/>
        <c:grouping val="clustered"/>
        <c:varyColors val="0"/>
        <c:ser>
          <c:idx val="0"/>
          <c:order val="0"/>
          <c:tx>
            <c:strRef>
              <c:f>Sheet1!$B$30</c:f>
              <c:strCache>
                <c:ptCount val="1"/>
                <c:pt idx="0">
                  <c:v>MOPS</c:v>
                </c:pt>
              </c:strCache>
            </c:strRef>
          </c:tx>
          <c:spPr>
            <a:solidFill>
              <a:schemeClr val="accent1">
                <a:lumMod val="75000"/>
              </a:schemeClr>
            </a:solidFill>
            <a:ln>
              <a:noFill/>
            </a:ln>
            <a:effectLst/>
          </c:spPr>
          <c:invertIfNegative val="0"/>
          <c:errBars>
            <c:errBarType val="both"/>
            <c:errValType val="cust"/>
            <c:noEndCap val="0"/>
            <c:plus>
              <c:numRef>
                <c:f>Sheet1!$C$35:$E$35</c:f>
                <c:numCache>
                  <c:formatCode>General</c:formatCode>
                  <c:ptCount val="3"/>
                  <c:pt idx="0">
                    <c:v>0.24773596061145098</c:v>
                  </c:pt>
                  <c:pt idx="1">
                    <c:v>0.21461645142164776</c:v>
                  </c:pt>
                  <c:pt idx="2">
                    <c:v>1.9912342948470222E-2</c:v>
                  </c:pt>
                </c:numCache>
              </c:numRef>
            </c:plus>
            <c:minus>
              <c:numRef>
                <c:f>Sheet1!$C$35:$E$35</c:f>
                <c:numCache>
                  <c:formatCode>General</c:formatCode>
                  <c:ptCount val="3"/>
                  <c:pt idx="0">
                    <c:v>0.24773596061145098</c:v>
                  </c:pt>
                  <c:pt idx="1">
                    <c:v>0.21461645142164776</c:v>
                  </c:pt>
                  <c:pt idx="2">
                    <c:v>1.9912342948470222E-2</c:v>
                  </c:pt>
                </c:numCache>
              </c:numRef>
            </c:minus>
            <c:spPr>
              <a:noFill/>
              <a:ln w="12700" cap="flat" cmpd="sng" algn="ctr">
                <a:solidFill>
                  <a:srgbClr val="595959">
                    <a:lumMod val="75000"/>
                  </a:srgbClr>
                </a:solidFill>
                <a:round/>
              </a:ln>
              <a:effectLst/>
            </c:spPr>
          </c:errBars>
          <c:cat>
            <c:numRef>
              <c:f>Sheet1!$C$29:$F$29</c:f>
              <c:numCache>
                <c:formatCode>General</c:formatCode>
                <c:ptCount val="4"/>
                <c:pt idx="0">
                  <c:v>6.5</c:v>
                </c:pt>
                <c:pt idx="1">
                  <c:v>7</c:v>
                </c:pt>
                <c:pt idx="2">
                  <c:v>7.5</c:v>
                </c:pt>
                <c:pt idx="3">
                  <c:v>8</c:v>
                </c:pt>
              </c:numCache>
            </c:numRef>
          </c:cat>
          <c:val>
            <c:numRef>
              <c:f>Sheet1!$C$30:$E$30</c:f>
              <c:numCache>
                <c:formatCode>0.0</c:formatCode>
                <c:ptCount val="3"/>
                <c:pt idx="0">
                  <c:v>72.446707571636409</c:v>
                </c:pt>
                <c:pt idx="1">
                  <c:v>50.915933961667314</c:v>
                </c:pt>
                <c:pt idx="2">
                  <c:v>22.927446391296087</c:v>
                </c:pt>
              </c:numCache>
            </c:numRef>
          </c:val>
          <c:extLst>
            <c:ext xmlns:c16="http://schemas.microsoft.com/office/drawing/2014/chart" uri="{C3380CC4-5D6E-409C-BE32-E72D297353CC}">
              <c16:uniqueId val="{00000000-1F48-48AF-8F17-D362EDF66491}"/>
            </c:ext>
          </c:extLst>
        </c:ser>
        <c:ser>
          <c:idx val="1"/>
          <c:order val="1"/>
          <c:tx>
            <c:strRef>
              <c:f>Sheet1!$B$31</c:f>
              <c:strCache>
                <c:ptCount val="1"/>
                <c:pt idx="0">
                  <c:v>NaP</c:v>
                </c:pt>
              </c:strCache>
            </c:strRef>
          </c:tx>
          <c:spPr>
            <a:solidFill>
              <a:srgbClr val="FF4747"/>
            </a:solidFill>
            <a:ln>
              <a:noFill/>
            </a:ln>
            <a:effectLst/>
          </c:spPr>
          <c:invertIfNegative val="0"/>
          <c:errBars>
            <c:errBarType val="both"/>
            <c:errValType val="cust"/>
            <c:noEndCap val="0"/>
            <c:plus>
              <c:numRef>
                <c:f>Sheet1!$C$36:$E$36</c:f>
                <c:numCache>
                  <c:formatCode>General</c:formatCode>
                  <c:ptCount val="3"/>
                  <c:pt idx="0">
                    <c:v>5.8162328255097519E-2</c:v>
                  </c:pt>
                  <c:pt idx="1">
                    <c:v>2.5449193411182486E-2</c:v>
                  </c:pt>
                  <c:pt idx="2">
                    <c:v>3.76709018637384E-2</c:v>
                  </c:pt>
                </c:numCache>
              </c:numRef>
            </c:plus>
            <c:minus>
              <c:numRef>
                <c:f>Sheet1!$C$36:$E$36</c:f>
                <c:numCache>
                  <c:formatCode>General</c:formatCode>
                  <c:ptCount val="3"/>
                  <c:pt idx="0">
                    <c:v>5.8162328255097519E-2</c:v>
                  </c:pt>
                  <c:pt idx="1">
                    <c:v>2.5449193411182486E-2</c:v>
                  </c:pt>
                  <c:pt idx="2">
                    <c:v>3.76709018637384E-2</c:v>
                  </c:pt>
                </c:numCache>
              </c:numRef>
            </c:minus>
            <c:spPr>
              <a:noFill/>
              <a:ln w="12700" cap="flat" cmpd="sng" algn="ctr">
                <a:solidFill>
                  <a:srgbClr val="595959">
                    <a:lumMod val="75000"/>
                  </a:srgbClr>
                </a:solidFill>
                <a:round/>
              </a:ln>
              <a:effectLst/>
            </c:spPr>
          </c:errBars>
          <c:cat>
            <c:numRef>
              <c:f>Sheet1!$C$29:$F$29</c:f>
              <c:numCache>
                <c:formatCode>General</c:formatCode>
                <c:ptCount val="4"/>
                <c:pt idx="0">
                  <c:v>6.5</c:v>
                </c:pt>
                <c:pt idx="1">
                  <c:v>7</c:v>
                </c:pt>
                <c:pt idx="2">
                  <c:v>7.5</c:v>
                </c:pt>
                <c:pt idx="3">
                  <c:v>8</c:v>
                </c:pt>
              </c:numCache>
            </c:numRef>
          </c:cat>
          <c:val>
            <c:numRef>
              <c:f>Sheet1!$C$31:$E$31</c:f>
              <c:numCache>
                <c:formatCode>0.0</c:formatCode>
                <c:ptCount val="3"/>
                <c:pt idx="0">
                  <c:v>10.595794392523395</c:v>
                </c:pt>
                <c:pt idx="1">
                  <c:v>5.001668891855819</c:v>
                </c:pt>
                <c:pt idx="2">
                  <c:v>2.4492656875834427</c:v>
                </c:pt>
              </c:numCache>
            </c:numRef>
          </c:val>
          <c:extLst>
            <c:ext xmlns:c16="http://schemas.microsoft.com/office/drawing/2014/chart" uri="{C3380CC4-5D6E-409C-BE32-E72D297353CC}">
              <c16:uniqueId val="{00000001-1F48-48AF-8F17-D362EDF66491}"/>
            </c:ext>
          </c:extLst>
        </c:ser>
        <c:ser>
          <c:idx val="2"/>
          <c:order val="2"/>
          <c:tx>
            <c:strRef>
              <c:f>Sheet1!$B$32</c:f>
              <c:strCache>
                <c:ptCount val="1"/>
                <c:pt idx="0">
                  <c:v>Tris-HCl</c:v>
                </c:pt>
              </c:strCache>
            </c:strRef>
          </c:tx>
          <c:spPr>
            <a:solidFill>
              <a:srgbClr val="00B050"/>
            </a:solidFill>
            <a:ln>
              <a:noFill/>
            </a:ln>
            <a:effectLst/>
          </c:spPr>
          <c:invertIfNegative val="0"/>
          <c:errBars>
            <c:errBarType val="both"/>
            <c:errValType val="cust"/>
            <c:noEndCap val="0"/>
            <c:plus>
              <c:numRef>
                <c:f>Sheet1!$D$37:$F$37</c:f>
                <c:numCache>
                  <c:formatCode>General</c:formatCode>
                  <c:ptCount val="3"/>
                  <c:pt idx="0">
                    <c:v>0.19226586239785545</c:v>
                  </c:pt>
                  <c:pt idx="1">
                    <c:v>8.0335128502564968E-2</c:v>
                  </c:pt>
                  <c:pt idx="2">
                    <c:v>9.3872473899930545E-2</c:v>
                  </c:pt>
                </c:numCache>
              </c:numRef>
            </c:plus>
            <c:minus>
              <c:numRef>
                <c:f>Sheet1!$D$37:$F$37</c:f>
                <c:numCache>
                  <c:formatCode>General</c:formatCode>
                  <c:ptCount val="3"/>
                  <c:pt idx="0">
                    <c:v>0.19226586239785545</c:v>
                  </c:pt>
                  <c:pt idx="1">
                    <c:v>8.0335128502564968E-2</c:v>
                  </c:pt>
                  <c:pt idx="2">
                    <c:v>9.3872473899930545E-2</c:v>
                  </c:pt>
                </c:numCache>
              </c:numRef>
            </c:minus>
            <c:spPr>
              <a:noFill/>
              <a:ln w="9525" cap="flat" cmpd="sng" algn="ctr">
                <a:solidFill>
                  <a:srgbClr val="595959">
                    <a:lumMod val="75000"/>
                  </a:srgbClr>
                </a:solidFill>
                <a:round/>
              </a:ln>
              <a:effectLst/>
            </c:spPr>
          </c:errBars>
          <c:cat>
            <c:numRef>
              <c:f>Sheet1!$C$29:$F$29</c:f>
              <c:numCache>
                <c:formatCode>General</c:formatCode>
                <c:ptCount val="4"/>
                <c:pt idx="0">
                  <c:v>6.5</c:v>
                </c:pt>
                <c:pt idx="1">
                  <c:v>7</c:v>
                </c:pt>
                <c:pt idx="2">
                  <c:v>7.5</c:v>
                </c:pt>
                <c:pt idx="3">
                  <c:v>8</c:v>
                </c:pt>
              </c:numCache>
            </c:numRef>
          </c:cat>
          <c:val>
            <c:numRef>
              <c:f>Sheet1!$C$32:$F$32</c:f>
              <c:numCache>
                <c:formatCode>0.0</c:formatCode>
                <c:ptCount val="4"/>
                <c:pt idx="1">
                  <c:v>34.185895586962801</c:v>
                </c:pt>
                <c:pt idx="2">
                  <c:v>19.424935102393999</c:v>
                </c:pt>
                <c:pt idx="3">
                  <c:v>16.233054513989043</c:v>
                </c:pt>
              </c:numCache>
            </c:numRef>
          </c:val>
          <c:extLst>
            <c:ext xmlns:c16="http://schemas.microsoft.com/office/drawing/2014/chart" uri="{C3380CC4-5D6E-409C-BE32-E72D297353CC}">
              <c16:uniqueId val="{00000002-1F48-48AF-8F17-D362EDF66491}"/>
            </c:ext>
          </c:extLst>
        </c:ser>
        <c:dLbls>
          <c:showLegendKey val="0"/>
          <c:showVal val="0"/>
          <c:showCatName val="0"/>
          <c:showSerName val="0"/>
          <c:showPercent val="0"/>
          <c:showBubbleSize val="0"/>
        </c:dLbls>
        <c:gapWidth val="219"/>
        <c:overlap val="-27"/>
        <c:axId val="78280192"/>
        <c:axId val="78282112"/>
      </c:barChart>
      <c:catAx>
        <c:axId val="78280192"/>
        <c:scaling>
          <c:orientation val="minMax"/>
        </c:scaling>
        <c:delete val="0"/>
        <c:axPos val="b"/>
        <c:title>
          <c:tx>
            <c:rich>
              <a:bodyPr rot="0" vert="horz"/>
              <a:lstStyle/>
              <a:p>
                <a:pPr>
                  <a:defRPr b="0"/>
                </a:pPr>
                <a:r>
                  <a:rPr lang="en-US" b="0"/>
                  <a:t>pH</a:t>
                </a:r>
              </a:p>
            </c:rich>
          </c:tx>
          <c:overlay val="0"/>
          <c:spPr>
            <a:noFill/>
            <a:ln>
              <a:noFill/>
            </a:ln>
            <a:effectLst/>
          </c:spPr>
        </c:title>
        <c:numFmt formatCode="#,##0.0" sourceLinked="0"/>
        <c:majorTickMark val="none"/>
        <c:minorTickMark val="out"/>
        <c:tickLblPos val="nextTo"/>
        <c:spPr>
          <a:noFill/>
          <a:ln w="6350" cap="flat" cmpd="sng" algn="ctr">
            <a:solidFill>
              <a:srgbClr val="595959">
                <a:lumMod val="75000"/>
              </a:srgbClr>
            </a:solidFill>
            <a:round/>
          </a:ln>
          <a:effectLst/>
        </c:spPr>
        <c:txPr>
          <a:bodyPr rot="-60000000" vert="horz"/>
          <a:lstStyle/>
          <a:p>
            <a:pPr>
              <a:defRPr/>
            </a:pPr>
            <a:endParaRPr lang="pt-BR"/>
          </a:p>
        </c:txPr>
        <c:crossAx val="78282112"/>
        <c:crosses val="autoZero"/>
        <c:auto val="1"/>
        <c:lblAlgn val="ctr"/>
        <c:lblOffset val="100"/>
        <c:noMultiLvlLbl val="0"/>
      </c:catAx>
      <c:valAx>
        <c:axId val="78282112"/>
        <c:scaling>
          <c:orientation val="minMax"/>
          <c:max val="100"/>
        </c:scaling>
        <c:delete val="0"/>
        <c:axPos val="l"/>
        <c:title>
          <c:tx>
            <c:rich>
              <a:bodyPr rot="-5400000" vert="horz"/>
              <a:lstStyle/>
              <a:p>
                <a:pPr>
                  <a:defRPr b="0"/>
                </a:pPr>
                <a:r>
                  <a:rPr lang="pt-BR" b="0"/>
                  <a:t>hIgG (%)</a:t>
                </a:r>
              </a:p>
            </c:rich>
          </c:tx>
          <c:overlay val="0"/>
          <c:spPr>
            <a:noFill/>
            <a:ln>
              <a:noFill/>
            </a:ln>
            <a:effectLst/>
          </c:spPr>
        </c:title>
        <c:numFmt formatCode="0" sourceLinked="0"/>
        <c:majorTickMark val="none"/>
        <c:minorTickMark val="none"/>
        <c:tickLblPos val="nextTo"/>
        <c:spPr>
          <a:noFill/>
          <a:ln w="6350">
            <a:solidFill>
              <a:srgbClr val="595959">
                <a:lumMod val="75000"/>
              </a:srgbClr>
            </a:solidFill>
          </a:ln>
          <a:effectLst/>
        </c:spPr>
        <c:txPr>
          <a:bodyPr rot="-60000000" vert="horz"/>
          <a:lstStyle/>
          <a:p>
            <a:pPr>
              <a:defRPr/>
            </a:pPr>
            <a:endParaRPr lang="pt-BR"/>
          </a:p>
        </c:txPr>
        <c:crossAx val="78280192"/>
        <c:crosses val="autoZero"/>
        <c:crossBetween val="between"/>
        <c:minorUnit val="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pt-B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828652525926116"/>
          <c:y val="5.0925925925925923E-2"/>
          <c:w val="0.83115784794001724"/>
          <c:h val="0.79548376141480737"/>
        </c:manualLayout>
      </c:layout>
      <c:barChart>
        <c:barDir val="col"/>
        <c:grouping val="clustered"/>
        <c:varyColors val="0"/>
        <c:ser>
          <c:idx val="0"/>
          <c:order val="0"/>
          <c:tx>
            <c:strRef>
              <c:f>'grafico 2'!$L$2</c:f>
              <c:strCache>
                <c:ptCount val="1"/>
                <c:pt idx="0">
                  <c:v>Cobalt</c:v>
                </c:pt>
              </c:strCache>
            </c:strRef>
          </c:tx>
          <c:spPr>
            <a:solidFill>
              <a:srgbClr val="EF5025"/>
            </a:solidFill>
            <a:ln>
              <a:noFill/>
            </a:ln>
            <a:effectLst/>
          </c:spPr>
          <c:invertIfNegative val="0"/>
          <c:errBars>
            <c:errBarType val="both"/>
            <c:errValType val="cust"/>
            <c:noEndCap val="0"/>
            <c:plus>
              <c:numRef>
                <c:f>'grafico 2'!$M$7:$O$7</c:f>
                <c:numCache>
                  <c:formatCode>General</c:formatCode>
                  <c:ptCount val="3"/>
                  <c:pt idx="0">
                    <c:v>1.0862449379277863</c:v>
                  </c:pt>
                  <c:pt idx="1">
                    <c:v>0.75114264462437552</c:v>
                  </c:pt>
                  <c:pt idx="2">
                    <c:v>3.7400173556761649</c:v>
                  </c:pt>
                </c:numCache>
              </c:numRef>
            </c:plus>
            <c:minus>
              <c:numRef>
                <c:f>'grafico 2'!$M$7:$O$7</c:f>
                <c:numCache>
                  <c:formatCode>General</c:formatCode>
                  <c:ptCount val="3"/>
                  <c:pt idx="0">
                    <c:v>1.0862449379277863</c:v>
                  </c:pt>
                  <c:pt idx="1">
                    <c:v>0.75114264462437552</c:v>
                  </c:pt>
                  <c:pt idx="2">
                    <c:v>3.7400173556761649</c:v>
                  </c:pt>
                </c:numCache>
              </c:numRef>
            </c:minus>
            <c:spPr>
              <a:noFill/>
              <a:ln w="9525" cap="flat" cmpd="sng" algn="ctr">
                <a:solidFill>
                  <a:schemeClr val="tx1">
                    <a:lumMod val="65000"/>
                    <a:lumOff val="35000"/>
                  </a:schemeClr>
                </a:solidFill>
                <a:round/>
              </a:ln>
              <a:effectLst/>
            </c:spPr>
          </c:errBars>
          <c:cat>
            <c:strRef>
              <c:f>'grafico 2'!$M$1:$O$1</c:f>
              <c:strCache>
                <c:ptCount val="3"/>
                <c:pt idx="0">
                  <c:v>Washing</c:v>
                </c:pt>
                <c:pt idx="1">
                  <c:v>Elution</c:v>
                </c:pt>
                <c:pt idx="2">
                  <c:v>Regeneration</c:v>
                </c:pt>
              </c:strCache>
            </c:strRef>
          </c:cat>
          <c:val>
            <c:numRef>
              <c:f>'grafico 2'!$M$2:$O$2</c:f>
              <c:numCache>
                <c:formatCode>General</c:formatCode>
                <c:ptCount val="3"/>
                <c:pt idx="0">
                  <c:v>6.7250114577515756</c:v>
                </c:pt>
                <c:pt idx="1">
                  <c:v>87.169562201190587</c:v>
                </c:pt>
                <c:pt idx="2">
                  <c:v>11.264246430566025</c:v>
                </c:pt>
              </c:numCache>
            </c:numRef>
          </c:val>
          <c:extLst>
            <c:ext xmlns:c16="http://schemas.microsoft.com/office/drawing/2014/chart" uri="{C3380CC4-5D6E-409C-BE32-E72D297353CC}">
              <c16:uniqueId val="{00000000-614D-42C5-A601-0F4F4DFFAF6B}"/>
            </c:ext>
          </c:extLst>
        </c:ser>
        <c:ser>
          <c:idx val="1"/>
          <c:order val="1"/>
          <c:tx>
            <c:strRef>
              <c:f>'grafico 2'!$L$3</c:f>
              <c:strCache>
                <c:ptCount val="1"/>
                <c:pt idx="0">
                  <c:v>Copper</c:v>
                </c:pt>
              </c:strCache>
            </c:strRef>
          </c:tx>
          <c:spPr>
            <a:solidFill>
              <a:schemeClr val="accent1"/>
            </a:solidFill>
            <a:ln>
              <a:noFill/>
            </a:ln>
            <a:effectLst/>
          </c:spPr>
          <c:invertIfNegative val="0"/>
          <c:errBars>
            <c:errBarType val="both"/>
            <c:errValType val="cust"/>
            <c:noEndCap val="0"/>
            <c:plus>
              <c:numRef>
                <c:f>'grafico 2'!$M$8:$O$8</c:f>
                <c:numCache>
                  <c:formatCode>General</c:formatCode>
                  <c:ptCount val="3"/>
                  <c:pt idx="0">
                    <c:v>5.0137314847569434E-2</c:v>
                  </c:pt>
                  <c:pt idx="1">
                    <c:v>0.80043437620278002</c:v>
                  </c:pt>
                  <c:pt idx="2">
                    <c:v>0.78715055147336077</c:v>
                  </c:pt>
                </c:numCache>
              </c:numRef>
            </c:plus>
            <c:minus>
              <c:numRef>
                <c:f>'grafico 2'!$M$8:$O$8</c:f>
                <c:numCache>
                  <c:formatCode>General</c:formatCode>
                  <c:ptCount val="3"/>
                  <c:pt idx="0">
                    <c:v>5.0137314847569434E-2</c:v>
                  </c:pt>
                  <c:pt idx="1">
                    <c:v>0.80043437620278002</c:v>
                  </c:pt>
                  <c:pt idx="2">
                    <c:v>0.78715055147336077</c:v>
                  </c:pt>
                </c:numCache>
              </c:numRef>
            </c:minus>
            <c:spPr>
              <a:noFill/>
              <a:ln w="9525" cap="flat" cmpd="sng" algn="ctr">
                <a:solidFill>
                  <a:schemeClr val="tx1">
                    <a:lumMod val="65000"/>
                    <a:lumOff val="35000"/>
                  </a:schemeClr>
                </a:solidFill>
                <a:round/>
              </a:ln>
              <a:effectLst/>
            </c:spPr>
          </c:errBars>
          <c:cat>
            <c:strRef>
              <c:f>'grafico 2'!$M$1:$O$1</c:f>
              <c:strCache>
                <c:ptCount val="3"/>
                <c:pt idx="0">
                  <c:v>Washing</c:v>
                </c:pt>
                <c:pt idx="1">
                  <c:v>Elution</c:v>
                </c:pt>
                <c:pt idx="2">
                  <c:v>Regeneration</c:v>
                </c:pt>
              </c:strCache>
            </c:strRef>
          </c:cat>
          <c:val>
            <c:numRef>
              <c:f>'grafico 2'!$M$3:$O$3</c:f>
              <c:numCache>
                <c:formatCode>General</c:formatCode>
                <c:ptCount val="3"/>
                <c:pt idx="0">
                  <c:v>1.481516871673874</c:v>
                </c:pt>
                <c:pt idx="1">
                  <c:v>90.223511299279721</c:v>
                </c:pt>
                <c:pt idx="2">
                  <c:v>14.679254023222853</c:v>
                </c:pt>
              </c:numCache>
            </c:numRef>
          </c:val>
          <c:extLst>
            <c:ext xmlns:c16="http://schemas.microsoft.com/office/drawing/2014/chart" uri="{C3380CC4-5D6E-409C-BE32-E72D297353CC}">
              <c16:uniqueId val="{00000001-614D-42C5-A601-0F4F4DFFAF6B}"/>
            </c:ext>
          </c:extLst>
        </c:ser>
        <c:ser>
          <c:idx val="2"/>
          <c:order val="2"/>
          <c:tx>
            <c:strRef>
              <c:f>'grafico 2'!$L$4</c:f>
              <c:strCache>
                <c:ptCount val="1"/>
                <c:pt idx="0">
                  <c:v>Nickel</c:v>
                </c:pt>
              </c:strCache>
            </c:strRef>
          </c:tx>
          <c:spPr>
            <a:solidFill>
              <a:srgbClr val="00B050"/>
            </a:solidFill>
            <a:ln>
              <a:noFill/>
            </a:ln>
            <a:effectLst/>
          </c:spPr>
          <c:invertIfNegative val="0"/>
          <c:errBars>
            <c:errBarType val="both"/>
            <c:errValType val="cust"/>
            <c:noEndCap val="0"/>
            <c:plus>
              <c:numRef>
                <c:f>'grafico 2'!$M$9:$O$9</c:f>
                <c:numCache>
                  <c:formatCode>General</c:formatCode>
                  <c:ptCount val="3"/>
                  <c:pt idx="0">
                    <c:v>1.219442865</c:v>
                  </c:pt>
                  <c:pt idx="1">
                    <c:v>1.2130471860000001</c:v>
                  </c:pt>
                  <c:pt idx="2">
                    <c:v>0.42637862400000115</c:v>
                  </c:pt>
                </c:numCache>
              </c:numRef>
            </c:plus>
            <c:minus>
              <c:numRef>
                <c:f>'grafico 2'!$M$9:$O$9</c:f>
                <c:numCache>
                  <c:formatCode>General</c:formatCode>
                  <c:ptCount val="3"/>
                  <c:pt idx="0">
                    <c:v>1.219442865</c:v>
                  </c:pt>
                  <c:pt idx="1">
                    <c:v>1.2130471860000001</c:v>
                  </c:pt>
                  <c:pt idx="2">
                    <c:v>0.42637862400000115</c:v>
                  </c:pt>
                </c:numCache>
              </c:numRef>
            </c:minus>
            <c:spPr>
              <a:noFill/>
              <a:ln w="9525" cap="flat" cmpd="sng" algn="ctr">
                <a:solidFill>
                  <a:schemeClr val="tx1">
                    <a:lumMod val="65000"/>
                    <a:lumOff val="35000"/>
                  </a:schemeClr>
                </a:solidFill>
                <a:round/>
              </a:ln>
              <a:effectLst/>
            </c:spPr>
          </c:errBars>
          <c:cat>
            <c:strRef>
              <c:f>'grafico 2'!$M$1:$O$1</c:f>
              <c:strCache>
                <c:ptCount val="3"/>
                <c:pt idx="0">
                  <c:v>Washing</c:v>
                </c:pt>
                <c:pt idx="1">
                  <c:v>Elution</c:v>
                </c:pt>
                <c:pt idx="2">
                  <c:v>Regeneration</c:v>
                </c:pt>
              </c:strCache>
            </c:strRef>
          </c:cat>
          <c:val>
            <c:numRef>
              <c:f>'grafico 2'!$M$4:$O$4</c:f>
              <c:numCache>
                <c:formatCode>General</c:formatCode>
                <c:ptCount val="3"/>
                <c:pt idx="0">
                  <c:v>12.860000000000021</c:v>
                </c:pt>
                <c:pt idx="1">
                  <c:v>77.849999999999994</c:v>
                </c:pt>
                <c:pt idx="2">
                  <c:v>10.220000000000001</c:v>
                </c:pt>
              </c:numCache>
            </c:numRef>
          </c:val>
          <c:extLst>
            <c:ext xmlns:c16="http://schemas.microsoft.com/office/drawing/2014/chart" uri="{C3380CC4-5D6E-409C-BE32-E72D297353CC}">
              <c16:uniqueId val="{00000002-614D-42C5-A601-0F4F4DFFAF6B}"/>
            </c:ext>
          </c:extLst>
        </c:ser>
        <c:dLbls>
          <c:showLegendKey val="0"/>
          <c:showVal val="0"/>
          <c:showCatName val="0"/>
          <c:showSerName val="0"/>
          <c:showPercent val="0"/>
          <c:showBubbleSize val="0"/>
        </c:dLbls>
        <c:gapWidth val="219"/>
        <c:overlap val="-27"/>
        <c:axId val="78132352"/>
        <c:axId val="78133888"/>
      </c:barChart>
      <c:catAx>
        <c:axId val="78132352"/>
        <c:scaling>
          <c:orientation val="minMax"/>
        </c:scaling>
        <c:delete val="0"/>
        <c:axPos val="b"/>
        <c:numFmt formatCode="General" sourceLinked="1"/>
        <c:majorTickMark val="none"/>
        <c:minorTickMark val="none"/>
        <c:tickLblPos val="nextTo"/>
        <c:spPr>
          <a:noFill/>
          <a:ln w="6350" cap="flat" cmpd="sng" algn="ctr">
            <a:solidFill>
              <a:srgbClr val="595959">
                <a:lumMod val="75000"/>
              </a:srgbClr>
            </a:solidFill>
            <a:round/>
          </a:ln>
          <a:effectLst/>
        </c:spPr>
        <c:txPr>
          <a:bodyPr rot="-60000000" vert="horz"/>
          <a:lstStyle/>
          <a:p>
            <a:pPr>
              <a:defRPr/>
            </a:pPr>
            <a:endParaRPr lang="pt-BR"/>
          </a:p>
        </c:txPr>
        <c:crossAx val="78133888"/>
        <c:crosses val="autoZero"/>
        <c:auto val="1"/>
        <c:lblAlgn val="ctr"/>
        <c:lblOffset val="100"/>
        <c:noMultiLvlLbl val="0"/>
      </c:catAx>
      <c:valAx>
        <c:axId val="78133888"/>
        <c:scaling>
          <c:orientation val="minMax"/>
        </c:scaling>
        <c:delete val="0"/>
        <c:axPos val="l"/>
        <c:title>
          <c:tx>
            <c:rich>
              <a:bodyPr rot="-5400000" vert="horz"/>
              <a:lstStyle/>
              <a:p>
                <a:pPr>
                  <a:defRPr/>
                </a:pPr>
                <a:r>
                  <a:rPr lang="en-US"/>
                  <a:t>hIgG (%)</a:t>
                </a:r>
              </a:p>
            </c:rich>
          </c:tx>
          <c:overlay val="0"/>
          <c:spPr>
            <a:noFill/>
            <a:ln>
              <a:noFill/>
            </a:ln>
            <a:effectLst/>
          </c:spPr>
        </c:title>
        <c:numFmt formatCode="General" sourceLinked="1"/>
        <c:majorTickMark val="none"/>
        <c:minorTickMark val="none"/>
        <c:tickLblPos val="nextTo"/>
        <c:spPr>
          <a:noFill/>
          <a:ln w="6350">
            <a:solidFill>
              <a:srgbClr val="595959">
                <a:lumMod val="75000"/>
              </a:srgbClr>
            </a:solidFill>
          </a:ln>
          <a:effectLst/>
        </c:spPr>
        <c:txPr>
          <a:bodyPr rot="-60000000" vert="horz"/>
          <a:lstStyle/>
          <a:p>
            <a:pPr>
              <a:defRPr/>
            </a:pPr>
            <a:endParaRPr lang="pt-BR"/>
          </a:p>
        </c:txPr>
        <c:crossAx val="781323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b="0">
          <a:solidFill>
            <a:sysClr val="windowText" lastClr="000000"/>
          </a:solidFill>
          <a:latin typeface="Arial" panose="020B0604020202020204" pitchFamily="34" charset="0"/>
          <a:cs typeface="Arial" panose="020B0604020202020204" pitchFamily="34" charset="0"/>
        </a:defRPr>
      </a:pPr>
      <a:endParaRPr lang="pt-B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F6699-A705-474B-AF9A-45869EBFC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2338</Words>
  <Characters>12628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Microsoft Word - Template EBA</vt:lpstr>
    </vt:vector>
  </TitlesOfParts>
  <Company>Hewlett-Packard Company</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Template EBA</dc:title>
  <dc:creator>Sonia</dc:creator>
  <cp:lastModifiedBy>Giovanna Giatti</cp:lastModifiedBy>
  <cp:revision>11</cp:revision>
  <dcterms:created xsi:type="dcterms:W3CDTF">2024-09-17T13:12:00Z</dcterms:created>
  <dcterms:modified xsi:type="dcterms:W3CDTF">2024-09-17T23:19:00Z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LastSaved">
    <vt:filetime>2024-06-18T00:00:00Z</vt:filetime>
  </property>
  <property fmtid="{D5CDD505-2E9C-101B-9397-08002B2CF9AE}" pid="4" name="Producer">
    <vt:lpwstr>Microsoft: Print To PDF</vt:lpwstr>
  </property>
</Properties>
</file>