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46D93" w14:textId="2ADBF0E8" w:rsidR="006206A4" w:rsidRPr="009D08DD" w:rsidRDefault="00FC465F" w:rsidP="009D08DD">
      <w:pPr>
        <w:pStyle w:val="Title"/>
      </w:pPr>
      <w:r>
        <w:t xml:space="preserve"> </w:t>
      </w:r>
      <w:r w:rsidR="009D08DD" w:rsidRPr="009D08DD">
        <w:t>Exploring the Valorization Potential of Microplastics: An Investigation into Their Use as Efficient Adsorbents in Wastewater Treatment</w:t>
      </w:r>
    </w:p>
    <w:p w14:paraId="6E6C639C" w14:textId="77777777" w:rsidR="006206A4" w:rsidRPr="009D08DD" w:rsidRDefault="006206A4">
      <w:pPr>
        <w:pStyle w:val="BodyText"/>
        <w:spacing w:before="138"/>
        <w:ind w:left="0"/>
        <w:rPr>
          <w:b/>
          <w:sz w:val="32"/>
        </w:rPr>
      </w:pPr>
    </w:p>
    <w:p w14:paraId="4F365540" w14:textId="1E239994" w:rsidR="006206A4" w:rsidRPr="000D7F69" w:rsidRDefault="009D08DD">
      <w:pPr>
        <w:ind w:left="1" w:right="23"/>
        <w:jc w:val="center"/>
        <w:rPr>
          <w:sz w:val="26"/>
          <w:highlight w:val="yellow"/>
          <w:lang w:val="pt-BR"/>
        </w:rPr>
      </w:pPr>
      <w:r w:rsidRPr="008D0336">
        <w:rPr>
          <w:sz w:val="26"/>
          <w:lang w:val="pt-BR"/>
        </w:rPr>
        <w:t xml:space="preserve">Lucas de Carvalho </w:t>
      </w:r>
      <w:proofErr w:type="spellStart"/>
      <w:r w:rsidRPr="008D0336">
        <w:rPr>
          <w:sz w:val="26"/>
          <w:lang w:val="pt-BR"/>
        </w:rPr>
        <w:t>Silva</w:t>
      </w:r>
      <w:r w:rsidR="001E518D" w:rsidRPr="008D0336">
        <w:rPr>
          <w:sz w:val="26"/>
          <w:vertAlign w:val="superscript"/>
          <w:lang w:val="pt-BR"/>
        </w:rPr>
        <w:t>a</w:t>
      </w:r>
      <w:proofErr w:type="spellEnd"/>
      <w:r w:rsidR="001E518D" w:rsidRPr="008D0336">
        <w:rPr>
          <w:sz w:val="26"/>
          <w:lang w:val="pt-BR"/>
        </w:rPr>
        <w:t>,</w:t>
      </w:r>
      <w:r w:rsidR="001E518D" w:rsidRPr="008D0336">
        <w:rPr>
          <w:spacing w:val="-7"/>
          <w:sz w:val="26"/>
          <w:lang w:val="pt-BR"/>
        </w:rPr>
        <w:t xml:space="preserve"> </w:t>
      </w:r>
      <w:r w:rsidR="000D7F69" w:rsidRPr="008D0336">
        <w:rPr>
          <w:sz w:val="26"/>
          <w:lang w:val="pt-BR"/>
        </w:rPr>
        <w:t xml:space="preserve">Eduardo </w:t>
      </w:r>
      <w:proofErr w:type="spellStart"/>
      <w:r w:rsidR="000D7F69" w:rsidRPr="008D0336">
        <w:rPr>
          <w:sz w:val="26"/>
          <w:lang w:val="pt-BR"/>
        </w:rPr>
        <w:t>Malosti</w:t>
      </w:r>
      <w:proofErr w:type="spellEnd"/>
      <w:r w:rsidR="000D7F69" w:rsidRPr="008D0336">
        <w:rPr>
          <w:sz w:val="26"/>
          <w:lang w:val="pt-BR"/>
        </w:rPr>
        <w:t xml:space="preserve"> </w:t>
      </w:r>
      <w:proofErr w:type="spellStart"/>
      <w:r w:rsidR="000D7F69" w:rsidRPr="008D0336">
        <w:rPr>
          <w:sz w:val="26"/>
          <w:lang w:val="pt-BR"/>
        </w:rPr>
        <w:t>Barbosa</w:t>
      </w:r>
      <w:r w:rsidR="001E518D" w:rsidRPr="008D0336">
        <w:rPr>
          <w:sz w:val="26"/>
          <w:vertAlign w:val="superscript"/>
          <w:lang w:val="pt-BR"/>
        </w:rPr>
        <w:t>b</w:t>
      </w:r>
      <w:proofErr w:type="spellEnd"/>
      <w:r w:rsidR="001E518D" w:rsidRPr="008D0336">
        <w:rPr>
          <w:sz w:val="26"/>
          <w:lang w:val="pt-BR"/>
        </w:rPr>
        <w:t>,</w:t>
      </w:r>
      <w:r w:rsidR="001E518D" w:rsidRPr="008D0336">
        <w:rPr>
          <w:spacing w:val="-7"/>
          <w:sz w:val="26"/>
          <w:lang w:val="pt-BR"/>
        </w:rPr>
        <w:t xml:space="preserve"> </w:t>
      </w:r>
      <w:r w:rsidR="000D7F69" w:rsidRPr="008D0336">
        <w:rPr>
          <w:sz w:val="26"/>
          <w:lang w:val="pt-BR"/>
        </w:rPr>
        <w:t xml:space="preserve">Camila Gabriela Pedroso </w:t>
      </w:r>
      <w:proofErr w:type="spellStart"/>
      <w:r w:rsidR="000D7F69" w:rsidRPr="008D0336">
        <w:rPr>
          <w:sz w:val="26"/>
          <w:lang w:val="pt-BR"/>
        </w:rPr>
        <w:t>Grassmann</w:t>
      </w:r>
      <w:r w:rsidR="008D0336" w:rsidRPr="008D0336">
        <w:rPr>
          <w:sz w:val="26"/>
          <w:vertAlign w:val="superscript"/>
          <w:lang w:val="pt-BR"/>
        </w:rPr>
        <w:t>b</w:t>
      </w:r>
      <w:proofErr w:type="spellEnd"/>
      <w:r w:rsidR="000D7F69" w:rsidRPr="008D0336">
        <w:rPr>
          <w:sz w:val="26"/>
          <w:lang w:val="pt-BR"/>
        </w:rPr>
        <w:t>,</w:t>
      </w:r>
      <w:r w:rsidR="000D7F69">
        <w:rPr>
          <w:sz w:val="26"/>
          <w:lang w:val="pt-BR"/>
        </w:rPr>
        <w:t xml:space="preserve"> </w:t>
      </w:r>
      <w:r w:rsidR="008D0336" w:rsidRPr="008D0336">
        <w:rPr>
          <w:sz w:val="26"/>
          <w:lang w:val="pt-BR"/>
        </w:rPr>
        <w:t xml:space="preserve">Leonardo José </w:t>
      </w:r>
      <w:proofErr w:type="spellStart"/>
      <w:r w:rsidR="008D0336" w:rsidRPr="008D0336">
        <w:rPr>
          <w:sz w:val="26"/>
          <w:lang w:val="pt-BR"/>
        </w:rPr>
        <w:t>Viginheski</w:t>
      </w:r>
      <w:r w:rsidR="008D0336">
        <w:rPr>
          <w:sz w:val="26"/>
          <w:vertAlign w:val="superscript"/>
          <w:lang w:val="pt-BR"/>
        </w:rPr>
        <w:t>c</w:t>
      </w:r>
      <w:proofErr w:type="spellEnd"/>
      <w:r w:rsidR="000D7F69">
        <w:rPr>
          <w:sz w:val="26"/>
          <w:lang w:val="pt-BR"/>
        </w:rPr>
        <w:t xml:space="preserve">, </w:t>
      </w:r>
      <w:r w:rsidR="000D7F69" w:rsidRPr="000D7F69">
        <w:rPr>
          <w:sz w:val="26"/>
          <w:lang w:val="pt-BR"/>
        </w:rPr>
        <w:t xml:space="preserve">Carla Bastos </w:t>
      </w:r>
      <w:proofErr w:type="spellStart"/>
      <w:proofErr w:type="gramStart"/>
      <w:r w:rsidR="000D7F69" w:rsidRPr="008D0336">
        <w:rPr>
          <w:sz w:val="26"/>
          <w:lang w:val="pt-BR"/>
        </w:rPr>
        <w:t>Vidal</w:t>
      </w:r>
      <w:r w:rsidR="008D0336" w:rsidRPr="008D0336">
        <w:rPr>
          <w:sz w:val="26"/>
          <w:vertAlign w:val="superscript"/>
          <w:lang w:val="pt-BR"/>
        </w:rPr>
        <w:t>b,d</w:t>
      </w:r>
      <w:proofErr w:type="spellEnd"/>
      <w:proofErr w:type="gramEnd"/>
    </w:p>
    <w:p w14:paraId="3FCA8E60" w14:textId="49733370" w:rsidR="000D7F69" w:rsidRPr="008D0336" w:rsidRDefault="001E518D" w:rsidP="000D7F69">
      <w:pPr>
        <w:spacing w:before="151" w:line="206" w:lineRule="exact"/>
        <w:ind w:left="6" w:right="23"/>
        <w:jc w:val="center"/>
        <w:rPr>
          <w:i/>
          <w:sz w:val="18"/>
          <w:lang w:val="pt-BR"/>
        </w:rPr>
      </w:pPr>
      <w:r w:rsidRPr="008D0336">
        <w:rPr>
          <w:i/>
          <w:position w:val="6"/>
          <w:sz w:val="12"/>
          <w:lang w:val="pt-BR"/>
        </w:rPr>
        <w:t>a</w:t>
      </w:r>
      <w:r w:rsidRPr="008D0336">
        <w:rPr>
          <w:i/>
          <w:spacing w:val="13"/>
          <w:position w:val="6"/>
          <w:sz w:val="12"/>
          <w:lang w:val="pt-BR"/>
        </w:rPr>
        <w:t xml:space="preserve"> </w:t>
      </w:r>
      <w:r w:rsidR="000D7F69" w:rsidRPr="008D0336">
        <w:rPr>
          <w:i/>
          <w:sz w:val="18"/>
          <w:lang w:val="pt-BR"/>
        </w:rPr>
        <w:t xml:space="preserve">Federal </w:t>
      </w:r>
      <w:proofErr w:type="spellStart"/>
      <w:r w:rsidR="000D7F69" w:rsidRPr="008D0336">
        <w:rPr>
          <w:i/>
          <w:sz w:val="18"/>
          <w:lang w:val="pt-BR"/>
        </w:rPr>
        <w:t>University</w:t>
      </w:r>
      <w:proofErr w:type="spellEnd"/>
      <w:r w:rsidR="000D7F69" w:rsidRPr="008D0336">
        <w:rPr>
          <w:i/>
          <w:sz w:val="18"/>
          <w:lang w:val="pt-BR"/>
        </w:rPr>
        <w:t xml:space="preserve"> </w:t>
      </w:r>
      <w:proofErr w:type="spellStart"/>
      <w:r w:rsidR="000D7F69" w:rsidRPr="008D0336">
        <w:rPr>
          <w:i/>
          <w:sz w:val="18"/>
          <w:lang w:val="pt-BR"/>
        </w:rPr>
        <w:t>of</w:t>
      </w:r>
      <w:proofErr w:type="spellEnd"/>
      <w:r w:rsidR="000D7F69" w:rsidRPr="008D0336">
        <w:rPr>
          <w:i/>
          <w:sz w:val="18"/>
          <w:lang w:val="pt-BR"/>
        </w:rPr>
        <w:t xml:space="preserve"> Technology – Paraná (UTFPR) - Civil </w:t>
      </w:r>
      <w:proofErr w:type="spellStart"/>
      <w:r w:rsidR="000D7F69" w:rsidRPr="008D0336">
        <w:rPr>
          <w:i/>
          <w:sz w:val="18"/>
          <w:lang w:val="pt-BR"/>
        </w:rPr>
        <w:t>Engineering</w:t>
      </w:r>
      <w:proofErr w:type="spellEnd"/>
      <w:r w:rsidR="000D7F69" w:rsidRPr="008D0336">
        <w:rPr>
          <w:i/>
          <w:sz w:val="18"/>
          <w:lang w:val="pt-BR"/>
        </w:rPr>
        <w:t xml:space="preserve"> </w:t>
      </w:r>
      <w:proofErr w:type="spellStart"/>
      <w:r w:rsidR="000D7F69" w:rsidRPr="008D0336">
        <w:rPr>
          <w:i/>
          <w:sz w:val="18"/>
          <w:lang w:val="pt-BR"/>
        </w:rPr>
        <w:t>Graduate</w:t>
      </w:r>
      <w:proofErr w:type="spellEnd"/>
      <w:r w:rsidR="000D7F69" w:rsidRPr="008D0336">
        <w:rPr>
          <w:i/>
          <w:sz w:val="18"/>
          <w:lang w:val="pt-BR"/>
        </w:rPr>
        <w:t xml:space="preserve"> </w:t>
      </w:r>
      <w:proofErr w:type="spellStart"/>
      <w:r w:rsidR="000D7F69" w:rsidRPr="008D0336">
        <w:rPr>
          <w:i/>
          <w:sz w:val="18"/>
          <w:lang w:val="pt-BR"/>
        </w:rPr>
        <w:t>Program</w:t>
      </w:r>
      <w:proofErr w:type="spellEnd"/>
      <w:r w:rsidR="000D7F69" w:rsidRPr="008D0336">
        <w:rPr>
          <w:i/>
          <w:sz w:val="18"/>
          <w:lang w:val="pt-BR"/>
        </w:rPr>
        <w:t xml:space="preserve">, Deputado Heitor de Alencar Furtado St., 5000, Ecoville, Curitiba, Paraná 81280-340, </w:t>
      </w:r>
      <w:proofErr w:type="spellStart"/>
      <w:r w:rsidR="000D7F69" w:rsidRPr="008D0336">
        <w:rPr>
          <w:i/>
          <w:sz w:val="18"/>
          <w:lang w:val="pt-BR"/>
        </w:rPr>
        <w:t>Brazil</w:t>
      </w:r>
      <w:proofErr w:type="spellEnd"/>
      <w:r w:rsidR="000D7F69" w:rsidRPr="008D0336">
        <w:rPr>
          <w:i/>
          <w:sz w:val="18"/>
          <w:lang w:val="pt-BR"/>
        </w:rPr>
        <w:t>.</w:t>
      </w:r>
    </w:p>
    <w:p w14:paraId="214A035D" w14:textId="44E30FC8" w:rsidR="00653E20" w:rsidRDefault="008D0336" w:rsidP="00653E20">
      <w:pPr>
        <w:spacing w:before="151" w:line="206" w:lineRule="exact"/>
        <w:ind w:left="6" w:right="23"/>
        <w:jc w:val="center"/>
        <w:rPr>
          <w:i/>
          <w:sz w:val="18"/>
          <w:lang w:val="pt-BR"/>
        </w:rPr>
      </w:pPr>
      <w:r w:rsidRPr="008D0336">
        <w:rPr>
          <w:i/>
          <w:position w:val="6"/>
          <w:sz w:val="12"/>
          <w:lang w:val="pt-BR"/>
        </w:rPr>
        <w:t>b</w:t>
      </w:r>
      <w:r w:rsidR="00653E20" w:rsidRPr="008D0336">
        <w:rPr>
          <w:i/>
          <w:spacing w:val="13"/>
          <w:position w:val="6"/>
          <w:sz w:val="12"/>
          <w:lang w:val="pt-BR"/>
        </w:rPr>
        <w:t xml:space="preserve"> </w:t>
      </w:r>
      <w:r w:rsidR="00653E20" w:rsidRPr="008D0336">
        <w:rPr>
          <w:i/>
          <w:sz w:val="18"/>
          <w:lang w:val="pt-BR"/>
        </w:rPr>
        <w:t xml:space="preserve">Federal </w:t>
      </w:r>
      <w:proofErr w:type="spellStart"/>
      <w:r w:rsidR="00653E20" w:rsidRPr="008D0336">
        <w:rPr>
          <w:i/>
          <w:sz w:val="18"/>
          <w:lang w:val="pt-BR"/>
        </w:rPr>
        <w:t>University</w:t>
      </w:r>
      <w:proofErr w:type="spellEnd"/>
      <w:r w:rsidR="00653E20" w:rsidRPr="008D0336">
        <w:rPr>
          <w:i/>
          <w:sz w:val="18"/>
          <w:lang w:val="pt-BR"/>
        </w:rPr>
        <w:t xml:space="preserve"> </w:t>
      </w:r>
      <w:proofErr w:type="spellStart"/>
      <w:r w:rsidR="00653E20" w:rsidRPr="008D0336">
        <w:rPr>
          <w:i/>
          <w:sz w:val="18"/>
          <w:lang w:val="pt-BR"/>
        </w:rPr>
        <w:t>of</w:t>
      </w:r>
      <w:proofErr w:type="spellEnd"/>
      <w:r w:rsidR="00653E20" w:rsidRPr="008D0336">
        <w:rPr>
          <w:i/>
          <w:sz w:val="18"/>
          <w:lang w:val="pt-BR"/>
        </w:rPr>
        <w:t xml:space="preserve"> Technology – Paraná (UTFPR) - </w:t>
      </w:r>
      <w:r w:rsidRPr="008D0336">
        <w:rPr>
          <w:i/>
          <w:sz w:val="18"/>
          <w:lang w:val="pt-BR"/>
        </w:rPr>
        <w:t xml:space="preserve">Environmental </w:t>
      </w:r>
      <w:proofErr w:type="spellStart"/>
      <w:r w:rsidRPr="008D0336">
        <w:rPr>
          <w:i/>
          <w:sz w:val="18"/>
          <w:lang w:val="pt-BR"/>
        </w:rPr>
        <w:t>Sciences</w:t>
      </w:r>
      <w:proofErr w:type="spellEnd"/>
      <w:r w:rsidRPr="008D0336">
        <w:rPr>
          <w:i/>
          <w:sz w:val="18"/>
          <w:lang w:val="pt-BR"/>
        </w:rPr>
        <w:t xml:space="preserve"> </w:t>
      </w:r>
      <w:proofErr w:type="spellStart"/>
      <w:r w:rsidR="00653E20" w:rsidRPr="008D0336">
        <w:rPr>
          <w:i/>
          <w:sz w:val="18"/>
          <w:lang w:val="pt-BR"/>
        </w:rPr>
        <w:t>Graduate</w:t>
      </w:r>
      <w:proofErr w:type="spellEnd"/>
      <w:r w:rsidR="00653E20" w:rsidRPr="008D0336">
        <w:rPr>
          <w:i/>
          <w:sz w:val="18"/>
          <w:lang w:val="pt-BR"/>
        </w:rPr>
        <w:t xml:space="preserve"> </w:t>
      </w:r>
      <w:proofErr w:type="spellStart"/>
      <w:r w:rsidR="00653E20" w:rsidRPr="008D0336">
        <w:rPr>
          <w:i/>
          <w:sz w:val="18"/>
          <w:lang w:val="pt-BR"/>
        </w:rPr>
        <w:t>Program</w:t>
      </w:r>
      <w:proofErr w:type="spellEnd"/>
      <w:r w:rsidR="00653E20" w:rsidRPr="008D0336">
        <w:rPr>
          <w:i/>
          <w:sz w:val="18"/>
          <w:lang w:val="pt-BR"/>
        </w:rPr>
        <w:t xml:space="preserve">, Deputado Heitor de Alencar Furtado St., 5000, Ecoville, Curitiba, Paraná 81280-340, </w:t>
      </w:r>
      <w:proofErr w:type="spellStart"/>
      <w:r w:rsidR="00653E20" w:rsidRPr="008D0336">
        <w:rPr>
          <w:i/>
          <w:sz w:val="18"/>
          <w:lang w:val="pt-BR"/>
        </w:rPr>
        <w:t>Brazil</w:t>
      </w:r>
      <w:proofErr w:type="spellEnd"/>
      <w:r w:rsidR="00653E20" w:rsidRPr="008D0336">
        <w:rPr>
          <w:i/>
          <w:sz w:val="18"/>
          <w:lang w:val="pt-BR"/>
        </w:rPr>
        <w:t>.</w:t>
      </w:r>
    </w:p>
    <w:p w14:paraId="3C4B5F44" w14:textId="025666D8" w:rsidR="008D0336" w:rsidRPr="00830B2F" w:rsidRDefault="008D0336" w:rsidP="008D0336">
      <w:pPr>
        <w:spacing w:before="151" w:line="206" w:lineRule="exact"/>
        <w:ind w:left="6" w:right="23"/>
        <w:jc w:val="center"/>
        <w:rPr>
          <w:i/>
          <w:sz w:val="18"/>
        </w:rPr>
      </w:pPr>
      <w:r w:rsidRPr="00830B2F">
        <w:rPr>
          <w:i/>
          <w:position w:val="6"/>
          <w:sz w:val="12"/>
        </w:rPr>
        <w:t>c</w:t>
      </w:r>
      <w:r w:rsidRPr="00830B2F">
        <w:rPr>
          <w:i/>
          <w:spacing w:val="13"/>
          <w:position w:val="6"/>
          <w:sz w:val="12"/>
        </w:rPr>
        <w:t xml:space="preserve"> </w:t>
      </w:r>
      <w:r w:rsidRPr="00830B2F">
        <w:rPr>
          <w:i/>
          <w:sz w:val="18"/>
        </w:rPr>
        <w:t xml:space="preserve">Federal University of Technology – Paraná (UTFPR) – Department of Chemistry and Biology, </w:t>
      </w:r>
      <w:proofErr w:type="spellStart"/>
      <w:r w:rsidRPr="00830B2F">
        <w:rPr>
          <w:i/>
          <w:sz w:val="18"/>
        </w:rPr>
        <w:t>Deputado</w:t>
      </w:r>
      <w:proofErr w:type="spellEnd"/>
      <w:r w:rsidRPr="00830B2F">
        <w:rPr>
          <w:i/>
          <w:sz w:val="18"/>
        </w:rPr>
        <w:t xml:space="preserve"> </w:t>
      </w:r>
      <w:proofErr w:type="spellStart"/>
      <w:r w:rsidRPr="00830B2F">
        <w:rPr>
          <w:i/>
          <w:sz w:val="18"/>
        </w:rPr>
        <w:t>Heitor</w:t>
      </w:r>
      <w:proofErr w:type="spellEnd"/>
      <w:r w:rsidRPr="00830B2F">
        <w:rPr>
          <w:i/>
          <w:sz w:val="18"/>
        </w:rPr>
        <w:t xml:space="preserve"> de </w:t>
      </w:r>
      <w:proofErr w:type="spellStart"/>
      <w:r w:rsidRPr="00830B2F">
        <w:rPr>
          <w:i/>
          <w:sz w:val="18"/>
        </w:rPr>
        <w:t>Alencar</w:t>
      </w:r>
      <w:proofErr w:type="spellEnd"/>
      <w:r w:rsidRPr="00830B2F">
        <w:rPr>
          <w:i/>
          <w:sz w:val="18"/>
        </w:rPr>
        <w:t xml:space="preserve"> Furtado St., 5000, </w:t>
      </w:r>
      <w:proofErr w:type="spellStart"/>
      <w:r w:rsidRPr="00830B2F">
        <w:rPr>
          <w:i/>
          <w:sz w:val="18"/>
        </w:rPr>
        <w:t>Ecoville</w:t>
      </w:r>
      <w:proofErr w:type="spellEnd"/>
      <w:r w:rsidRPr="00830B2F">
        <w:rPr>
          <w:i/>
          <w:sz w:val="18"/>
        </w:rPr>
        <w:t>, Curitiba, Paraná 81280-340, Brazil.</w:t>
      </w:r>
    </w:p>
    <w:p w14:paraId="73A3BF58" w14:textId="54EAE5F0" w:rsidR="008D0336" w:rsidRPr="00830B2F" w:rsidRDefault="008D0336" w:rsidP="008D0336">
      <w:pPr>
        <w:spacing w:before="151" w:line="206" w:lineRule="exact"/>
        <w:ind w:left="6" w:right="23"/>
        <w:jc w:val="center"/>
        <w:rPr>
          <w:i/>
          <w:sz w:val="18"/>
        </w:rPr>
      </w:pPr>
      <w:r w:rsidRPr="00830B2F">
        <w:rPr>
          <w:i/>
          <w:position w:val="6"/>
          <w:sz w:val="12"/>
        </w:rPr>
        <w:t>c</w:t>
      </w:r>
      <w:r w:rsidRPr="00830B2F">
        <w:rPr>
          <w:i/>
          <w:spacing w:val="13"/>
          <w:position w:val="6"/>
          <w:sz w:val="12"/>
        </w:rPr>
        <w:t xml:space="preserve"> </w:t>
      </w:r>
      <w:r w:rsidRPr="00830B2F">
        <w:rPr>
          <w:i/>
          <w:sz w:val="18"/>
        </w:rPr>
        <w:t xml:space="preserve">Federal University of </w:t>
      </w:r>
      <w:proofErr w:type="gramStart"/>
      <w:r w:rsidRPr="00830B2F">
        <w:rPr>
          <w:i/>
          <w:sz w:val="18"/>
        </w:rPr>
        <w:t>Ceará  (</w:t>
      </w:r>
      <w:proofErr w:type="gramEnd"/>
      <w:r w:rsidRPr="00830B2F">
        <w:rPr>
          <w:i/>
          <w:sz w:val="18"/>
        </w:rPr>
        <w:t>UFC) – Department of Analytical Chemistry and Physical Chemistry, Humberto Monte  St., s/n, Campus do Pici, Bloco 938/939, Fortaleza, Ceará 60440-900, Brazil.</w:t>
      </w:r>
    </w:p>
    <w:p w14:paraId="2C059471" w14:textId="7D42FDFE" w:rsidR="006206A4" w:rsidRPr="008D0336" w:rsidRDefault="001E518D" w:rsidP="008D0336">
      <w:pPr>
        <w:spacing w:before="151" w:line="206" w:lineRule="exact"/>
        <w:ind w:right="23"/>
        <w:rPr>
          <w:i/>
          <w:sz w:val="18"/>
        </w:rPr>
      </w:pPr>
      <w:r>
        <w:rPr>
          <w:noProof/>
        </w:rPr>
        <mc:AlternateContent>
          <mc:Choice Requires="wps">
            <w:drawing>
              <wp:anchor distT="0" distB="0" distL="0" distR="0" simplePos="0" relativeHeight="487587840" behindDoc="1" locked="0" layoutInCell="1" allowOverlap="1" wp14:anchorId="7B2D68BC" wp14:editId="1817F63A">
                <wp:simplePos x="0" y="0"/>
                <wp:positionH relativeFrom="page">
                  <wp:posOffset>701039</wp:posOffset>
                </wp:positionH>
                <wp:positionV relativeFrom="paragraph">
                  <wp:posOffset>250184</wp:posOffset>
                </wp:positionV>
                <wp:extent cx="615696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960" y="6095"/>
                              </a:moveTo>
                              <a:lnTo>
                                <a:pt x="0" y="6095"/>
                              </a:lnTo>
                              <a:lnTo>
                                <a:pt x="0" y="0"/>
                              </a:lnTo>
                              <a:lnTo>
                                <a:pt x="6156960" y="0"/>
                              </a:lnTo>
                              <a:lnTo>
                                <a:pt x="615696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1689E23A" id="Graphic 3" o:spid="_x0000_s1026" style="position:absolute;margin-left:55.2pt;margin-top:19.7pt;width:484.8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3CMAIAAOQEAAAOAAAAZHJzL2Uyb0RvYy54bWysVMFu2zAMvQ/YPwi6L04aJFiNOMXQosWA&#10;oivQFDsrshwbk0VNVGLn70fJVupul2FYDjZlPtPv8ZHZ3PStZiflsAFT8MVszpkyEsrGHAr+urv/&#10;9Jkz9MKUQoNRBT8r5Dfbjx82nc3VFdSgS+UYFTGYd7bgtfc2zzKUtWoFzsAqQ8kKXCs8Hd0hK53o&#10;qHqrs6v5fJ114ErrQCpEeno3JPk21q8qJf23qkLlmS44cfPx6uJ1H67ZdiPygxO2buRIQ/wDi1Y0&#10;hj56KXUnvGBH1/xRqm2kA4TKzyS0GVRVI1XUQGoW89/UvNTCqqiFmoP20ib8f2Xl0+nZsaYs+JIz&#10;I1qy6GHsxjI0p7OYE+bFPrsgD+0jyB9IiexdJhxwxPSVawOWxLE+dvp86bTqPZP0cL1Yra/XZIik&#10;3Hq5ikZkIk/vyiP6BwWxjjg9oh98KlMk6hTJ3qTQkdvBZx199pyRz44z8nk/+GyFD+8FciFk3YRI&#10;PfIIyRZOagcR5oOEC9tAdn69CtWI7BtMmymcZL0HpnS621h1gCXlKZfuA2b65b9HTjimclIDqoF2&#10;kB75X9pBWqYNR9BNed9oHTqA7rC/1Y6dRNig+BvlT2BxGAb/wyTsoTzTVHU0SAXHn0fhFGf6q6G5&#10;DTuYApeCfQqc17cQNzU236Hf9d+Fs8xSWHBP4/MEaStEniaD+AfAgA1vGvhy9FA1YWwit4HReKBV&#10;ivrHtQ+7Oj1H1Nuf0/YXAAAA//8DAFBLAwQUAAYACAAAACEA7zNmnd8AAAAKAQAADwAAAGRycy9k&#10;b3ducmV2LnhtbEyPzU7DMBCE70i8g7VI3KjdElUlxKkAiQMSFSLkwNGJlzjCP2nspunbsz2V02o0&#10;n2Zniu3sLJtwjH3wEpYLAQx9G3TvOwn11+vdBlhMymtlg0cJJ4ywLa+vCpXrcPSfOFWpYxTiY64k&#10;mJSGnPPYGnQqLsKAnryfMDqVSI4d16M6UrizfCXEmjvVe/pg1IAvBtvf6uAkzKdmZ593b1P98b7n&#10;Va0zs199S3l7Mz89Aks4pwsM5/pUHUrq1ISD15FZ0kuRESrh/oHuGRAbQesaCRk5vCz4/wnlHwAA&#10;AP//AwBQSwECLQAUAAYACAAAACEAtoM4kv4AAADhAQAAEwAAAAAAAAAAAAAAAAAAAAAAW0NvbnRl&#10;bnRfVHlwZXNdLnhtbFBLAQItABQABgAIAAAAIQA4/SH/1gAAAJQBAAALAAAAAAAAAAAAAAAAAC8B&#10;AABfcmVscy8ucmVsc1BLAQItABQABgAIAAAAIQBpdz3CMAIAAOQEAAAOAAAAAAAAAAAAAAAAAC4C&#10;AABkcnMvZTJvRG9jLnhtbFBLAQItABQABgAIAAAAIQDvM2ad3wAAAAoBAAAPAAAAAAAAAAAAAAAA&#10;AIoEAABkcnMvZG93bnJldi54bWxQSwUGAAAAAAQABADzAAAAlgUAAAAA&#10;" path="m6156960,6095l,6095,,,6156960,r,6095xe" fillcolor="black" stroked="f">
                <v:path arrowok="t"/>
                <w10:wrap type="topAndBottom" anchorx="page"/>
              </v:shape>
            </w:pict>
          </mc:Fallback>
        </mc:AlternateContent>
      </w:r>
    </w:p>
    <w:p w14:paraId="6D1C706A" w14:textId="77777777" w:rsidR="006206A4" w:rsidRDefault="001E518D">
      <w:pPr>
        <w:spacing w:before="169"/>
        <w:ind w:left="132"/>
        <w:rPr>
          <w:b/>
        </w:rPr>
      </w:pPr>
      <w:r>
        <w:rPr>
          <w:b/>
          <w:spacing w:val="-2"/>
        </w:rPr>
        <w:t>Abstract</w:t>
      </w:r>
    </w:p>
    <w:p w14:paraId="771189A4" w14:textId="445CFE70" w:rsidR="006206A4" w:rsidRPr="000C1F4F" w:rsidRDefault="000D7F69" w:rsidP="000C1F4F">
      <w:pPr>
        <w:pStyle w:val="BodyText"/>
        <w:spacing w:before="237" w:line="228" w:lineRule="auto"/>
        <w:ind w:right="145" w:firstLine="237"/>
        <w:jc w:val="both"/>
      </w:pPr>
      <w:r w:rsidRPr="00367455">
        <w:rPr>
          <w:sz w:val="20"/>
          <w:szCs w:val="20"/>
        </w:rPr>
        <w:t>Plastic, a ubiquitous material in modern society, generates waste that accumulates in the environment, leading to severe ecological and social consequences. Among these wastes, microplastics (MPs) are an increasing concern due to their persistence and potential toxicity. The valorization of MPs as adsorbents for pollutant removal emerges as a promising strategy for the circular economy and the mitigation of plastic pollution. Therefore, understanding the interaction between the adsorbate and the adsorbent is crucial, aiming to elucidate the behavior of microplastics when exposed to pollutants.</w:t>
      </w:r>
      <w:r w:rsidR="00ED187F" w:rsidRPr="00367455">
        <w:rPr>
          <w:sz w:val="20"/>
          <w:szCs w:val="20"/>
        </w:rPr>
        <w:t xml:space="preserve"> </w:t>
      </w:r>
      <w:r w:rsidRPr="00367455">
        <w:rPr>
          <w:sz w:val="20"/>
          <w:szCs w:val="20"/>
        </w:rPr>
        <w:t xml:space="preserve">This study </w:t>
      </w:r>
      <w:r w:rsidR="007217DE">
        <w:rPr>
          <w:sz w:val="20"/>
          <w:szCs w:val="20"/>
        </w:rPr>
        <w:t>evaluated</w:t>
      </w:r>
      <w:r w:rsidRPr="00367455">
        <w:rPr>
          <w:sz w:val="20"/>
          <w:szCs w:val="20"/>
        </w:rPr>
        <w:t xml:space="preserve"> the efficacy of</w:t>
      </w:r>
      <w:r w:rsidR="007217DE" w:rsidRPr="007217DE">
        <w:t xml:space="preserve"> </w:t>
      </w:r>
      <w:r w:rsidR="007217DE">
        <w:rPr>
          <w:sz w:val="20"/>
          <w:szCs w:val="20"/>
        </w:rPr>
        <w:t>P</w:t>
      </w:r>
      <w:r w:rsidR="007217DE" w:rsidRPr="007217DE">
        <w:rPr>
          <w:sz w:val="20"/>
          <w:szCs w:val="20"/>
        </w:rPr>
        <w:t>olyethylene</w:t>
      </w:r>
      <w:r w:rsidR="007217DE">
        <w:rPr>
          <w:sz w:val="20"/>
          <w:szCs w:val="20"/>
        </w:rPr>
        <w:t xml:space="preserve"> - </w:t>
      </w:r>
      <w:r w:rsidR="00367455" w:rsidRPr="00367455">
        <w:rPr>
          <w:sz w:val="20"/>
          <w:szCs w:val="20"/>
        </w:rPr>
        <w:t xml:space="preserve">PE and </w:t>
      </w:r>
      <w:r w:rsidR="007217DE">
        <w:rPr>
          <w:sz w:val="20"/>
          <w:szCs w:val="20"/>
        </w:rPr>
        <w:t>p</w:t>
      </w:r>
      <w:r w:rsidR="007217DE" w:rsidRPr="007217DE">
        <w:rPr>
          <w:sz w:val="20"/>
          <w:szCs w:val="20"/>
        </w:rPr>
        <w:t>oly (ethylene terephthalate)</w:t>
      </w:r>
      <w:r w:rsidR="007217DE">
        <w:rPr>
          <w:sz w:val="20"/>
          <w:szCs w:val="20"/>
        </w:rPr>
        <w:t xml:space="preserve"> - </w:t>
      </w:r>
      <w:r w:rsidRPr="00367455">
        <w:rPr>
          <w:sz w:val="20"/>
          <w:szCs w:val="20"/>
        </w:rPr>
        <w:t xml:space="preserve">PET </w:t>
      </w:r>
      <w:r w:rsidR="00367455" w:rsidRPr="00367455">
        <w:rPr>
          <w:sz w:val="20"/>
          <w:szCs w:val="20"/>
        </w:rPr>
        <w:t xml:space="preserve">(0.05 </w:t>
      </w:r>
      <w:r w:rsidR="00ED187F" w:rsidRPr="00367455">
        <w:rPr>
          <w:sz w:val="20"/>
          <w:szCs w:val="20"/>
        </w:rPr>
        <w:t>mm)</w:t>
      </w:r>
      <w:r w:rsidRPr="00367455">
        <w:rPr>
          <w:sz w:val="20"/>
          <w:szCs w:val="20"/>
        </w:rPr>
        <w:t xml:space="preserve"> </w:t>
      </w:r>
      <w:r w:rsidR="00ED187F" w:rsidRPr="00367455">
        <w:rPr>
          <w:sz w:val="20"/>
          <w:szCs w:val="20"/>
        </w:rPr>
        <w:t xml:space="preserve">spheres </w:t>
      </w:r>
      <w:r w:rsidRPr="00367455">
        <w:rPr>
          <w:sz w:val="20"/>
          <w:szCs w:val="20"/>
        </w:rPr>
        <w:t xml:space="preserve">in adsorbing Congo red dye from synthetic textile effluents. </w:t>
      </w:r>
      <w:r w:rsidR="000C1F4F" w:rsidRPr="000C1F4F">
        <w:rPr>
          <w:sz w:val="20"/>
          <w:szCs w:val="20"/>
        </w:rPr>
        <w:t xml:space="preserve">The results demonstrated that for PE, the data fit the non-linearized Langmuir model better, indicating that adsorption occurred in monolayers and suggesting a homogeneous distribution of active sites on the adsorbent surface. </w:t>
      </w:r>
      <w:r w:rsidR="005047A4" w:rsidRPr="005047A4">
        <w:rPr>
          <w:sz w:val="20"/>
          <w:szCs w:val="20"/>
        </w:rPr>
        <w:t xml:space="preserve">For PET, the data fit </w:t>
      </w:r>
      <w:r w:rsidR="005047A4">
        <w:rPr>
          <w:sz w:val="20"/>
          <w:szCs w:val="20"/>
        </w:rPr>
        <w:t xml:space="preserve">the </w:t>
      </w:r>
      <w:r w:rsidR="005047A4" w:rsidRPr="000C1F4F">
        <w:rPr>
          <w:sz w:val="20"/>
          <w:szCs w:val="20"/>
        </w:rPr>
        <w:t xml:space="preserve">non-linearized </w:t>
      </w:r>
      <w:r w:rsidR="005047A4" w:rsidRPr="005047A4">
        <w:rPr>
          <w:sz w:val="20"/>
          <w:szCs w:val="20"/>
        </w:rPr>
        <w:t xml:space="preserve">Freundlich models, </w:t>
      </w:r>
      <w:r w:rsidR="009C2FBD" w:rsidRPr="009C2FBD">
        <w:rPr>
          <w:sz w:val="20"/>
          <w:szCs w:val="20"/>
        </w:rPr>
        <w:t xml:space="preserve">indicating the presence of physisorption and the formation of </w:t>
      </w:r>
      <w:proofErr w:type="gramStart"/>
      <w:r w:rsidR="009C2FBD" w:rsidRPr="009C2FBD">
        <w:rPr>
          <w:sz w:val="20"/>
          <w:szCs w:val="20"/>
        </w:rPr>
        <w:t>multilayers.</w:t>
      </w:r>
      <w:r w:rsidR="005047A4" w:rsidRPr="005047A4">
        <w:rPr>
          <w:sz w:val="20"/>
          <w:szCs w:val="20"/>
        </w:rPr>
        <w:t>.</w:t>
      </w:r>
      <w:proofErr w:type="gramEnd"/>
      <w:r w:rsidR="000C1F4F" w:rsidRPr="000C1F4F">
        <w:rPr>
          <w:sz w:val="20"/>
          <w:szCs w:val="20"/>
        </w:rPr>
        <w:t xml:space="preserve"> Additionally, a rapid adsorption capacity of Congo red dye by the material was observed in the initial minutes, followed by a decrease in the slope of the curve after 60 minutes, indicating the equilibrium time.</w:t>
      </w:r>
      <w:r w:rsidR="00367455" w:rsidRPr="00367455">
        <w:rPr>
          <w:sz w:val="20"/>
          <w:szCs w:val="20"/>
        </w:rPr>
        <w:t xml:space="preserve"> The dye removal rate by PE and PET in the form of microplastics was 4 and 10% at equilibrium time, respectively, indicating relatively low adsorption efficiency. Despite the rapid adsorption capacity, additional studies are needed to understand the underlying mechanisms of the interactions between the material and the dye.</w:t>
      </w:r>
    </w:p>
    <w:p w14:paraId="76DA5196" w14:textId="77777777" w:rsidR="006206A4" w:rsidRDefault="006206A4">
      <w:pPr>
        <w:pStyle w:val="BodyText"/>
        <w:spacing w:before="145"/>
        <w:ind w:left="0"/>
        <w:rPr>
          <w:sz w:val="20"/>
        </w:rPr>
      </w:pPr>
    </w:p>
    <w:p w14:paraId="3078CED2" w14:textId="671B579E" w:rsidR="006206A4" w:rsidRDefault="001E518D">
      <w:pPr>
        <w:ind w:left="132"/>
        <w:rPr>
          <w:sz w:val="20"/>
        </w:rPr>
      </w:pPr>
      <w:r>
        <w:rPr>
          <w:i/>
          <w:sz w:val="20"/>
        </w:rPr>
        <w:t>Keywords:</w:t>
      </w:r>
      <w:r w:rsidR="00367455" w:rsidRPr="00367455">
        <w:t xml:space="preserve"> </w:t>
      </w:r>
      <w:r w:rsidR="007217DE">
        <w:rPr>
          <w:i/>
          <w:sz w:val="20"/>
        </w:rPr>
        <w:t>Polymer</w:t>
      </w:r>
      <w:r>
        <w:rPr>
          <w:spacing w:val="-10"/>
          <w:sz w:val="20"/>
        </w:rPr>
        <w:t>;</w:t>
      </w:r>
      <w:r w:rsidR="00367455">
        <w:rPr>
          <w:spacing w:val="-10"/>
          <w:sz w:val="20"/>
        </w:rPr>
        <w:t xml:space="preserve"> </w:t>
      </w:r>
      <w:r w:rsidR="00367455" w:rsidRPr="007217DE">
        <w:rPr>
          <w:i/>
          <w:iCs/>
          <w:spacing w:val="-10"/>
          <w:sz w:val="20"/>
        </w:rPr>
        <w:t>Adsorption; Circular economy</w:t>
      </w:r>
      <w:r w:rsidR="006E07BA" w:rsidRPr="007217DE">
        <w:rPr>
          <w:i/>
          <w:iCs/>
          <w:spacing w:val="-10"/>
          <w:sz w:val="20"/>
        </w:rPr>
        <w:t xml:space="preserve">; dye removal; </w:t>
      </w:r>
      <w:r w:rsidR="007217DE" w:rsidRPr="007217DE">
        <w:rPr>
          <w:i/>
          <w:iCs/>
          <w:spacing w:val="-10"/>
          <w:sz w:val="20"/>
        </w:rPr>
        <w:t xml:space="preserve">Congo red </w:t>
      </w:r>
    </w:p>
    <w:p w14:paraId="25A31459" w14:textId="77777777" w:rsidR="006206A4" w:rsidRDefault="001E518D">
      <w:pPr>
        <w:pStyle w:val="BodyText"/>
        <w:ind w:left="0"/>
        <w:rPr>
          <w:sz w:val="15"/>
        </w:rPr>
      </w:pPr>
      <w:r>
        <w:rPr>
          <w:noProof/>
        </w:rPr>
        <mc:AlternateContent>
          <mc:Choice Requires="wps">
            <w:drawing>
              <wp:anchor distT="0" distB="0" distL="0" distR="0" simplePos="0" relativeHeight="487588352" behindDoc="1" locked="0" layoutInCell="1" allowOverlap="1" wp14:anchorId="6A4DC158" wp14:editId="43FF489A">
                <wp:simplePos x="0" y="0"/>
                <wp:positionH relativeFrom="page">
                  <wp:posOffset>701039</wp:posOffset>
                </wp:positionH>
                <wp:positionV relativeFrom="paragraph">
                  <wp:posOffset>125019</wp:posOffset>
                </wp:positionV>
                <wp:extent cx="615696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960" y="6095"/>
                              </a:moveTo>
                              <a:lnTo>
                                <a:pt x="0" y="6095"/>
                              </a:lnTo>
                              <a:lnTo>
                                <a:pt x="0" y="0"/>
                              </a:lnTo>
                              <a:lnTo>
                                <a:pt x="6156960" y="0"/>
                              </a:lnTo>
                              <a:lnTo>
                                <a:pt x="615696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59A66D0C" id="Graphic 4" o:spid="_x0000_s1026" style="position:absolute;margin-left:55.2pt;margin-top:9.85pt;width:484.8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PXMAIAAOQEAAAOAAAAZHJzL2Uyb0RvYy54bWysVMFu2zAMvQ/YPwi6L066JliNOMXQosWA&#10;oivQDDsrshwbk0WNUmLn70fJVupul6JYDjZlPtPv8ZFZX/etZkeFrgFT8MVszpkyEsrG7Av+Y3v3&#10;6QtnzgtTCg1GFfykHL/efPyw7myuLqAGXSpkVMS4vLMFr723eZY5WatWuBlYZShZAbbC0xH3WYmi&#10;o+qtzi7m81XWAZYWQSrn6OntkOSbWL+qlPTfq8opz3TBiZuPV4zXXbhmm7XI9yhs3ciRhngHi1Y0&#10;hj56LnUrvGAHbP4p1TYSwUHlZxLaDKqqkSpqIDWL+V9qnmthVdRCzXH23Cb3/8rKx+MTsqYs+CVn&#10;RrRk0f3YjcvQnM66nDDP9gmDPGcfQP5ylMheZcLBjZi+wjZgSRzrY6dP506r3jNJD1eL5epqRYZI&#10;yq0+L6MRmcjTu/Lg/L2CWEccH5wffCpTJOoUyd6kEMnt4LOOPnvOyGfkjHzeDT5b4cN7gVwIWTch&#10;Uo88QrKFo9pChPkg4cw2kJ1fLUM1IvsC02YKJ1mvgSmd7jZWHWBJecql+4CZfvntyAnHVE5qcGqg&#10;HaRH/ud2kJZpwx3oprxrtA4dcLjf3WhkRxE2KP5G+RNYHIbB/zAJOyhPNFUdDVLB3e+DQMWZ/mZo&#10;bsMOpgBTsEsBen0DcVNj89H5bf9ToGWWwoJ7Gp9HSFsh8jQZxD8ABmx408DXg4eqCWMTuQ2MxgOt&#10;UtQ/rn3Y1ek5ol7+nDZ/AAAA//8DAFBLAwQUAAYACAAAACEAsph+D98AAAAKAQAADwAAAGRycy9k&#10;b3ducmV2LnhtbEyPPU/DMBCGdyT+g3VIbNRuVNES4lSAxIBEhQgZGJ3YxBH2OY3dNP33XCe63at7&#10;9H4U29k7Npkx9gElLBcCmME26B47CfXX690GWEwKtXIBjYSTibAtr68KletwxE8zValjZIIxVxJs&#10;SkPOeWyt8SouwmCQfj9h9CqRHDuuR3Ukc+94JsQ996pHSrBqMC/WtL/VwUuYT83OPe/epvrjfc+r&#10;Wq/sPvuW8vZmfnoElsyc/mE416fqUFKnJhxQR+ZIL8WKUDoe1sDOgNgIWtdIyMQaeFnwywnlHwAA&#10;AP//AwBQSwECLQAUAAYACAAAACEAtoM4kv4AAADhAQAAEwAAAAAAAAAAAAAAAAAAAAAAW0NvbnRl&#10;bnRfVHlwZXNdLnhtbFBLAQItABQABgAIAAAAIQA4/SH/1gAAAJQBAAALAAAAAAAAAAAAAAAAAC8B&#10;AABfcmVscy8ucmVsc1BLAQItABQABgAIAAAAIQAiDyPXMAIAAOQEAAAOAAAAAAAAAAAAAAAAAC4C&#10;AABkcnMvZTJvRG9jLnhtbFBLAQItABQABgAIAAAAIQCymH4P3wAAAAoBAAAPAAAAAAAAAAAAAAAA&#10;AIoEAABkcnMvZG93bnJldi54bWxQSwUGAAAAAAQABADzAAAAlgUAAAAA&#10;" path="m6156960,6095l,6095,,,6156960,r,6095xe" fillcolor="black" stroked="f">
                <v:path arrowok="t"/>
                <w10:wrap type="topAndBottom" anchorx="page"/>
              </v:shape>
            </w:pict>
          </mc:Fallback>
        </mc:AlternateContent>
      </w:r>
    </w:p>
    <w:p w14:paraId="7C506DCC" w14:textId="77777777" w:rsidR="006206A4" w:rsidRDefault="006206A4">
      <w:pPr>
        <w:pStyle w:val="BodyText"/>
        <w:spacing w:before="116"/>
        <w:ind w:left="0"/>
        <w:rPr>
          <w:sz w:val="20"/>
        </w:rPr>
      </w:pPr>
    </w:p>
    <w:p w14:paraId="349138A6" w14:textId="77777777" w:rsidR="006206A4" w:rsidRDefault="006206A4">
      <w:pPr>
        <w:rPr>
          <w:sz w:val="20"/>
        </w:rPr>
        <w:sectPr w:rsidR="006206A4">
          <w:headerReference w:type="default" r:id="rId8"/>
          <w:type w:val="continuous"/>
          <w:pgSz w:w="11910" w:h="16840"/>
          <w:pgMar w:top="3000" w:right="980" w:bottom="280" w:left="1000" w:header="569" w:footer="0" w:gutter="0"/>
          <w:pgNumType w:start="1"/>
          <w:cols w:space="720"/>
        </w:sectPr>
      </w:pPr>
    </w:p>
    <w:p w14:paraId="423716CA" w14:textId="77777777" w:rsidR="006206A4" w:rsidRDefault="006206A4">
      <w:pPr>
        <w:pStyle w:val="BodyText"/>
        <w:spacing w:before="68"/>
        <w:ind w:left="0"/>
        <w:rPr>
          <w:sz w:val="24"/>
        </w:rPr>
      </w:pPr>
    </w:p>
    <w:p w14:paraId="56721F18" w14:textId="26702027" w:rsidR="006206A4" w:rsidRDefault="001E518D">
      <w:pPr>
        <w:pStyle w:val="Heading1"/>
      </w:pPr>
      <w:r>
        <w:t xml:space="preserve">1. </w:t>
      </w:r>
      <w:r w:rsidR="00EA24CF">
        <w:t>Introduction</w:t>
      </w:r>
    </w:p>
    <w:p w14:paraId="61C6ADF0" w14:textId="77777777" w:rsidR="00FD70A6" w:rsidRDefault="00FD70A6" w:rsidP="00FD70A6">
      <w:pPr>
        <w:pStyle w:val="BodyText"/>
        <w:spacing w:before="237" w:line="228" w:lineRule="auto"/>
        <w:ind w:right="145" w:firstLine="237"/>
        <w:jc w:val="both"/>
      </w:pPr>
      <w:r w:rsidRPr="00FD70A6">
        <w:t>Microplastics (MPs) are a generic term for a variety of unique chemical compounds with a size &lt; 5 mm, originating from different products with various polymers and morphologies (Sun et al., 2022). Previous studies have shown that different MPs are detected in aquatic environments and, due to their characteristics, can accumulate various toxins and chemical pollutants, serving as vehicles for long-distance transport. Additionally, MPs can alter microbial community structure, affect gene expression, and damage cells and tissues (Mierzejewski et al., 2023).</w:t>
      </w:r>
    </w:p>
    <w:p w14:paraId="2A3FD9E6" w14:textId="370E43EA" w:rsidR="00FD70A6" w:rsidRDefault="00FD70A6" w:rsidP="00FD70A6">
      <w:pPr>
        <w:pStyle w:val="BodyText"/>
        <w:spacing w:before="237" w:line="228" w:lineRule="auto"/>
        <w:ind w:right="145" w:firstLine="237"/>
        <w:jc w:val="both"/>
      </w:pPr>
      <w:r>
        <w:t xml:space="preserve">However, recent studies suggest that </w:t>
      </w:r>
      <w:r w:rsidR="00367455">
        <w:t>MPs</w:t>
      </w:r>
      <w:r>
        <w:t xml:space="preserve"> can also play a beneficial role by adsorbing pollutants such as persistent organic pollutants, pharmaceuticals and personal care products, and heavy metals due to their specific surface area, porosity, and surface chemistry. For example, MP adsorption has been explored as a potential strategy for wastewater treatment (Rodrigues et al., 2023).</w:t>
      </w:r>
    </w:p>
    <w:p w14:paraId="2467EAE5" w14:textId="6FD30223" w:rsidR="006206A4" w:rsidRDefault="00FD70A6" w:rsidP="00FD70A6">
      <w:pPr>
        <w:pStyle w:val="BodyText"/>
        <w:spacing w:before="237" w:line="228" w:lineRule="auto"/>
        <w:ind w:right="145" w:firstLine="237"/>
        <w:jc w:val="both"/>
      </w:pPr>
      <w:r>
        <w:t xml:space="preserve">In summary, the study of adsorption on microplastics such as polyethylene (PE) and polyethylene terephthalate (PET) is </w:t>
      </w:r>
      <w:r w:rsidR="007217DE">
        <w:t>essential</w:t>
      </w:r>
      <w:r>
        <w:t xml:space="preserve"> both for the valorization of these waste materials and for understanding the dynamics between these materials and other pollutants present in the environment. This study aims to evaluate the efficacy of PE and PET spheres in adsorbing Congo red dye, a common contaminant in synthetic textile wastewater, from synthetic wastewater. The focus is understanding the interaction between the dye (adsorbate) and microplastics (adsorbents).</w:t>
      </w:r>
    </w:p>
    <w:p w14:paraId="2483E2B5" w14:textId="007A9C69" w:rsidR="00EA24CF" w:rsidRPr="00EA24CF" w:rsidRDefault="00EA24CF" w:rsidP="00411F5B">
      <w:pPr>
        <w:pStyle w:val="Heading1"/>
        <w:spacing w:before="240"/>
      </w:pPr>
      <w:r>
        <w:t xml:space="preserve">2. </w:t>
      </w:r>
      <w:r w:rsidRPr="00EA24CF">
        <w:t>Methodology</w:t>
      </w:r>
    </w:p>
    <w:p w14:paraId="33EF455C" w14:textId="77777777" w:rsidR="00BC1873" w:rsidRPr="00BC1873" w:rsidRDefault="00BC1873" w:rsidP="00BC1873">
      <w:pPr>
        <w:pStyle w:val="BodyText"/>
        <w:spacing w:before="237" w:line="228" w:lineRule="auto"/>
        <w:ind w:right="145" w:firstLine="237"/>
        <w:jc w:val="both"/>
      </w:pPr>
      <w:r w:rsidRPr="00BC1873">
        <w:t>A standard synthetic solution containing an initial concentration of 100 mg L</w:t>
      </w:r>
      <w:r w:rsidRPr="00BC1873">
        <w:rPr>
          <w:vertAlign w:val="superscript"/>
        </w:rPr>
        <w:t>-1</w:t>
      </w:r>
      <w:r w:rsidRPr="00BC1873">
        <w:t xml:space="preserve"> of Congo red dye from </w:t>
      </w:r>
      <w:proofErr w:type="spellStart"/>
      <w:r w:rsidRPr="00BC1873">
        <w:t>Dinâmica</w:t>
      </w:r>
      <w:proofErr w:type="spellEnd"/>
      <w:r w:rsidRPr="00BC1873">
        <w:t>, Brazil, was employed. Successive dilutions were conducted for kinetics and adsorption equilibrium tests. The adsorbent material used was PE and PET microplastics in powder form, with a particle size of 0.05 mm.</w:t>
      </w:r>
    </w:p>
    <w:p w14:paraId="09831D65" w14:textId="7D449FCD" w:rsidR="00BC1873" w:rsidRPr="00BC1873" w:rsidRDefault="00BC1873" w:rsidP="00BC1873">
      <w:pPr>
        <w:pStyle w:val="BodyText"/>
        <w:spacing w:before="237" w:line="228" w:lineRule="auto"/>
        <w:ind w:right="145" w:firstLine="237"/>
        <w:jc w:val="both"/>
      </w:pPr>
      <w:r w:rsidRPr="00BC1873">
        <w:t>Batch adsorption experiments were conducted using 125 mL glass reactors. Synthetic textile effluent was combined with the adsorbent material at a dosage of 1 g L</w:t>
      </w:r>
      <w:r w:rsidRPr="00BC1873">
        <w:rPr>
          <w:vertAlign w:val="superscript"/>
        </w:rPr>
        <w:t>-1</w:t>
      </w:r>
      <w:r w:rsidRPr="00BC1873">
        <w:t xml:space="preserve"> in the reactors. Stirring was performed using a </w:t>
      </w:r>
      <w:proofErr w:type="spellStart"/>
      <w:r w:rsidRPr="00BC1873">
        <w:t>Novatecnica</w:t>
      </w:r>
      <w:proofErr w:type="spellEnd"/>
      <w:r w:rsidRPr="00BC1873">
        <w:t xml:space="preserve"> NT 145 magnetic </w:t>
      </w:r>
      <w:r w:rsidRPr="00BC1873">
        <w:t>stirrer at 195 rpm. Operational conditions included a pH of 7.0 and a temperature of 22 °C.</w:t>
      </w:r>
    </w:p>
    <w:p w14:paraId="50297010" w14:textId="09E4B50D" w:rsidR="00BC1873" w:rsidRDefault="00BC1873" w:rsidP="00BC1873">
      <w:pPr>
        <w:pStyle w:val="BodyText"/>
        <w:spacing w:before="237" w:line="228" w:lineRule="auto"/>
        <w:ind w:right="145" w:firstLine="237"/>
        <w:jc w:val="both"/>
      </w:pPr>
      <w:r w:rsidRPr="00BC1873">
        <w:t>In the adsorption equilibrium experiments, tests were conducted by varying the initial concentration of Congo red dye in volumes of 50 mL, with concentrations of 1, 5, 10, 25, and 50 mg L</w:t>
      </w:r>
      <w:r w:rsidRPr="00BC1873">
        <w:rPr>
          <w:vertAlign w:val="superscript"/>
        </w:rPr>
        <w:t>-1</w:t>
      </w:r>
      <w:r w:rsidRPr="00BC1873">
        <w:t xml:space="preserve">. These tests were carried out </w:t>
      </w:r>
      <w:r w:rsidR="007217DE">
        <w:t>for</w:t>
      </w:r>
      <w:r w:rsidRPr="00BC1873">
        <w:t xml:space="preserve"> 24 hours. After the experiments, the adsorption capacity of the material was calculated using Eq. </w:t>
      </w:r>
      <w:r w:rsidR="00F862EB">
        <w:t>(</w:t>
      </w:r>
      <w:r w:rsidRPr="00BC1873">
        <w:t>1</w:t>
      </w:r>
      <w:r w:rsidR="00F862EB">
        <w:t>)</w:t>
      </w:r>
      <w:r w:rsidRPr="00BC1873">
        <w:t xml:space="preserve">, and adsorption isotherms (q </w:t>
      </w:r>
      <w:r w:rsidRPr="007217DE">
        <w:rPr>
          <w:i/>
          <w:iCs/>
        </w:rPr>
        <w:t xml:space="preserve">versus </w:t>
      </w:r>
      <w:r w:rsidRPr="00BC1873">
        <w:t>Ce) were constructed.</w:t>
      </w:r>
    </w:p>
    <w:p w14:paraId="022A3E38" w14:textId="12B916EF" w:rsidR="00F272E0" w:rsidRPr="00F272E0" w:rsidRDefault="00F272E0" w:rsidP="00F272E0">
      <w:pPr>
        <w:spacing w:before="173"/>
        <w:ind w:right="38"/>
        <w:jc w:val="right"/>
      </w:pPr>
      <m:oMath>
        <m:r>
          <m:rPr>
            <m:sty m:val="p"/>
          </m:rPr>
          <w:rPr>
            <w:rFonts w:ascii="Cambria Math" w:hAnsi="Cambria Math"/>
            <w:sz w:val="23"/>
            <w:szCs w:val="23"/>
          </w:rPr>
          <m:t>q=</m:t>
        </m:r>
        <m:f>
          <m:fPr>
            <m:ctrlPr>
              <w:rPr>
                <w:rFonts w:ascii="Cambria Math" w:hAnsi="Cambria Math"/>
                <w:sz w:val="23"/>
                <w:szCs w:val="23"/>
              </w:rPr>
            </m:ctrlPr>
          </m:fPr>
          <m:num>
            <m:d>
              <m:dPr>
                <m:ctrlPr>
                  <w:rPr>
                    <w:rFonts w:ascii="Cambria Math" w:hAnsi="Cambria Math"/>
                    <w:sz w:val="23"/>
                    <w:szCs w:val="23"/>
                  </w:rPr>
                </m:ctrlPr>
              </m:dPr>
              <m:e>
                <m:r>
                  <w:rPr>
                    <w:rFonts w:ascii="Cambria Math" w:hAnsi="Cambria Math"/>
                    <w:sz w:val="23"/>
                    <w:szCs w:val="23"/>
                  </w:rPr>
                  <m:t>Co</m:t>
                </m:r>
                <m:r>
                  <m:rPr>
                    <m:sty m:val="p"/>
                  </m:rPr>
                  <w:rPr>
                    <w:rFonts w:ascii="Cambria Math" w:hAnsi="Cambria Math"/>
                    <w:sz w:val="23"/>
                    <w:szCs w:val="23"/>
                  </w:rPr>
                  <m:t>-</m:t>
                </m:r>
                <m:r>
                  <w:rPr>
                    <w:rFonts w:ascii="Cambria Math" w:hAnsi="Cambria Math"/>
                    <w:sz w:val="23"/>
                    <w:szCs w:val="23"/>
                  </w:rPr>
                  <m:t>Ce</m:t>
                </m:r>
              </m:e>
            </m:d>
            <m:r>
              <m:rPr>
                <m:sty m:val="p"/>
              </m:rPr>
              <w:rPr>
                <w:rFonts w:ascii="Cambria Math" w:hAnsi="Cambria Math"/>
                <w:sz w:val="23"/>
                <w:szCs w:val="23"/>
              </w:rPr>
              <m:t>*</m:t>
            </m:r>
            <m:r>
              <w:rPr>
                <w:rFonts w:ascii="Cambria Math" w:hAnsi="Cambria Math"/>
                <w:sz w:val="23"/>
                <w:szCs w:val="23"/>
              </w:rPr>
              <m:t>V</m:t>
            </m:r>
          </m:num>
          <m:den>
            <m:r>
              <w:rPr>
                <w:rFonts w:ascii="Cambria Math" w:hAnsi="Cambria Math"/>
                <w:sz w:val="23"/>
                <w:szCs w:val="23"/>
              </w:rPr>
              <m:t>m</m:t>
            </m:r>
          </m:den>
        </m:f>
      </m:oMath>
      <w:r w:rsidRPr="00F272E0">
        <w:t xml:space="preserve">  </w:t>
      </w:r>
      <w:r>
        <w:tab/>
      </w:r>
      <w:r>
        <w:tab/>
      </w:r>
      <w:r>
        <w:tab/>
      </w:r>
      <w:r w:rsidRPr="00F272E0">
        <w:t>(1)</w:t>
      </w:r>
    </w:p>
    <w:p w14:paraId="2B225C61" w14:textId="33D19C63" w:rsidR="00BC1873" w:rsidRDefault="00BC1873" w:rsidP="00A90731">
      <w:pPr>
        <w:pStyle w:val="BodyText"/>
        <w:spacing w:before="237" w:line="228" w:lineRule="auto"/>
        <w:ind w:right="145" w:firstLine="237"/>
        <w:jc w:val="both"/>
      </w:pPr>
      <w:r>
        <w:t xml:space="preserve">Where q represents the adsorption capacity in mg </w:t>
      </w:r>
      <w:r w:rsidR="00E425AE">
        <w:t>g</w:t>
      </w:r>
      <w:r w:rsidRPr="00A90731">
        <w:rPr>
          <w:vertAlign w:val="superscript"/>
        </w:rPr>
        <w:t>-1</w:t>
      </w:r>
      <w:r>
        <w:t>, Co and Ce are the initial and equilibrium concentrations of Congo red dye, respectively</w:t>
      </w:r>
      <w:r w:rsidR="00E425AE">
        <w:t>, in mg L</w:t>
      </w:r>
      <w:r w:rsidR="00E425AE">
        <w:rPr>
          <w:vertAlign w:val="superscript"/>
        </w:rPr>
        <w:t>-1</w:t>
      </w:r>
      <w:r>
        <w:t>; V is the effective volume in liters; m is the mass of the adsorbent used in grams.</w:t>
      </w:r>
    </w:p>
    <w:p w14:paraId="5E36AEEC" w14:textId="5A950D99" w:rsidR="00BC1873" w:rsidRPr="00F0072F" w:rsidRDefault="00BC1873" w:rsidP="00F0072F">
      <w:pPr>
        <w:pStyle w:val="BodyText"/>
        <w:spacing w:before="237" w:after="240" w:line="228" w:lineRule="auto"/>
        <w:ind w:right="145" w:firstLine="237"/>
        <w:jc w:val="both"/>
        <w:rPr>
          <w:spacing w:val="-4"/>
        </w:rPr>
      </w:pPr>
      <w:r>
        <w:t>Theoretical models of Langmuir and Freundlich, both linearized and non-linearized (as per Table 1), were applied. The Solver</w:t>
      </w:r>
      <w:r w:rsidRPr="007217DE">
        <w:rPr>
          <w:vertAlign w:val="superscript"/>
        </w:rPr>
        <w:t>®</w:t>
      </w:r>
      <w:r>
        <w:t xml:space="preserve"> tool adjusted the non-linear models by minimizing the sum of squared </w:t>
      </w:r>
      <w:r w:rsidRPr="00F0072F">
        <w:rPr>
          <w:spacing w:val="-4"/>
        </w:rPr>
        <w:t>errors (S</w:t>
      </w:r>
      <w:r w:rsidR="005036FF">
        <w:rPr>
          <w:spacing w:val="-4"/>
        </w:rPr>
        <w:t>S</w:t>
      </w:r>
      <w:r w:rsidRPr="00F0072F">
        <w:rPr>
          <w:spacing w:val="-4"/>
        </w:rPr>
        <w:t>E) (Eq. 02) to quantify the error.</w:t>
      </w:r>
    </w:p>
    <w:p w14:paraId="453E4F93" w14:textId="61669D04" w:rsidR="00F0072F" w:rsidRPr="00F0072F" w:rsidRDefault="00F0072F" w:rsidP="00F0072F">
      <w:pPr>
        <w:pStyle w:val="BodyText"/>
        <w:spacing w:line="228" w:lineRule="auto"/>
        <w:ind w:right="145" w:firstLine="237"/>
        <w:jc w:val="both"/>
        <w:rPr>
          <w:spacing w:val="-4"/>
        </w:rPr>
      </w:pPr>
      <w:r w:rsidRPr="00F0072F">
        <w:rPr>
          <w:spacing w:val="-4"/>
        </w:rPr>
        <w:t xml:space="preserve">Table </w:t>
      </w:r>
      <w:r w:rsidRPr="00F0072F">
        <w:rPr>
          <w:spacing w:val="-4"/>
        </w:rPr>
        <w:fldChar w:fldCharType="begin"/>
      </w:r>
      <w:r w:rsidRPr="00F0072F">
        <w:rPr>
          <w:spacing w:val="-4"/>
        </w:rPr>
        <w:instrText xml:space="preserve"> SEQ Table \* ARABIC </w:instrText>
      </w:r>
      <w:r w:rsidRPr="00F0072F">
        <w:rPr>
          <w:spacing w:val="-4"/>
        </w:rPr>
        <w:fldChar w:fldCharType="separate"/>
      </w:r>
      <w:r w:rsidRPr="00F0072F">
        <w:rPr>
          <w:spacing w:val="-4"/>
        </w:rPr>
        <w:t>1</w:t>
      </w:r>
      <w:r w:rsidRPr="00F0072F">
        <w:rPr>
          <w:spacing w:val="-4"/>
        </w:rPr>
        <w:fldChar w:fldCharType="end"/>
      </w:r>
      <w:r>
        <w:rPr>
          <w:spacing w:val="-4"/>
        </w:rPr>
        <w:t xml:space="preserve">. </w:t>
      </w:r>
      <w:r w:rsidRPr="00F0072F">
        <w:rPr>
          <w:spacing w:val="-4"/>
        </w:rPr>
        <w:t>Linear and Non-linear Theoretical Models of Adsorption Isotherms</w:t>
      </w:r>
    </w:p>
    <w:tbl>
      <w:tblPr>
        <w:tblStyle w:val="TableGrid"/>
        <w:tblW w:w="4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119"/>
      </w:tblGrid>
      <w:tr w:rsidR="00F272E0" w14:paraId="61E3AE7F" w14:textId="77777777" w:rsidTr="0017014D">
        <w:tc>
          <w:tcPr>
            <w:tcW w:w="4815" w:type="dxa"/>
            <w:gridSpan w:val="2"/>
            <w:tcBorders>
              <w:top w:val="single" w:sz="4" w:space="0" w:color="auto"/>
              <w:bottom w:val="single" w:sz="4" w:space="0" w:color="auto"/>
            </w:tcBorders>
            <w:vAlign w:val="center"/>
          </w:tcPr>
          <w:p w14:paraId="66FBB88C" w14:textId="77777777" w:rsidR="00F272E0" w:rsidRPr="00F05F30" w:rsidRDefault="00F272E0" w:rsidP="0017014D">
            <w:pPr>
              <w:jc w:val="center"/>
              <w:rPr>
                <w:sz w:val="20"/>
                <w:szCs w:val="20"/>
              </w:rPr>
            </w:pPr>
            <w:r w:rsidRPr="00F05F30">
              <w:rPr>
                <w:sz w:val="20"/>
                <w:szCs w:val="20"/>
              </w:rPr>
              <w:t>Langmuir</w:t>
            </w:r>
          </w:p>
        </w:tc>
      </w:tr>
      <w:tr w:rsidR="00F272E0" w14:paraId="293BF80A" w14:textId="77777777" w:rsidTr="0017014D">
        <w:tc>
          <w:tcPr>
            <w:tcW w:w="1696" w:type="dxa"/>
            <w:tcBorders>
              <w:top w:val="single" w:sz="4" w:space="0" w:color="auto"/>
              <w:bottom w:val="nil"/>
              <w:right w:val="single" w:sz="4" w:space="0" w:color="auto"/>
            </w:tcBorders>
            <w:vAlign w:val="center"/>
          </w:tcPr>
          <w:p w14:paraId="76AA1D98" w14:textId="77777777" w:rsidR="00F272E0" w:rsidRPr="00F05F30" w:rsidRDefault="00F272E0" w:rsidP="0017014D">
            <w:pPr>
              <w:jc w:val="center"/>
              <w:rPr>
                <w:sz w:val="20"/>
                <w:szCs w:val="20"/>
              </w:rPr>
            </w:pPr>
            <w:r w:rsidRPr="00F05F30">
              <w:rPr>
                <w:sz w:val="20"/>
                <w:szCs w:val="20"/>
              </w:rPr>
              <w:t>Linear</w:t>
            </w:r>
          </w:p>
        </w:tc>
        <w:tc>
          <w:tcPr>
            <w:tcW w:w="3119" w:type="dxa"/>
            <w:tcBorders>
              <w:top w:val="single" w:sz="4" w:space="0" w:color="auto"/>
              <w:left w:val="single" w:sz="4" w:space="0" w:color="auto"/>
            </w:tcBorders>
            <w:vAlign w:val="center"/>
          </w:tcPr>
          <w:p w14:paraId="773E39CA" w14:textId="77777777" w:rsidR="00F272E0" w:rsidRPr="00F05F30" w:rsidRDefault="00F272E0" w:rsidP="0017014D">
            <w:pPr>
              <w:jc w:val="center"/>
              <w:rPr>
                <w:sz w:val="20"/>
                <w:szCs w:val="20"/>
              </w:rPr>
            </w:pPr>
            <w:r w:rsidRPr="00F05F30">
              <w:rPr>
                <w:sz w:val="20"/>
                <w:szCs w:val="20"/>
              </w:rPr>
              <w:t>Não-Linear</w:t>
            </w:r>
          </w:p>
        </w:tc>
      </w:tr>
      <w:tr w:rsidR="00F272E0" w14:paraId="0FE41388" w14:textId="77777777" w:rsidTr="0017014D">
        <w:tc>
          <w:tcPr>
            <w:tcW w:w="1696" w:type="dxa"/>
            <w:tcBorders>
              <w:top w:val="nil"/>
              <w:bottom w:val="single" w:sz="4" w:space="0" w:color="auto"/>
              <w:right w:val="single" w:sz="4" w:space="0" w:color="auto"/>
            </w:tcBorders>
            <w:vAlign w:val="center"/>
          </w:tcPr>
          <w:p w14:paraId="7CA762A2" w14:textId="77777777" w:rsidR="00F272E0" w:rsidRPr="00F05F30" w:rsidRDefault="00F272E0" w:rsidP="0017014D">
            <w:pPr>
              <w:jc w:val="center"/>
              <w:rPr>
                <w:sz w:val="20"/>
                <w:szCs w:val="20"/>
              </w:rPr>
            </w:pPr>
            <m:oMathPara>
              <m:oMath>
                <m:r>
                  <m:rPr>
                    <m:sty m:val="p"/>
                  </m:rPr>
                  <w:rPr>
                    <w:rFonts w:ascii="Cambria Math" w:hAnsi="Cambria Math"/>
                    <w:sz w:val="20"/>
                    <w:szCs w:val="20"/>
                  </w:rPr>
                  <m:t>q=</m:t>
                </m:r>
                <m:f>
                  <m:fPr>
                    <m:ctrlPr>
                      <w:rPr>
                        <w:rFonts w:ascii="Cambria Math" w:hAnsi="Cambria Math"/>
                        <w:sz w:val="20"/>
                        <w:szCs w:val="20"/>
                      </w:rPr>
                    </m:ctrlPr>
                  </m:fPr>
                  <m:num>
                    <m:r>
                      <w:rPr>
                        <w:rFonts w:ascii="Cambria Math" w:hAnsi="Cambria Math"/>
                        <w:sz w:val="20"/>
                        <w:szCs w:val="20"/>
                      </w:rPr>
                      <m:t>b*qm*Ce</m:t>
                    </m:r>
                  </m:num>
                  <m:den>
                    <m:r>
                      <w:rPr>
                        <w:rFonts w:ascii="Cambria Math" w:hAnsi="Cambria Math"/>
                        <w:sz w:val="20"/>
                        <w:szCs w:val="20"/>
                      </w:rPr>
                      <m:t>1+bCe</m:t>
                    </m:r>
                  </m:den>
                </m:f>
              </m:oMath>
            </m:oMathPara>
          </w:p>
        </w:tc>
        <w:tc>
          <w:tcPr>
            <w:tcW w:w="3119" w:type="dxa"/>
            <w:tcBorders>
              <w:left w:val="single" w:sz="4" w:space="0" w:color="auto"/>
              <w:bottom w:val="single" w:sz="4" w:space="0" w:color="auto"/>
            </w:tcBorders>
            <w:vAlign w:val="center"/>
          </w:tcPr>
          <w:p w14:paraId="3C7FDA3C" w14:textId="77777777" w:rsidR="00F272E0" w:rsidRPr="00F05F30" w:rsidRDefault="00510CD1" w:rsidP="0017014D">
            <w:pPr>
              <w:jc w:val="center"/>
              <w:rPr>
                <w:rFonts w:eastAsiaTheme="minorEastAsia"/>
                <w:sz w:val="20"/>
                <w:szCs w:val="20"/>
              </w:rPr>
            </w:pPr>
            <m:oMathPara>
              <m:oMath>
                <m:f>
                  <m:fPr>
                    <m:ctrlPr>
                      <w:rPr>
                        <w:rFonts w:ascii="Cambria Math" w:hAnsi="Cambria Math"/>
                        <w:sz w:val="20"/>
                        <w:szCs w:val="20"/>
                      </w:rPr>
                    </m:ctrlPr>
                  </m:fPr>
                  <m:num>
                    <m:r>
                      <m:rPr>
                        <m:sty m:val="p"/>
                      </m:rPr>
                      <w:rPr>
                        <w:rFonts w:ascii="Cambria Math" w:hAnsi="Cambria Math"/>
                        <w:sz w:val="20"/>
                        <w:szCs w:val="20"/>
                      </w:rPr>
                      <m:t>1</m:t>
                    </m:r>
                  </m:num>
                  <m:den>
                    <m:r>
                      <w:rPr>
                        <w:rFonts w:ascii="Cambria Math" w:hAnsi="Cambria Math"/>
                        <w:sz w:val="20"/>
                        <w:szCs w:val="20"/>
                      </w:rPr>
                      <m:t>q</m:t>
                    </m:r>
                  </m:den>
                </m:f>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1</m:t>
                    </m:r>
                  </m:num>
                  <m:den>
                    <m:r>
                      <w:rPr>
                        <w:rFonts w:ascii="Cambria Math" w:hAnsi="Cambria Math"/>
                        <w:sz w:val="20"/>
                        <w:szCs w:val="20"/>
                      </w:rPr>
                      <m:t>qm</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bqmCe</m:t>
                    </m:r>
                  </m:den>
                </m:f>
              </m:oMath>
            </m:oMathPara>
          </w:p>
        </w:tc>
      </w:tr>
      <w:tr w:rsidR="00F272E0" w14:paraId="66E90E6B" w14:textId="77777777" w:rsidTr="0017014D">
        <w:tc>
          <w:tcPr>
            <w:tcW w:w="4815" w:type="dxa"/>
            <w:gridSpan w:val="2"/>
            <w:tcBorders>
              <w:top w:val="single" w:sz="4" w:space="0" w:color="auto"/>
              <w:bottom w:val="single" w:sz="4" w:space="0" w:color="auto"/>
            </w:tcBorders>
            <w:vAlign w:val="center"/>
          </w:tcPr>
          <w:p w14:paraId="3BCDF2D1" w14:textId="77777777" w:rsidR="00F272E0" w:rsidRDefault="00F272E0" w:rsidP="0017014D">
            <w:pPr>
              <w:jc w:val="center"/>
              <w:rPr>
                <w:rFonts w:eastAsia="Calibri"/>
                <w:sz w:val="20"/>
                <w:szCs w:val="20"/>
              </w:rPr>
            </w:pPr>
            <w:proofErr w:type="spellStart"/>
            <w:r w:rsidRPr="00F05F30">
              <w:rPr>
                <w:sz w:val="20"/>
                <w:szCs w:val="20"/>
              </w:rPr>
              <w:t>Freundlich</w:t>
            </w:r>
            <w:proofErr w:type="spellEnd"/>
          </w:p>
        </w:tc>
      </w:tr>
      <w:tr w:rsidR="00F272E0" w14:paraId="4F11148E" w14:textId="77777777" w:rsidTr="0017014D">
        <w:tc>
          <w:tcPr>
            <w:tcW w:w="1696" w:type="dxa"/>
            <w:tcBorders>
              <w:top w:val="single" w:sz="4" w:space="0" w:color="auto"/>
              <w:bottom w:val="nil"/>
              <w:right w:val="single" w:sz="4" w:space="0" w:color="auto"/>
            </w:tcBorders>
            <w:vAlign w:val="center"/>
          </w:tcPr>
          <w:p w14:paraId="15DB1E8D" w14:textId="77777777" w:rsidR="00F272E0" w:rsidRDefault="00F272E0" w:rsidP="0017014D">
            <w:pPr>
              <w:jc w:val="center"/>
              <w:rPr>
                <w:rFonts w:ascii="Calibri" w:eastAsia="Calibri" w:hAnsi="Calibri"/>
                <w:sz w:val="20"/>
                <w:szCs w:val="20"/>
              </w:rPr>
            </w:pPr>
            <w:r w:rsidRPr="00F05F30">
              <w:rPr>
                <w:sz w:val="20"/>
                <w:szCs w:val="20"/>
              </w:rPr>
              <w:t>Linear</w:t>
            </w:r>
          </w:p>
        </w:tc>
        <w:tc>
          <w:tcPr>
            <w:tcW w:w="3119" w:type="dxa"/>
            <w:tcBorders>
              <w:top w:val="single" w:sz="4" w:space="0" w:color="auto"/>
              <w:left w:val="single" w:sz="4" w:space="0" w:color="auto"/>
            </w:tcBorders>
            <w:vAlign w:val="center"/>
          </w:tcPr>
          <w:p w14:paraId="122FCE7C" w14:textId="77777777" w:rsidR="00F272E0" w:rsidRDefault="00F272E0" w:rsidP="0017014D">
            <w:pPr>
              <w:jc w:val="center"/>
              <w:rPr>
                <w:rFonts w:eastAsia="Calibri"/>
                <w:sz w:val="20"/>
                <w:szCs w:val="20"/>
              </w:rPr>
            </w:pPr>
            <w:r w:rsidRPr="00F05F30">
              <w:rPr>
                <w:sz w:val="20"/>
                <w:szCs w:val="20"/>
              </w:rPr>
              <w:t>Não-Linear</w:t>
            </w:r>
          </w:p>
        </w:tc>
      </w:tr>
      <w:tr w:rsidR="00F272E0" w14:paraId="7B27D93F" w14:textId="77777777" w:rsidTr="0017014D">
        <w:tc>
          <w:tcPr>
            <w:tcW w:w="1696" w:type="dxa"/>
            <w:tcBorders>
              <w:top w:val="nil"/>
              <w:bottom w:val="single" w:sz="4" w:space="0" w:color="auto"/>
              <w:right w:val="single" w:sz="4" w:space="0" w:color="auto"/>
            </w:tcBorders>
            <w:vAlign w:val="center"/>
          </w:tcPr>
          <w:p w14:paraId="5D4E7D8D" w14:textId="77777777" w:rsidR="00F272E0" w:rsidRDefault="00F272E0" w:rsidP="0017014D">
            <w:pPr>
              <w:jc w:val="center"/>
              <w:rPr>
                <w:rFonts w:ascii="Calibri" w:eastAsia="Calibri" w:hAnsi="Calibri"/>
                <w:sz w:val="20"/>
                <w:szCs w:val="20"/>
              </w:rPr>
            </w:pPr>
            <m:oMathPara>
              <m:oMath>
                <m:r>
                  <m:rPr>
                    <m:sty m:val="p"/>
                  </m:rPr>
                  <w:rPr>
                    <w:rFonts w:ascii="Cambria Math" w:hAnsi="Cambria Math"/>
                    <w:sz w:val="20"/>
                    <w:szCs w:val="20"/>
                  </w:rPr>
                  <m:t>q=K</m:t>
                </m:r>
                <m:sSup>
                  <m:sSupPr>
                    <m:ctrlPr>
                      <w:rPr>
                        <w:rFonts w:ascii="Cambria Math" w:hAnsi="Cambria Math"/>
                        <w:sz w:val="20"/>
                        <w:szCs w:val="20"/>
                      </w:rPr>
                    </m:ctrlPr>
                  </m:sSupPr>
                  <m:e>
                    <m:r>
                      <w:rPr>
                        <w:rFonts w:ascii="Cambria Math" w:hAnsi="Cambria Math"/>
                        <w:sz w:val="20"/>
                        <w:szCs w:val="20"/>
                      </w:rPr>
                      <m:t>Ce</m:t>
                    </m:r>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sup>
                </m:sSup>
              </m:oMath>
            </m:oMathPara>
          </w:p>
        </w:tc>
        <w:tc>
          <w:tcPr>
            <w:tcW w:w="3119" w:type="dxa"/>
            <w:tcBorders>
              <w:left w:val="single" w:sz="4" w:space="0" w:color="auto"/>
            </w:tcBorders>
            <w:vAlign w:val="center"/>
          </w:tcPr>
          <w:p w14:paraId="27336EA1" w14:textId="77777777" w:rsidR="00F272E0" w:rsidRDefault="00510CD1" w:rsidP="0017014D">
            <w:pPr>
              <w:jc w:val="center"/>
              <w:rPr>
                <w:rFonts w:eastAsia="Calibri"/>
                <w:sz w:val="20"/>
                <w:szCs w:val="20"/>
              </w:rPr>
            </w:pPr>
            <m:oMathPara>
              <m:oMath>
                <m:func>
                  <m:funcPr>
                    <m:ctrlPr>
                      <w:rPr>
                        <w:rFonts w:ascii="Cambria Math" w:hAnsi="Cambria Math"/>
                        <w:sz w:val="20"/>
                        <w:szCs w:val="20"/>
                      </w:rPr>
                    </m:ctrlPr>
                  </m:funcPr>
                  <m:fName>
                    <m:r>
                      <m:rPr>
                        <m:sty m:val="p"/>
                      </m:rPr>
                      <w:rPr>
                        <w:rFonts w:ascii="Cambria Math" w:hAnsi="Cambria Math"/>
                        <w:sz w:val="20"/>
                        <w:szCs w:val="20"/>
                      </w:rPr>
                      <m:t>log</m:t>
                    </m:r>
                  </m:fName>
                  <m:e>
                    <m:func>
                      <m:funcPr>
                        <m:ctrlPr>
                          <w:rPr>
                            <w:rFonts w:ascii="Cambria Math" w:hAnsi="Cambria Math"/>
                            <w:i/>
                            <w:sz w:val="20"/>
                            <w:szCs w:val="20"/>
                          </w:rPr>
                        </m:ctrlPr>
                      </m:funcPr>
                      <m:fName>
                        <m:r>
                          <m:rPr>
                            <m:sty m:val="p"/>
                          </m:rPr>
                          <w:rPr>
                            <w:rFonts w:ascii="Cambria Math" w:hAnsi="Cambria Math"/>
                            <w:sz w:val="20"/>
                            <w:szCs w:val="20"/>
                          </w:rPr>
                          <m:t>log</m:t>
                        </m:r>
                      </m:fName>
                      <m:e>
                        <m:r>
                          <w:rPr>
                            <w:rFonts w:ascii="Cambria Math" w:hAnsi="Cambria Math"/>
                            <w:sz w:val="20"/>
                            <w:szCs w:val="20"/>
                          </w:rPr>
                          <m:t>q</m:t>
                        </m:r>
                      </m:e>
                    </m:func>
                  </m:e>
                </m:func>
                <m:r>
                  <m:rPr>
                    <m:sty m:val="p"/>
                  </m:rP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log</m:t>
                    </m:r>
                  </m:fName>
                  <m:e>
                    <m:func>
                      <m:funcPr>
                        <m:ctrlPr>
                          <w:rPr>
                            <w:rFonts w:ascii="Cambria Math" w:hAnsi="Cambria Math"/>
                            <w:i/>
                            <w:sz w:val="20"/>
                            <w:szCs w:val="20"/>
                          </w:rPr>
                        </m:ctrlPr>
                      </m:funcPr>
                      <m:fName>
                        <m:r>
                          <m:rPr>
                            <m:sty m:val="p"/>
                          </m:rPr>
                          <w:rPr>
                            <w:rFonts w:ascii="Cambria Math" w:hAnsi="Cambria Math"/>
                            <w:sz w:val="20"/>
                            <w:szCs w:val="20"/>
                          </w:rPr>
                          <m:t>log</m:t>
                        </m:r>
                      </m:fName>
                      <m:e>
                        <m:r>
                          <w:rPr>
                            <w:rFonts w:ascii="Cambria Math" w:hAnsi="Cambria Math"/>
                            <w:sz w:val="20"/>
                            <w:szCs w:val="20"/>
                          </w:rPr>
                          <m:t>K</m:t>
                        </m:r>
                      </m:e>
                    </m:func>
                  </m:e>
                </m:func>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n</m:t>
                    </m:r>
                  </m:den>
                </m:f>
                <m:func>
                  <m:funcPr>
                    <m:ctrlPr>
                      <w:rPr>
                        <w:rFonts w:ascii="Cambria Math" w:hAnsi="Cambria Math"/>
                        <w:i/>
                        <w:sz w:val="20"/>
                        <w:szCs w:val="20"/>
                      </w:rPr>
                    </m:ctrlPr>
                  </m:funcPr>
                  <m:fName>
                    <m:r>
                      <m:rPr>
                        <m:sty m:val="p"/>
                      </m:rPr>
                      <w:rPr>
                        <w:rFonts w:ascii="Cambria Math" w:hAnsi="Cambria Math"/>
                        <w:sz w:val="20"/>
                        <w:szCs w:val="20"/>
                      </w:rPr>
                      <m:t>log</m:t>
                    </m:r>
                  </m:fName>
                  <m:e>
                    <m:func>
                      <m:funcPr>
                        <m:ctrlPr>
                          <w:rPr>
                            <w:rFonts w:ascii="Cambria Math" w:hAnsi="Cambria Math"/>
                            <w:i/>
                            <w:sz w:val="20"/>
                            <w:szCs w:val="20"/>
                          </w:rPr>
                        </m:ctrlPr>
                      </m:funcPr>
                      <m:fName>
                        <m:r>
                          <m:rPr>
                            <m:sty m:val="p"/>
                          </m:rPr>
                          <w:rPr>
                            <w:rFonts w:ascii="Cambria Math" w:hAnsi="Cambria Math"/>
                            <w:sz w:val="20"/>
                            <w:szCs w:val="20"/>
                          </w:rPr>
                          <m:t>log</m:t>
                        </m:r>
                      </m:fName>
                      <m:e>
                        <m:r>
                          <w:rPr>
                            <w:rFonts w:ascii="Cambria Math" w:hAnsi="Cambria Math"/>
                            <w:sz w:val="20"/>
                            <w:szCs w:val="20"/>
                          </w:rPr>
                          <m:t>Ce</m:t>
                        </m:r>
                      </m:e>
                    </m:func>
                  </m:e>
                </m:func>
              </m:oMath>
            </m:oMathPara>
          </w:p>
        </w:tc>
      </w:tr>
    </w:tbl>
    <w:p w14:paraId="68C78967" w14:textId="6B1792B8" w:rsidR="00A90731" w:rsidRDefault="00A90731" w:rsidP="00A90731">
      <w:pPr>
        <w:pStyle w:val="BodyText"/>
        <w:spacing w:before="237" w:line="228" w:lineRule="auto"/>
        <w:ind w:right="145" w:firstLine="237"/>
        <w:jc w:val="both"/>
      </w:pPr>
      <w:r w:rsidRPr="00A90731">
        <w:t>Where b is the Langmuir equilibrium constant (L mg</w:t>
      </w:r>
      <w:r w:rsidRPr="0045363F">
        <w:rPr>
          <w:vertAlign w:val="superscript"/>
        </w:rPr>
        <w:t>-1</w:t>
      </w:r>
      <w:r w:rsidRPr="00A90731">
        <w:t xml:space="preserve">); </w:t>
      </w:r>
      <w:proofErr w:type="spellStart"/>
      <w:r w:rsidRPr="00A90731">
        <w:t>qm</w:t>
      </w:r>
      <w:proofErr w:type="spellEnd"/>
      <w:r w:rsidRPr="00A90731">
        <w:t xml:space="preserve"> is the theoretical maximum capacity (mg g</w:t>
      </w:r>
      <w:r w:rsidRPr="0045363F">
        <w:rPr>
          <w:vertAlign w:val="superscript"/>
        </w:rPr>
        <w:t>-1</w:t>
      </w:r>
      <w:r w:rsidRPr="00A90731">
        <w:t xml:space="preserve">); K </w:t>
      </w:r>
      <w:r w:rsidR="00E425AE" w:rsidRPr="00A90731">
        <w:t>(L mg</w:t>
      </w:r>
      <w:r w:rsidR="00E425AE" w:rsidRPr="0045363F">
        <w:rPr>
          <w:vertAlign w:val="superscript"/>
        </w:rPr>
        <w:t>-1</w:t>
      </w:r>
      <w:r w:rsidR="00E425AE" w:rsidRPr="00A90731">
        <w:t>)</w:t>
      </w:r>
      <w:r w:rsidR="00940AD6">
        <w:t xml:space="preserve"> </w:t>
      </w:r>
      <w:r w:rsidRPr="00A90731">
        <w:t>and 1/n are parameters of the Freundlich model.</w:t>
      </w:r>
    </w:p>
    <w:p w14:paraId="6A548D93" w14:textId="230743C1" w:rsidR="00F272E0" w:rsidRPr="00F272E0" w:rsidRDefault="00F272E0" w:rsidP="00F272E0">
      <w:pPr>
        <w:pStyle w:val="BodyText"/>
        <w:spacing w:before="237" w:line="228" w:lineRule="auto"/>
        <w:ind w:right="145" w:firstLine="237"/>
        <w:jc w:val="right"/>
        <w:rPr>
          <w:sz w:val="23"/>
          <w:szCs w:val="23"/>
        </w:rPr>
      </w:pPr>
      <m:oMath>
        <m:r>
          <w:rPr>
            <w:rFonts w:ascii="Cambria Math" w:hAnsi="Cambria Math"/>
            <w:sz w:val="23"/>
            <w:szCs w:val="23"/>
          </w:rPr>
          <m:t>SSE</m:t>
        </m:r>
        <m:r>
          <w:rPr>
            <w:rFonts w:ascii="Cambria Math" w:eastAsia="Cambria Math" w:hAnsi="Cambria Math" w:cs="Cambria Math"/>
            <w:sz w:val="23"/>
            <w:szCs w:val="23"/>
          </w:rPr>
          <m:t>=</m:t>
        </m:r>
        <m:nary>
          <m:naryPr>
            <m:chr m:val="∑"/>
            <m:grow m:val="1"/>
            <m:ctrlPr>
              <w:rPr>
                <w:rFonts w:ascii="Cambria Math" w:hAnsi="Cambria Math"/>
                <w:sz w:val="23"/>
                <w:szCs w:val="23"/>
              </w:rPr>
            </m:ctrlPr>
          </m:naryPr>
          <m:sub>
            <m:r>
              <w:rPr>
                <w:rFonts w:ascii="Cambria Math" w:eastAsia="Cambria Math" w:hAnsi="Cambria Math" w:cs="Cambria Math"/>
                <w:sz w:val="23"/>
                <w:szCs w:val="23"/>
              </w:rPr>
              <m:t>i=1</m:t>
            </m:r>
          </m:sub>
          <m:sup>
            <m:r>
              <w:rPr>
                <w:rFonts w:ascii="Cambria Math" w:eastAsia="Cambria Math" w:hAnsi="Cambria Math" w:cs="Cambria Math"/>
                <w:sz w:val="23"/>
                <w:szCs w:val="23"/>
              </w:rPr>
              <m:t>p</m:t>
            </m:r>
          </m:sup>
          <m:e>
            <m:sSubSup>
              <m:sSubSupPr>
                <m:ctrlPr>
                  <w:rPr>
                    <w:rFonts w:ascii="Cambria Math" w:hAnsi="Cambria Math"/>
                    <w:i/>
                    <w:sz w:val="23"/>
                    <w:szCs w:val="23"/>
                  </w:rPr>
                </m:ctrlPr>
              </m:sSubSupPr>
              <m:e>
                <m:d>
                  <m:dPr>
                    <m:ctrlPr>
                      <w:rPr>
                        <w:rFonts w:ascii="Cambria Math" w:hAnsi="Cambria Math"/>
                        <w:i/>
                        <w:sz w:val="23"/>
                        <w:szCs w:val="23"/>
                      </w:rPr>
                    </m:ctrlPr>
                  </m:dPr>
                  <m:e>
                    <m:r>
                      <w:rPr>
                        <w:rFonts w:ascii="Cambria Math" w:hAnsi="Cambria Math"/>
                        <w:sz w:val="23"/>
                        <w:szCs w:val="23"/>
                      </w:rPr>
                      <m:t>Qe-Qt</m:t>
                    </m:r>
                  </m:e>
                </m:d>
              </m:e>
              <m:sub>
                <m:r>
                  <w:rPr>
                    <w:rFonts w:ascii="Cambria Math" w:hAnsi="Cambria Math"/>
                    <w:sz w:val="23"/>
                    <w:szCs w:val="23"/>
                  </w:rPr>
                  <m:t>i</m:t>
                </m:r>
              </m:sub>
              <m:sup>
                <m:r>
                  <w:rPr>
                    <w:rFonts w:ascii="Cambria Math" w:hAnsi="Cambria Math"/>
                    <w:sz w:val="23"/>
                    <w:szCs w:val="23"/>
                  </w:rPr>
                  <m:t>2</m:t>
                </m:r>
              </m:sup>
            </m:sSubSup>
          </m:e>
        </m:nary>
      </m:oMath>
      <w:r>
        <w:rPr>
          <w:sz w:val="23"/>
          <w:szCs w:val="23"/>
        </w:rPr>
        <w:t xml:space="preserve"> </w:t>
      </w:r>
      <w:r>
        <w:rPr>
          <w:sz w:val="23"/>
          <w:szCs w:val="23"/>
        </w:rPr>
        <w:tab/>
      </w:r>
      <w:r>
        <w:rPr>
          <w:sz w:val="23"/>
          <w:szCs w:val="23"/>
        </w:rPr>
        <w:tab/>
        <w:t>(2)</w:t>
      </w:r>
    </w:p>
    <w:p w14:paraId="201F9CAE" w14:textId="77777777" w:rsidR="00A90731" w:rsidRPr="00A90731" w:rsidRDefault="00A90731" w:rsidP="00A90731">
      <w:pPr>
        <w:pStyle w:val="BodyText"/>
        <w:spacing w:before="237" w:line="228" w:lineRule="auto"/>
        <w:ind w:right="145" w:firstLine="237"/>
        <w:jc w:val="both"/>
      </w:pPr>
      <w:r w:rsidRPr="00A90731">
        <w:t xml:space="preserve">Where </w:t>
      </w:r>
      <w:proofErr w:type="spellStart"/>
      <w:r w:rsidRPr="00A90731">
        <w:t>Qe</w:t>
      </w:r>
      <w:proofErr w:type="spellEnd"/>
      <w:r w:rsidRPr="00A90731">
        <w:t xml:space="preserve"> and Qt are the experimental and theoretical adsorption capacities, respectively.</w:t>
      </w:r>
    </w:p>
    <w:p w14:paraId="77CA8591" w14:textId="35F5BDCE" w:rsidR="00A90731" w:rsidRDefault="00A90731" w:rsidP="00A90731">
      <w:pPr>
        <w:pStyle w:val="BodyText"/>
        <w:spacing w:before="237" w:line="228" w:lineRule="auto"/>
        <w:ind w:right="145" w:firstLine="237"/>
        <w:jc w:val="both"/>
      </w:pPr>
      <w:r w:rsidRPr="00A90731">
        <w:t>In the adsorption kinetics experiments, tests were conducted varying the time from 0 to 1440 minutes under the same conditions mentioned earlier. To calculate the surface diffusion coefficient (Ds), the solid homogeneous diffusion equation (Eq</w:t>
      </w:r>
      <w:r w:rsidR="00F272E0">
        <w:t>.</w:t>
      </w:r>
      <w:r w:rsidRPr="00A90731">
        <w:t xml:space="preserve"> 03) was applied and solved using the numerical method of separation of variables. This method considered only the initial times of the kinetics (small times) </w:t>
      </w:r>
      <w:r w:rsidRPr="00A90731">
        <w:lastRenderedPageBreak/>
        <w:t>(q∞&lt;0.3) and assumed zero external resistance, allowing the equation to be rewritten as Eq</w:t>
      </w:r>
      <w:r w:rsidR="00F272E0">
        <w:t>.</w:t>
      </w:r>
      <w:r w:rsidRPr="00A90731">
        <w:t xml:space="preserve"> 04.</w:t>
      </w:r>
    </w:p>
    <w:p w14:paraId="6882C2DF" w14:textId="23B6934D" w:rsidR="00F272E0" w:rsidRPr="00F272E0" w:rsidRDefault="00510CD1" w:rsidP="00F272E0">
      <w:pPr>
        <w:pStyle w:val="BodyText"/>
        <w:spacing w:before="237" w:line="228" w:lineRule="auto"/>
        <w:ind w:right="145" w:firstLine="237"/>
        <w:jc w:val="right"/>
        <w:rPr>
          <w:sz w:val="23"/>
          <w:szCs w:val="23"/>
        </w:rPr>
      </w:pPr>
      <m:oMath>
        <m:f>
          <m:fPr>
            <m:ctrlPr>
              <w:rPr>
                <w:rFonts w:ascii="Cambria Math" w:hAnsi="Cambria Math"/>
                <w:i/>
                <w:sz w:val="23"/>
                <w:szCs w:val="23"/>
              </w:rPr>
            </m:ctrlPr>
          </m:fPr>
          <m:num>
            <m:r>
              <w:rPr>
                <w:rFonts w:ascii="Cambria Math" w:hAnsi="Cambria Math"/>
                <w:sz w:val="23"/>
                <w:szCs w:val="23"/>
              </w:rPr>
              <m:t>dq</m:t>
            </m:r>
          </m:num>
          <m:den>
            <m:r>
              <w:rPr>
                <w:rFonts w:ascii="Cambria Math" w:hAnsi="Cambria Math"/>
                <w:sz w:val="23"/>
                <w:szCs w:val="23"/>
              </w:rPr>
              <m:t>dt</m:t>
            </m:r>
          </m:den>
        </m:f>
        <m:r>
          <w:rPr>
            <w:rFonts w:ascii="Cambria Math" w:hAnsi="Cambria Math"/>
            <w:sz w:val="23"/>
            <w:szCs w:val="23"/>
          </w:rPr>
          <m:t>=</m:t>
        </m:r>
        <m:f>
          <m:fPr>
            <m:ctrlPr>
              <w:rPr>
                <w:rFonts w:ascii="Cambria Math" w:hAnsi="Cambria Math"/>
                <w:sz w:val="23"/>
                <w:szCs w:val="23"/>
              </w:rPr>
            </m:ctrlPr>
          </m:fPr>
          <m:num>
            <m:r>
              <w:rPr>
                <w:rFonts w:ascii="Cambria Math" w:hAnsi="Cambria Math"/>
                <w:sz w:val="23"/>
                <w:szCs w:val="23"/>
              </w:rPr>
              <m:t>Ds</m:t>
            </m:r>
          </m:num>
          <m:den>
            <m:sSup>
              <m:sSupPr>
                <m:ctrlPr>
                  <w:rPr>
                    <w:rFonts w:ascii="Cambria Math" w:hAnsi="Cambria Math"/>
                    <w:i/>
                    <w:sz w:val="23"/>
                    <w:szCs w:val="23"/>
                  </w:rPr>
                </m:ctrlPr>
              </m:sSupPr>
              <m:e>
                <m:r>
                  <w:rPr>
                    <w:rFonts w:ascii="Cambria Math" w:hAnsi="Cambria Math"/>
                    <w:sz w:val="23"/>
                    <w:szCs w:val="23"/>
                  </w:rPr>
                  <m:t>r</m:t>
                </m:r>
              </m:e>
              <m:sup>
                <m:r>
                  <w:rPr>
                    <w:rFonts w:ascii="Cambria Math" w:hAnsi="Cambria Math"/>
                    <w:sz w:val="23"/>
                    <w:szCs w:val="23"/>
                  </w:rPr>
                  <m:t>2</m:t>
                </m:r>
              </m:sup>
            </m:sSup>
          </m:den>
        </m:f>
        <m:f>
          <m:fPr>
            <m:ctrlPr>
              <w:rPr>
                <w:rFonts w:ascii="Cambria Math" w:hAnsi="Cambria Math"/>
                <w:sz w:val="23"/>
                <w:szCs w:val="23"/>
              </w:rPr>
            </m:ctrlPr>
          </m:fPr>
          <m:num>
            <m:r>
              <w:rPr>
                <w:rFonts w:ascii="Cambria Math" w:hAnsi="Cambria Math"/>
                <w:sz w:val="23"/>
                <w:szCs w:val="23"/>
              </w:rPr>
              <m:t>d</m:t>
            </m:r>
          </m:num>
          <m:den>
            <m:r>
              <w:rPr>
                <w:rFonts w:ascii="Cambria Math" w:hAnsi="Cambria Math"/>
                <w:sz w:val="23"/>
                <w:szCs w:val="23"/>
              </w:rPr>
              <m:t>dr</m:t>
            </m:r>
          </m:den>
        </m:f>
        <m:d>
          <m:dPr>
            <m:ctrlPr>
              <w:rPr>
                <w:rFonts w:ascii="Cambria Math" w:hAnsi="Cambria Math"/>
                <w:i/>
                <w:sz w:val="23"/>
                <w:szCs w:val="23"/>
              </w:rPr>
            </m:ctrlPr>
          </m:dPr>
          <m:e>
            <m:sSup>
              <m:sSupPr>
                <m:ctrlPr>
                  <w:rPr>
                    <w:rFonts w:ascii="Cambria Math" w:hAnsi="Cambria Math"/>
                    <w:i/>
                    <w:sz w:val="23"/>
                    <w:szCs w:val="23"/>
                  </w:rPr>
                </m:ctrlPr>
              </m:sSupPr>
              <m:e>
                <m:r>
                  <w:rPr>
                    <w:rFonts w:ascii="Cambria Math" w:hAnsi="Cambria Math"/>
                    <w:sz w:val="23"/>
                    <w:szCs w:val="23"/>
                  </w:rPr>
                  <m:t>r</m:t>
                </m:r>
              </m:e>
              <m:sup>
                <m:r>
                  <w:rPr>
                    <w:rFonts w:ascii="Cambria Math" w:hAnsi="Cambria Math"/>
                    <w:sz w:val="23"/>
                    <w:szCs w:val="23"/>
                  </w:rPr>
                  <m:t>2</m:t>
                </m:r>
              </m:sup>
            </m:sSup>
            <m:f>
              <m:fPr>
                <m:ctrlPr>
                  <w:rPr>
                    <w:rFonts w:ascii="Cambria Math" w:hAnsi="Cambria Math"/>
                    <w:i/>
                    <w:sz w:val="23"/>
                    <w:szCs w:val="23"/>
                  </w:rPr>
                </m:ctrlPr>
              </m:fPr>
              <m:num>
                <m:r>
                  <w:rPr>
                    <w:rFonts w:ascii="Cambria Math" w:hAnsi="Cambria Math"/>
                    <w:sz w:val="23"/>
                    <w:szCs w:val="23"/>
                  </w:rPr>
                  <m:t>dq</m:t>
                </m:r>
              </m:num>
              <m:den>
                <m:r>
                  <w:rPr>
                    <w:rFonts w:ascii="Cambria Math" w:hAnsi="Cambria Math"/>
                    <w:sz w:val="23"/>
                    <w:szCs w:val="23"/>
                  </w:rPr>
                  <m:t>dr</m:t>
                </m:r>
              </m:den>
            </m:f>
          </m:e>
        </m:d>
      </m:oMath>
      <w:r w:rsidR="00F272E0" w:rsidRPr="00F272E0">
        <w:rPr>
          <w:sz w:val="23"/>
          <w:szCs w:val="23"/>
        </w:rPr>
        <w:t xml:space="preserve"> </w:t>
      </w:r>
      <w:r w:rsidR="00F272E0">
        <w:rPr>
          <w:sz w:val="23"/>
          <w:szCs w:val="23"/>
        </w:rPr>
        <w:tab/>
      </w:r>
      <w:r w:rsidR="00F272E0">
        <w:rPr>
          <w:sz w:val="23"/>
          <w:szCs w:val="23"/>
        </w:rPr>
        <w:tab/>
      </w:r>
      <w:r w:rsidR="00F272E0" w:rsidRPr="00F272E0">
        <w:rPr>
          <w:sz w:val="23"/>
          <w:szCs w:val="23"/>
        </w:rPr>
        <w:t>(3)</w:t>
      </w:r>
    </w:p>
    <w:p w14:paraId="28440FD4" w14:textId="0E9858EB" w:rsidR="00F272E0" w:rsidRPr="00F272E0" w:rsidRDefault="00510CD1" w:rsidP="00F272E0">
      <w:pPr>
        <w:pStyle w:val="BodyText"/>
        <w:spacing w:before="237" w:line="228" w:lineRule="auto"/>
        <w:ind w:right="145" w:firstLine="237"/>
        <w:jc w:val="right"/>
        <w:rPr>
          <w:sz w:val="23"/>
          <w:szCs w:val="23"/>
        </w:rPr>
      </w:pPr>
      <m:oMath>
        <m:f>
          <m:fPr>
            <m:ctrlPr>
              <w:rPr>
                <w:rFonts w:ascii="Cambria Math" w:hAnsi="Cambria Math"/>
                <w:i/>
                <w:sz w:val="23"/>
                <w:szCs w:val="23"/>
              </w:rPr>
            </m:ctrlPr>
          </m:fPr>
          <m:num>
            <m:r>
              <w:rPr>
                <w:rFonts w:ascii="Cambria Math" w:hAnsi="Cambria Math"/>
                <w:sz w:val="23"/>
                <w:szCs w:val="23"/>
              </w:rPr>
              <m:t>q</m:t>
            </m:r>
          </m:num>
          <m:den>
            <m:r>
              <w:rPr>
                <w:rFonts w:ascii="Cambria Math" w:hAnsi="Cambria Math"/>
                <w:sz w:val="23"/>
                <w:szCs w:val="23"/>
              </w:rPr>
              <m:t>q</m:t>
            </m:r>
            <m:r>
              <w:rPr>
                <w:rFonts w:ascii="Cambria Math" w:hAnsi="Cambria Math"/>
                <w:sz w:val="23"/>
                <w:szCs w:val="23"/>
              </w:rPr>
              <m:t>∞</m:t>
            </m:r>
          </m:den>
        </m:f>
        <m:r>
          <w:rPr>
            <w:rFonts w:ascii="Cambria Math" w:hAnsi="Cambria Math"/>
            <w:sz w:val="23"/>
            <w:szCs w:val="23"/>
          </w:rPr>
          <m:t>=</m:t>
        </m:r>
        <m:r>
          <m:rPr>
            <m:sty m:val="p"/>
          </m:rPr>
          <w:rPr>
            <w:rFonts w:ascii="Cambria Math" w:hAnsi="Cambria Math"/>
            <w:sz w:val="23"/>
            <w:szCs w:val="23"/>
          </w:rPr>
          <m:t>6</m:t>
        </m:r>
        <m:sSup>
          <m:sSupPr>
            <m:ctrlPr>
              <w:rPr>
                <w:rFonts w:ascii="Cambria Math" w:hAnsi="Cambria Math"/>
                <w:sz w:val="23"/>
                <w:szCs w:val="23"/>
              </w:rPr>
            </m:ctrlPr>
          </m:sSupPr>
          <m:e>
            <m:d>
              <m:dPr>
                <m:ctrlPr>
                  <w:rPr>
                    <w:rFonts w:ascii="Cambria Math" w:hAnsi="Cambria Math"/>
                    <w:sz w:val="23"/>
                    <w:szCs w:val="23"/>
                  </w:rPr>
                </m:ctrlPr>
              </m:dPr>
              <m:e>
                <m:f>
                  <m:fPr>
                    <m:ctrlPr>
                      <w:rPr>
                        <w:rFonts w:ascii="Cambria Math" w:hAnsi="Cambria Math"/>
                        <w:sz w:val="23"/>
                        <w:szCs w:val="23"/>
                      </w:rPr>
                    </m:ctrlPr>
                  </m:fPr>
                  <m:num>
                    <m:r>
                      <m:rPr>
                        <m:sty m:val="p"/>
                      </m:rPr>
                      <w:rPr>
                        <w:rFonts w:ascii="Cambria Math" w:hAnsi="Cambria Math"/>
                        <w:sz w:val="23"/>
                        <w:szCs w:val="23"/>
                      </w:rPr>
                      <m:t>Ds t</m:t>
                    </m:r>
                  </m:num>
                  <m:den>
                    <m:sSup>
                      <m:sSupPr>
                        <m:ctrlPr>
                          <w:rPr>
                            <w:rFonts w:ascii="Cambria Math" w:hAnsi="Cambria Math"/>
                            <w:i/>
                            <w:sz w:val="23"/>
                            <w:szCs w:val="23"/>
                          </w:rPr>
                        </m:ctrlPr>
                      </m:sSupPr>
                      <m:e>
                        <m:r>
                          <w:rPr>
                            <w:rFonts w:ascii="Cambria Math" w:hAnsi="Cambria Math"/>
                            <w:sz w:val="23"/>
                            <w:szCs w:val="23"/>
                          </w:rPr>
                          <m:t>r</m:t>
                        </m:r>
                      </m:e>
                      <m:sup>
                        <m:r>
                          <w:rPr>
                            <w:rFonts w:ascii="Cambria Math" w:hAnsi="Cambria Math"/>
                            <w:sz w:val="23"/>
                            <w:szCs w:val="23"/>
                          </w:rPr>
                          <m:t>2</m:t>
                        </m:r>
                      </m:sup>
                    </m:sSup>
                  </m:den>
                </m:f>
              </m:e>
            </m:d>
          </m:e>
          <m:sup>
            <m:f>
              <m:fPr>
                <m:ctrlPr>
                  <w:rPr>
                    <w:rFonts w:ascii="Cambria Math" w:hAnsi="Cambria Math"/>
                    <w:i/>
                    <w:sz w:val="23"/>
                    <w:szCs w:val="23"/>
                  </w:rPr>
                </m:ctrlPr>
              </m:fPr>
              <m:num>
                <m:r>
                  <w:rPr>
                    <w:rFonts w:ascii="Cambria Math" w:hAnsi="Cambria Math"/>
                    <w:sz w:val="23"/>
                    <w:szCs w:val="23"/>
                  </w:rPr>
                  <m:t>1</m:t>
                </m:r>
              </m:num>
              <m:den>
                <m:r>
                  <w:rPr>
                    <w:rFonts w:ascii="Cambria Math" w:hAnsi="Cambria Math"/>
                    <w:sz w:val="23"/>
                    <w:szCs w:val="23"/>
                  </w:rPr>
                  <m:t>2</m:t>
                </m:r>
              </m:den>
            </m:f>
          </m:sup>
        </m:sSup>
        <m:r>
          <w:rPr>
            <w:rFonts w:ascii="Cambria Math" w:hAnsi="Cambria Math"/>
            <w:sz w:val="23"/>
            <w:szCs w:val="23"/>
          </w:rPr>
          <m:t xml:space="preserve"> [</m:t>
        </m:r>
        <m:sSup>
          <m:sSupPr>
            <m:ctrlPr>
              <w:rPr>
                <w:rFonts w:ascii="Cambria Math" w:hAnsi="Cambria Math"/>
                <w:i/>
                <w:sz w:val="23"/>
                <w:szCs w:val="23"/>
              </w:rPr>
            </m:ctrlPr>
          </m:sSupPr>
          <m:e>
            <m:r>
              <w:rPr>
                <w:rFonts w:ascii="Cambria Math" w:hAnsi="Cambria Math"/>
                <w:sz w:val="23"/>
                <w:szCs w:val="23"/>
              </w:rPr>
              <m:t>π</m:t>
            </m:r>
          </m:e>
          <m:sup>
            <m:f>
              <m:fPr>
                <m:ctrlPr>
                  <w:rPr>
                    <w:rFonts w:ascii="Cambria Math" w:hAnsi="Cambria Math"/>
                    <w:i/>
                    <w:sz w:val="23"/>
                    <w:szCs w:val="23"/>
                  </w:rPr>
                </m:ctrlPr>
              </m:fPr>
              <m:num>
                <m:r>
                  <w:rPr>
                    <w:rFonts w:ascii="Cambria Math" w:hAnsi="Cambria Math"/>
                    <w:sz w:val="23"/>
                    <w:szCs w:val="23"/>
                  </w:rPr>
                  <m:t>-1</m:t>
                </m:r>
              </m:num>
              <m:den>
                <m:r>
                  <w:rPr>
                    <w:rFonts w:ascii="Cambria Math" w:hAnsi="Cambria Math"/>
                    <w:sz w:val="23"/>
                    <w:szCs w:val="23"/>
                  </w:rPr>
                  <m:t>2</m:t>
                </m:r>
              </m:den>
            </m:f>
          </m:sup>
        </m:sSup>
        <m:r>
          <w:rPr>
            <w:rFonts w:ascii="Cambria Math" w:hAnsi="Cambria Math"/>
            <w:sz w:val="23"/>
            <w:szCs w:val="23"/>
          </w:rPr>
          <m:t>+</m:t>
        </m:r>
        <m:r>
          <w:rPr>
            <w:rFonts w:ascii="Cambria Math" w:hAnsi="Cambria Math"/>
            <w:sz w:val="23"/>
            <w:szCs w:val="23"/>
          </w:rPr>
          <m:t>L</m:t>
        </m:r>
        <m:r>
          <w:rPr>
            <w:rFonts w:ascii="Cambria Math" w:hAnsi="Cambria Math"/>
            <w:sz w:val="23"/>
            <w:szCs w:val="23"/>
          </w:rPr>
          <m:t>]</m:t>
        </m:r>
      </m:oMath>
      <w:r w:rsidR="00F272E0" w:rsidRPr="00F272E0">
        <w:rPr>
          <w:sz w:val="23"/>
          <w:szCs w:val="23"/>
        </w:rPr>
        <w:t xml:space="preserve"> </w:t>
      </w:r>
      <w:r w:rsidR="00F272E0">
        <w:rPr>
          <w:sz w:val="23"/>
          <w:szCs w:val="23"/>
        </w:rPr>
        <w:tab/>
      </w:r>
      <w:r w:rsidR="00F272E0">
        <w:rPr>
          <w:sz w:val="23"/>
          <w:szCs w:val="23"/>
        </w:rPr>
        <w:tab/>
      </w:r>
      <w:r w:rsidR="00F272E0" w:rsidRPr="00F272E0">
        <w:rPr>
          <w:sz w:val="23"/>
          <w:szCs w:val="23"/>
        </w:rPr>
        <w:t>(4)</w:t>
      </w:r>
    </w:p>
    <w:p w14:paraId="437B406D" w14:textId="77777777" w:rsidR="00A90731" w:rsidRPr="00A90731" w:rsidRDefault="00A90731" w:rsidP="00A90731">
      <w:pPr>
        <w:pStyle w:val="BodyText"/>
        <w:spacing w:before="237" w:line="228" w:lineRule="auto"/>
        <w:ind w:right="145" w:firstLine="237"/>
        <w:jc w:val="both"/>
      </w:pPr>
      <w:r w:rsidRPr="00A90731">
        <w:t>Where r is the particle radius in cm, t is the time in minutes, q is the average adsorption capacity (mg g</w:t>
      </w:r>
      <w:r w:rsidRPr="0045363F">
        <w:rPr>
          <w:vertAlign w:val="superscript"/>
        </w:rPr>
        <w:t>-1</w:t>
      </w:r>
      <w:r w:rsidRPr="00A90731">
        <w:t xml:space="preserve">), </w:t>
      </w:r>
      <w:proofErr w:type="spellStart"/>
      <w:r w:rsidRPr="00A90731">
        <w:t>qe</w:t>
      </w:r>
      <w:proofErr w:type="spellEnd"/>
      <w:r w:rsidRPr="00A90731">
        <w:t xml:space="preserve"> is the equilibrium adsorption capacity (mg g</w:t>
      </w:r>
      <w:r w:rsidRPr="0045363F">
        <w:rPr>
          <w:vertAlign w:val="superscript"/>
        </w:rPr>
        <w:t>-1</w:t>
      </w:r>
      <w:r w:rsidRPr="00A90731">
        <w:t>), and Ds is the diffusion coefficient in cm min</w:t>
      </w:r>
      <w:r w:rsidRPr="0045363F">
        <w:rPr>
          <w:vertAlign w:val="superscript"/>
        </w:rPr>
        <w:t>-1</w:t>
      </w:r>
      <w:r w:rsidRPr="00A90731">
        <w:t>.</w:t>
      </w:r>
    </w:p>
    <w:p w14:paraId="04F6B6F9" w14:textId="41E93B02" w:rsidR="00FC0410" w:rsidRDefault="00A90731" w:rsidP="00411F5B">
      <w:pPr>
        <w:pStyle w:val="BodyText"/>
        <w:spacing w:before="237" w:line="228" w:lineRule="auto"/>
        <w:ind w:right="145" w:firstLine="237"/>
        <w:jc w:val="both"/>
      </w:pPr>
      <w:bookmarkStart w:id="0" w:name="_Hlk169848811"/>
      <w:r w:rsidRPr="00A90731">
        <w:t>The analysis of Congo red dye concentrations was performed using a UV-1800 spectrophotometer</w:t>
      </w:r>
      <w:r w:rsidR="007217DE">
        <w:t xml:space="preserve"> (</w:t>
      </w:r>
      <w:r w:rsidRPr="00A90731">
        <w:t>Shimadzu</w:t>
      </w:r>
      <w:r w:rsidR="007217DE">
        <w:t>)</w:t>
      </w:r>
      <w:r w:rsidRPr="00A90731">
        <w:t xml:space="preserve"> at a wavelength of 500 nm</w:t>
      </w:r>
      <w:bookmarkEnd w:id="0"/>
      <w:r w:rsidR="007217DE">
        <w:t>.</w:t>
      </w:r>
    </w:p>
    <w:p w14:paraId="28936F9A" w14:textId="70E7CDFB" w:rsidR="00A90731" w:rsidRPr="00411F5B" w:rsidRDefault="00A90731" w:rsidP="00411F5B">
      <w:pPr>
        <w:pStyle w:val="Heading1"/>
        <w:spacing w:before="240"/>
      </w:pPr>
      <w:r w:rsidRPr="00411F5B">
        <w:t>3. Results and discussion</w:t>
      </w:r>
    </w:p>
    <w:p w14:paraId="5492488F" w14:textId="58EFEDAE" w:rsidR="00686DFD" w:rsidRPr="0050486D" w:rsidRDefault="007D41E2" w:rsidP="00686DFD">
      <w:pPr>
        <w:pStyle w:val="BodyText"/>
        <w:spacing w:before="237" w:line="228" w:lineRule="auto"/>
        <w:ind w:right="145" w:firstLine="237"/>
        <w:jc w:val="both"/>
      </w:pPr>
      <w:r w:rsidRPr="007D41E2">
        <w:t>Using the data obtained from the adsorption equilibrium experiments, non-linear isotherm graphs were created for PE (</w:t>
      </w:r>
      <w:r w:rsidRPr="0050486D">
        <w:t xml:space="preserve">Fig. </w:t>
      </w:r>
      <w:r w:rsidR="0050486D" w:rsidRPr="0050486D">
        <w:t>1</w:t>
      </w:r>
      <w:r w:rsidRPr="0050486D">
        <w:t xml:space="preserve">) and PET (Fig. </w:t>
      </w:r>
      <w:r w:rsidR="0050486D" w:rsidRPr="0050486D">
        <w:t>2</w:t>
      </w:r>
      <w:r w:rsidRPr="0050486D">
        <w:t>), including both the experimental curve and the curves fitted to the theoretical Langmuir and Freundlich models.</w:t>
      </w:r>
      <w:r w:rsidR="00686DFD" w:rsidRPr="0050486D">
        <w:t xml:space="preserve"> </w:t>
      </w:r>
    </w:p>
    <w:p w14:paraId="54D60C01" w14:textId="77777777" w:rsidR="00AA2305" w:rsidRPr="0050486D" w:rsidRDefault="00686DFD" w:rsidP="000A5F23">
      <w:pPr>
        <w:pStyle w:val="BodyText"/>
        <w:keepNext/>
        <w:spacing w:before="237" w:line="228" w:lineRule="auto"/>
        <w:ind w:left="0" w:right="145"/>
        <w:jc w:val="center"/>
      </w:pPr>
      <w:r w:rsidRPr="0050486D">
        <w:rPr>
          <w:noProof/>
        </w:rPr>
        <w:drawing>
          <wp:inline distT="0" distB="0" distL="0" distR="0" wp14:anchorId="7309E64D" wp14:editId="6C91D547">
            <wp:extent cx="255308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3080" cy="2160000"/>
                    </a:xfrm>
                    <a:prstGeom prst="rect">
                      <a:avLst/>
                    </a:prstGeom>
                    <a:noFill/>
                    <a:ln>
                      <a:noFill/>
                    </a:ln>
                  </pic:spPr>
                </pic:pic>
              </a:graphicData>
            </a:graphic>
          </wp:inline>
        </w:drawing>
      </w:r>
    </w:p>
    <w:p w14:paraId="2DA0EDBC" w14:textId="11D8804A" w:rsidR="00686DFD" w:rsidRPr="0050486D" w:rsidRDefault="00AA2305" w:rsidP="00411F5B">
      <w:pPr>
        <w:pStyle w:val="BodyText"/>
        <w:spacing w:line="228" w:lineRule="auto"/>
        <w:ind w:right="145"/>
      </w:pPr>
      <w:r w:rsidRPr="0050486D">
        <w:t xml:space="preserve">Fig. </w:t>
      </w:r>
      <w:r w:rsidR="00510CD1">
        <w:fldChar w:fldCharType="begin"/>
      </w:r>
      <w:r w:rsidR="00510CD1">
        <w:instrText xml:space="preserve"> SEQ Fig. \* ARABIC </w:instrText>
      </w:r>
      <w:r w:rsidR="00510CD1">
        <w:fldChar w:fldCharType="separate"/>
      </w:r>
      <w:r w:rsidR="00411F5B" w:rsidRPr="0050486D">
        <w:rPr>
          <w:noProof/>
        </w:rPr>
        <w:t>1</w:t>
      </w:r>
      <w:r w:rsidR="00510CD1">
        <w:rPr>
          <w:noProof/>
        </w:rPr>
        <w:fldChar w:fldCharType="end"/>
      </w:r>
      <w:r w:rsidRPr="0050486D">
        <w:t xml:space="preserve">. </w:t>
      </w:r>
      <w:r w:rsidR="00411F5B" w:rsidRPr="0050486D">
        <w:t>Equilibrium isotherms for Congo red dye adsorption onto PE</w:t>
      </w:r>
      <w:r w:rsidRPr="0050486D">
        <w:t>.</w:t>
      </w:r>
    </w:p>
    <w:p w14:paraId="7BCBC506" w14:textId="77777777" w:rsidR="007D41E2" w:rsidRPr="0050486D" w:rsidRDefault="007D41E2" w:rsidP="00411F5B">
      <w:pPr>
        <w:pStyle w:val="BodyText"/>
        <w:spacing w:line="228" w:lineRule="auto"/>
        <w:ind w:right="145"/>
      </w:pPr>
    </w:p>
    <w:p w14:paraId="431295E3" w14:textId="6F1F597E" w:rsidR="00411F5B" w:rsidRPr="0050486D" w:rsidRDefault="003A09D4" w:rsidP="000A5F23">
      <w:pPr>
        <w:pStyle w:val="BodyText"/>
        <w:keepNext/>
        <w:spacing w:before="237" w:line="228" w:lineRule="auto"/>
        <w:ind w:left="0" w:right="145"/>
        <w:jc w:val="center"/>
      </w:pPr>
      <w:r w:rsidRPr="003A09D4">
        <w:rPr>
          <w:noProof/>
        </w:rPr>
        <w:drawing>
          <wp:inline distT="0" distB="0" distL="0" distR="0" wp14:anchorId="2EEDD397" wp14:editId="2F1260FB">
            <wp:extent cx="2552425" cy="2160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425" cy="2160000"/>
                    </a:xfrm>
                    <a:prstGeom prst="rect">
                      <a:avLst/>
                    </a:prstGeom>
                    <a:noFill/>
                    <a:ln>
                      <a:noFill/>
                    </a:ln>
                  </pic:spPr>
                </pic:pic>
              </a:graphicData>
            </a:graphic>
          </wp:inline>
        </w:drawing>
      </w:r>
    </w:p>
    <w:p w14:paraId="59FAAB4B" w14:textId="4661ADE3" w:rsidR="00686DFD" w:rsidRPr="0050486D" w:rsidRDefault="00411F5B" w:rsidP="002A43BD">
      <w:pPr>
        <w:pStyle w:val="BodyText"/>
        <w:spacing w:line="228" w:lineRule="auto"/>
        <w:ind w:right="145"/>
      </w:pPr>
      <w:r w:rsidRPr="0050486D">
        <w:t xml:space="preserve">Fig. </w:t>
      </w:r>
      <w:r w:rsidR="00510CD1">
        <w:fldChar w:fldCharType="begin"/>
      </w:r>
      <w:r w:rsidR="00510CD1">
        <w:instrText xml:space="preserve"> SEQ Fig. \* ARABIC </w:instrText>
      </w:r>
      <w:r w:rsidR="00510CD1">
        <w:fldChar w:fldCharType="separate"/>
      </w:r>
      <w:r w:rsidRPr="0050486D">
        <w:t>2</w:t>
      </w:r>
      <w:r w:rsidR="00510CD1">
        <w:fldChar w:fldCharType="end"/>
      </w:r>
      <w:r w:rsidRPr="0050486D">
        <w:t>. Equilibrium isotherms for Congo red dye adsorption onto PET.</w:t>
      </w:r>
    </w:p>
    <w:p w14:paraId="60660C3F" w14:textId="060059AE" w:rsidR="00F16BEE" w:rsidRDefault="00F16BEE" w:rsidP="00F16BEE">
      <w:pPr>
        <w:pStyle w:val="BodyText"/>
        <w:spacing w:before="237" w:line="228" w:lineRule="auto"/>
        <w:ind w:right="145" w:firstLine="237"/>
        <w:jc w:val="both"/>
      </w:pPr>
      <w:r>
        <w:t xml:space="preserve">As observed in Fig. 1, the experimental adsorption isotherm for PE exhibited a concave curvature to the abscissa, defined as type L2 (GILES et al., 1960), indicating that adsorption occurred in monolayers. The results suggest that as the adsorbent sites are filled, it becomes increasingly difficult for the adsorbate molecules to find unoccupied sites. For PET, as shown in Fig. 2, the adsorption isotherm displayed a linear form, classified as type C1 (GILES et al., 1960), indicating that the amount adsorbed varies linearly with the </w:t>
      </w:r>
      <w:r w:rsidR="008D0336">
        <w:t>adsorbate concentration</w:t>
      </w:r>
      <w:r>
        <w:t xml:space="preserve">. This type of isotherm is favored in porous materials with </w:t>
      </w:r>
      <w:r w:rsidR="008D0336">
        <w:t>different</w:t>
      </w:r>
      <w:r>
        <w:t xml:space="preserve"> degrees of crystallinity.</w:t>
      </w:r>
    </w:p>
    <w:p w14:paraId="607C7294" w14:textId="7BB3B1C8" w:rsidR="000A5F23" w:rsidRDefault="000A5F23" w:rsidP="00830B2F">
      <w:pPr>
        <w:pStyle w:val="BodyText"/>
        <w:spacing w:before="237" w:line="228" w:lineRule="auto"/>
        <w:ind w:right="145" w:firstLine="237"/>
        <w:jc w:val="both"/>
      </w:pPr>
      <w:r>
        <w:t xml:space="preserve">Normalized isotherm models for PE indicate that the highest R² value (0.906) was obtained for the Langmuir model, which suggests the occurrence of chemical adsorption (FEBRIANTO et al., 2009). </w:t>
      </w:r>
      <w:r w:rsidR="00830B2F">
        <w:t>For PET, the Freundlich model provided the best fit with an R² value of 0.985. The Freundlich model describes equilibrium on heterogeneous surfaces, indicating physisorption and the formation of multilayers (Cooney, 1999).</w:t>
      </w:r>
    </w:p>
    <w:p w14:paraId="26A352CD" w14:textId="6E20E00B" w:rsidR="005960C9" w:rsidRDefault="005960C9" w:rsidP="00F16BEE">
      <w:pPr>
        <w:pStyle w:val="BodyText"/>
        <w:spacing w:before="237" w:line="228" w:lineRule="auto"/>
        <w:ind w:right="145" w:firstLine="237"/>
        <w:jc w:val="both"/>
      </w:pPr>
      <w:r w:rsidRPr="005960C9">
        <w:t>The experimental adsorption capacity for PE was 1.67 mg g⁻¹, while the Langmuir model fits indicated a maximum adsorption capacity (</w:t>
      </w:r>
      <w:proofErr w:type="spellStart"/>
      <w:r w:rsidRPr="005960C9">
        <w:t>Qmax</w:t>
      </w:r>
      <w:proofErr w:type="spellEnd"/>
      <w:r w:rsidRPr="005960C9">
        <w:t xml:space="preserve">) of 1.64 mg g⁻¹ for the non-linear model, presenting a lower associated error (SSE = 0.172). For PET, the </w:t>
      </w:r>
      <w:r w:rsidR="00DA7ABB">
        <w:t>Freundlich</w:t>
      </w:r>
      <w:r w:rsidRPr="005960C9">
        <w:t xml:space="preserve"> model that best fit the data was the</w:t>
      </w:r>
      <w:r w:rsidR="00DA7ABB">
        <w:t xml:space="preserve"> non-</w:t>
      </w:r>
      <w:r w:rsidRPr="005960C9">
        <w:t>linear model (SSE = 0.05</w:t>
      </w:r>
      <w:r w:rsidR="00DA7ABB">
        <w:t>5</w:t>
      </w:r>
      <w:r w:rsidRPr="005960C9">
        <w:t>), indicating maximum dye adsorption of 2.</w:t>
      </w:r>
      <w:r w:rsidR="00DA7ABB">
        <w:t>74</w:t>
      </w:r>
      <w:r w:rsidRPr="005960C9">
        <w:t xml:space="preserve"> mg g⁻¹, similar to the experimental </w:t>
      </w:r>
      <w:proofErr w:type="spellStart"/>
      <w:r w:rsidRPr="005960C9">
        <w:t>Qmax</w:t>
      </w:r>
      <w:proofErr w:type="spellEnd"/>
      <w:r w:rsidRPr="005960C9">
        <w:t xml:space="preserve"> of 2.74 mg g⁻¹.</w:t>
      </w:r>
    </w:p>
    <w:p w14:paraId="4A4D5292" w14:textId="0C1E8FD4" w:rsidR="005960C9" w:rsidRPr="00A330BA" w:rsidRDefault="005960C9" w:rsidP="005960C9">
      <w:pPr>
        <w:pStyle w:val="BodyText"/>
        <w:spacing w:before="237" w:line="228" w:lineRule="auto"/>
        <w:ind w:right="145" w:firstLine="237"/>
        <w:jc w:val="both"/>
        <w:rPr>
          <w:sz w:val="24"/>
          <w:szCs w:val="24"/>
          <w:lang w:eastAsia="pt-BR"/>
        </w:rPr>
      </w:pPr>
      <w:r w:rsidRPr="005960C9">
        <w:t xml:space="preserve">Based on the results of the adsorption kinetics studies, it was possible to calculate the adsorption capacities </w:t>
      </w:r>
      <w:r w:rsidR="008D0336">
        <w:t>for polyethylene at different time intervals</w:t>
      </w:r>
      <w:r w:rsidRPr="005960C9">
        <w:t xml:space="preserve">. The kinetics graphs are available in </w:t>
      </w:r>
      <w:r w:rsidRPr="0050486D">
        <w:t xml:space="preserve">Fig. </w:t>
      </w:r>
      <w:r w:rsidR="0050486D" w:rsidRPr="0050486D">
        <w:t>3</w:t>
      </w:r>
      <w:r w:rsidRPr="0050486D">
        <w:t>.</w:t>
      </w:r>
    </w:p>
    <w:p w14:paraId="759E4324" w14:textId="77777777" w:rsidR="00411F5B" w:rsidRDefault="00266F02" w:rsidP="000A5F23">
      <w:pPr>
        <w:pStyle w:val="BodyText"/>
        <w:keepNext/>
        <w:spacing w:before="237" w:line="228" w:lineRule="auto"/>
        <w:ind w:left="0" w:right="145"/>
        <w:jc w:val="center"/>
      </w:pPr>
      <w:r w:rsidRPr="00266F02">
        <w:rPr>
          <w:noProof/>
        </w:rPr>
        <w:lastRenderedPageBreak/>
        <w:drawing>
          <wp:inline distT="0" distB="0" distL="0" distR="0" wp14:anchorId="326C140B" wp14:editId="30509620">
            <wp:extent cx="2673152"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152" cy="2160000"/>
                    </a:xfrm>
                    <a:prstGeom prst="rect">
                      <a:avLst/>
                    </a:prstGeom>
                    <a:noFill/>
                    <a:ln>
                      <a:noFill/>
                    </a:ln>
                  </pic:spPr>
                </pic:pic>
              </a:graphicData>
            </a:graphic>
          </wp:inline>
        </w:drawing>
      </w:r>
    </w:p>
    <w:p w14:paraId="0E35006A" w14:textId="643A7AED" w:rsidR="00686DFD" w:rsidRPr="00411F5B" w:rsidRDefault="00411F5B" w:rsidP="00411F5B">
      <w:pPr>
        <w:pStyle w:val="Caption"/>
        <w:jc w:val="both"/>
        <w:rPr>
          <w:i w:val="0"/>
          <w:iCs w:val="0"/>
          <w:color w:val="auto"/>
          <w:sz w:val="22"/>
          <w:szCs w:val="22"/>
        </w:rPr>
      </w:pPr>
      <w:r w:rsidRPr="00411F5B">
        <w:rPr>
          <w:i w:val="0"/>
          <w:iCs w:val="0"/>
          <w:color w:val="auto"/>
          <w:sz w:val="22"/>
          <w:szCs w:val="22"/>
        </w:rPr>
        <w:t xml:space="preserve">Fig. </w:t>
      </w:r>
      <w:r w:rsidRPr="00411F5B">
        <w:rPr>
          <w:i w:val="0"/>
          <w:iCs w:val="0"/>
          <w:color w:val="auto"/>
          <w:sz w:val="22"/>
          <w:szCs w:val="22"/>
        </w:rPr>
        <w:fldChar w:fldCharType="begin"/>
      </w:r>
      <w:r w:rsidRPr="00411F5B">
        <w:rPr>
          <w:i w:val="0"/>
          <w:iCs w:val="0"/>
          <w:color w:val="auto"/>
          <w:sz w:val="22"/>
          <w:szCs w:val="22"/>
        </w:rPr>
        <w:instrText xml:space="preserve"> SEQ Fig. \* ARABIC </w:instrText>
      </w:r>
      <w:r w:rsidRPr="00411F5B">
        <w:rPr>
          <w:i w:val="0"/>
          <w:iCs w:val="0"/>
          <w:color w:val="auto"/>
          <w:sz w:val="22"/>
          <w:szCs w:val="22"/>
        </w:rPr>
        <w:fldChar w:fldCharType="separate"/>
      </w:r>
      <w:r w:rsidRPr="00411F5B">
        <w:rPr>
          <w:i w:val="0"/>
          <w:iCs w:val="0"/>
          <w:color w:val="auto"/>
          <w:sz w:val="22"/>
          <w:szCs w:val="22"/>
        </w:rPr>
        <w:t>3</w:t>
      </w:r>
      <w:r w:rsidRPr="00411F5B">
        <w:rPr>
          <w:i w:val="0"/>
          <w:iCs w:val="0"/>
          <w:color w:val="auto"/>
          <w:sz w:val="22"/>
          <w:szCs w:val="22"/>
        </w:rPr>
        <w:fldChar w:fldCharType="end"/>
      </w:r>
      <w:r w:rsidRPr="00411F5B">
        <w:rPr>
          <w:i w:val="0"/>
          <w:iCs w:val="0"/>
          <w:color w:val="auto"/>
          <w:sz w:val="22"/>
          <w:szCs w:val="22"/>
        </w:rPr>
        <w:t>. Congo red dye adsorption kinetics onto PE and PET adsorbents.</w:t>
      </w:r>
    </w:p>
    <w:p w14:paraId="41F5631B" w14:textId="4A6A8E00" w:rsidR="00A131DA" w:rsidRDefault="00A131DA" w:rsidP="00A131DA">
      <w:pPr>
        <w:pStyle w:val="BodyText"/>
        <w:spacing w:before="237" w:line="228" w:lineRule="auto"/>
        <w:ind w:right="145" w:firstLine="237"/>
        <w:jc w:val="both"/>
      </w:pPr>
      <w:r>
        <w:t xml:space="preserve">According to Fig. </w:t>
      </w:r>
      <w:r w:rsidR="0050486D">
        <w:t>3</w:t>
      </w:r>
      <w:r>
        <w:t>, it is possible to observe that the materials exhibited rapid adsorption capacity within the initial minutes. For both materials, from 60 minutes onwards, there is a noticeable decrease in the slope of the curve, indicating that this point marks the equilibrium time. The adsorption efficiency during this equilibrium period was 4% and 10% for PE and PET, respectively, remaining constant at 90 minutes and slightly decreasing to 2.7% for PE and 9% for PET after 1440 minutes (24 h) of contact with the dye.</w:t>
      </w:r>
    </w:p>
    <w:p w14:paraId="44339087" w14:textId="697C3AF8" w:rsidR="00A131DA" w:rsidRDefault="00A131DA" w:rsidP="00A131DA">
      <w:pPr>
        <w:pStyle w:val="BodyText"/>
        <w:spacing w:before="237" w:line="228" w:lineRule="auto"/>
        <w:ind w:right="145" w:firstLine="237"/>
        <w:jc w:val="both"/>
      </w:pPr>
      <w:r>
        <w:t>The rapid adsorption observed is related to the transfer of molecules to the surface of the adsorbent and the availability of adsorption sites, marking the first phase of the process. Consequently, the adsorption process reaches equilibrium due to the saturation of the adsorbent, as described by Choi, Kim, and Kim (2008).</w:t>
      </w:r>
    </w:p>
    <w:p w14:paraId="40DF6A56" w14:textId="72C7AA0B" w:rsidR="005C4F03" w:rsidRDefault="00A131DA" w:rsidP="005C4F03">
      <w:pPr>
        <w:pStyle w:val="BodyText"/>
        <w:spacing w:before="237" w:line="228" w:lineRule="auto"/>
        <w:ind w:right="145" w:firstLine="237"/>
        <w:jc w:val="both"/>
      </w:pPr>
      <w:r>
        <w:t xml:space="preserve">It is </w:t>
      </w:r>
      <w:r w:rsidR="005C4F03">
        <w:t>notable that the adsorption amount (Q) for PE decreases slightly after 1440 minutes of agitation. This behavior can be attributed to the phenomenon of desorption that might occur over prolonged contact times. During extended periods of agitation, the dye molecules that are initially adsorbed onto the surface of the PE may desorb back into the solution. This desorption can be influenced by several factors, such as weaker dye-adsorbent interactions, surface saturation, and dynamic equilibrium conditions.</w:t>
      </w:r>
    </w:p>
    <w:p w14:paraId="42E4FE79" w14:textId="55FF2CA6" w:rsidR="00CF05F6" w:rsidRDefault="005C4F03" w:rsidP="005C4F03">
      <w:pPr>
        <w:pStyle w:val="BodyText"/>
        <w:spacing w:before="237" w:line="228" w:lineRule="auto"/>
        <w:ind w:right="145" w:firstLine="237"/>
        <w:jc w:val="both"/>
      </w:pPr>
      <w:r>
        <w:t xml:space="preserve">For PE, the adsorption sites might become saturated at earlier stages, and the continued agitation could disturb the already adsorbed Congo red molecules. This could lead to their gradual release back into the solution, explaining the slight reduction in Q at 1440 minutes. This observation suggests that there is a balance between adsorption </w:t>
      </w:r>
      <w:r>
        <w:t>and desorption processes, especially over prolonged times, which is more pronounced in PE compared to PET, likely due to differences in their surface properties and affinity towards the dye."</w:t>
      </w:r>
    </w:p>
    <w:p w14:paraId="26D9AF28" w14:textId="0C666744" w:rsidR="00CF05F6" w:rsidRDefault="00CF05F6" w:rsidP="00CF05F6">
      <w:pPr>
        <w:pStyle w:val="Heading1"/>
        <w:spacing w:before="240"/>
      </w:pPr>
      <w:r>
        <w:t>4. Conclusion</w:t>
      </w:r>
    </w:p>
    <w:p w14:paraId="1D3BD23D" w14:textId="1669B4CB" w:rsidR="000C1F4F" w:rsidRDefault="000A5F23" w:rsidP="00CF05F6">
      <w:pPr>
        <w:pStyle w:val="BodyText"/>
        <w:spacing w:before="237" w:line="228" w:lineRule="auto"/>
        <w:ind w:right="145" w:firstLine="237"/>
        <w:jc w:val="both"/>
      </w:pPr>
      <w:r w:rsidRPr="000A5F23">
        <w:t xml:space="preserve">For PE, the data fit the non-linearized Langmuir model better, assuming that adsorption occurred in monolayers, suggesting a homogeneous distribution of active sites on the adsorbent surface. For PET, the data fit </w:t>
      </w:r>
      <w:r w:rsidR="005047A4">
        <w:t xml:space="preserve">the </w:t>
      </w:r>
      <w:r w:rsidR="005047A4" w:rsidRPr="005047A4">
        <w:t>non-linearized</w:t>
      </w:r>
      <w:r w:rsidR="005047A4">
        <w:t xml:space="preserve"> </w:t>
      </w:r>
      <w:r w:rsidRPr="000A5F23">
        <w:t xml:space="preserve">Freundlich models, indicating </w:t>
      </w:r>
      <w:r w:rsidR="009C2FBD" w:rsidRPr="009C2FBD">
        <w:t>the presence of physisorption and the formation of multilayers</w:t>
      </w:r>
      <w:r w:rsidRPr="000A5F23">
        <w:t>.</w:t>
      </w:r>
    </w:p>
    <w:p w14:paraId="43CA70B7" w14:textId="662A9CE8" w:rsidR="00CF05F6" w:rsidRPr="00A90731" w:rsidRDefault="00CF05F6" w:rsidP="00CF05F6">
      <w:pPr>
        <w:pStyle w:val="BodyText"/>
        <w:spacing w:before="237" w:line="228" w:lineRule="auto"/>
        <w:ind w:right="145" w:firstLine="237"/>
        <w:jc w:val="both"/>
      </w:pPr>
      <w:r>
        <w:t>A rapid adsorption capacity of Congo red dye by the material was observed in the initial minutes, followed by a decrease in the slope of the curve after 60 minutes, indicating the equilibrium time. The dye removal rate by PE and PET in the form of microplastics was 4% and 10% at equilibrium time, respectively, indicating relatively low adsorption efficiency. Despite the rapid adsorption capacity, additional studies are needed to understand the underlying mechanisms of the interactions between the material and the dye.</w:t>
      </w:r>
    </w:p>
    <w:p w14:paraId="04F86ED9" w14:textId="77777777" w:rsidR="006206A4" w:rsidRDefault="001E518D" w:rsidP="00FE0A89">
      <w:pPr>
        <w:pStyle w:val="Heading1"/>
        <w:spacing w:before="210" w:after="240"/>
      </w:pPr>
      <w:r>
        <w:rPr>
          <w:spacing w:val="-2"/>
        </w:rPr>
        <w:t>References</w:t>
      </w:r>
    </w:p>
    <w:p w14:paraId="44A62C18" w14:textId="7E218B76" w:rsidR="000C1F4F" w:rsidRPr="005036FF" w:rsidRDefault="000C1F4F" w:rsidP="005036FF">
      <w:pPr>
        <w:pStyle w:val="ListParagraph"/>
        <w:numPr>
          <w:ilvl w:val="0"/>
          <w:numId w:val="2"/>
        </w:numPr>
        <w:tabs>
          <w:tab w:val="left" w:pos="370"/>
          <w:tab w:val="left" w:pos="440"/>
        </w:tabs>
        <w:spacing w:line="208" w:lineRule="auto"/>
        <w:ind w:left="370" w:right="146" w:hanging="238"/>
        <w:rPr>
          <w:sz w:val="20"/>
        </w:rPr>
      </w:pPr>
      <w:r w:rsidRPr="000C1F4F">
        <w:t xml:space="preserve"> </w:t>
      </w:r>
      <w:r w:rsidR="000343CF" w:rsidRPr="000343CF">
        <w:rPr>
          <w:sz w:val="20"/>
        </w:rPr>
        <w:t>Mierzejewski</w:t>
      </w:r>
      <w:r w:rsidR="000343CF">
        <w:rPr>
          <w:sz w:val="20"/>
        </w:rPr>
        <w:t>,</w:t>
      </w:r>
      <w:r w:rsidR="000343CF" w:rsidRPr="000343CF">
        <w:rPr>
          <w:sz w:val="20"/>
        </w:rPr>
        <w:t xml:space="preserve"> K</w:t>
      </w:r>
      <w:r w:rsidR="000343CF">
        <w:rPr>
          <w:sz w:val="20"/>
        </w:rPr>
        <w:t>.</w:t>
      </w:r>
      <w:r w:rsidR="000343CF" w:rsidRPr="000343CF">
        <w:rPr>
          <w:sz w:val="20"/>
        </w:rPr>
        <w:t xml:space="preserve">, </w:t>
      </w:r>
      <w:proofErr w:type="spellStart"/>
      <w:r w:rsidR="000343CF" w:rsidRPr="000343CF">
        <w:rPr>
          <w:sz w:val="20"/>
        </w:rPr>
        <w:t>Kurzyńska</w:t>
      </w:r>
      <w:proofErr w:type="spellEnd"/>
      <w:r w:rsidR="000343CF">
        <w:rPr>
          <w:sz w:val="20"/>
        </w:rPr>
        <w:t>,</w:t>
      </w:r>
      <w:r w:rsidR="000343CF" w:rsidRPr="000343CF">
        <w:rPr>
          <w:sz w:val="20"/>
        </w:rPr>
        <w:t xml:space="preserve"> A</w:t>
      </w:r>
      <w:r w:rsidR="000343CF">
        <w:rPr>
          <w:sz w:val="20"/>
        </w:rPr>
        <w:t>.</w:t>
      </w:r>
      <w:r w:rsidR="000343CF" w:rsidRPr="000343CF">
        <w:rPr>
          <w:sz w:val="20"/>
        </w:rPr>
        <w:t>, Golubska</w:t>
      </w:r>
      <w:r w:rsidR="000343CF">
        <w:rPr>
          <w:sz w:val="20"/>
        </w:rPr>
        <w:t>,</w:t>
      </w:r>
      <w:r w:rsidR="000343CF" w:rsidRPr="000343CF">
        <w:rPr>
          <w:sz w:val="20"/>
        </w:rPr>
        <w:t xml:space="preserve"> M</w:t>
      </w:r>
      <w:r w:rsidR="000343CF">
        <w:rPr>
          <w:sz w:val="20"/>
        </w:rPr>
        <w:t>.</w:t>
      </w:r>
      <w:r w:rsidR="000343CF" w:rsidRPr="000343CF">
        <w:rPr>
          <w:sz w:val="20"/>
        </w:rPr>
        <w:t xml:space="preserve">, </w:t>
      </w:r>
      <w:proofErr w:type="spellStart"/>
      <w:r w:rsidR="000343CF" w:rsidRPr="000343CF">
        <w:rPr>
          <w:sz w:val="20"/>
        </w:rPr>
        <w:t>Całka</w:t>
      </w:r>
      <w:proofErr w:type="spellEnd"/>
      <w:r w:rsidR="000343CF" w:rsidRPr="000343CF">
        <w:rPr>
          <w:sz w:val="20"/>
        </w:rPr>
        <w:t xml:space="preserve"> J, </w:t>
      </w:r>
      <w:proofErr w:type="spellStart"/>
      <w:r w:rsidR="000343CF" w:rsidRPr="000343CF">
        <w:rPr>
          <w:sz w:val="20"/>
        </w:rPr>
        <w:t>Gałęcka</w:t>
      </w:r>
      <w:proofErr w:type="spellEnd"/>
      <w:r w:rsidR="000343CF" w:rsidRPr="000343CF">
        <w:rPr>
          <w:sz w:val="20"/>
        </w:rPr>
        <w:t xml:space="preserve"> I, </w:t>
      </w:r>
      <w:proofErr w:type="spellStart"/>
      <w:r w:rsidR="000343CF" w:rsidRPr="000343CF">
        <w:rPr>
          <w:sz w:val="20"/>
        </w:rPr>
        <w:t>Szabelski</w:t>
      </w:r>
      <w:proofErr w:type="spellEnd"/>
      <w:r w:rsidR="000343CF" w:rsidRPr="000343CF">
        <w:rPr>
          <w:sz w:val="20"/>
        </w:rPr>
        <w:t xml:space="preserve"> M, </w:t>
      </w:r>
      <w:proofErr w:type="spellStart"/>
      <w:r w:rsidR="000343CF" w:rsidRPr="000343CF">
        <w:rPr>
          <w:sz w:val="20"/>
        </w:rPr>
        <w:t>Paukszto</w:t>
      </w:r>
      <w:proofErr w:type="spellEnd"/>
      <w:r w:rsidR="000343CF" w:rsidRPr="000343CF">
        <w:rPr>
          <w:sz w:val="20"/>
        </w:rPr>
        <w:t xml:space="preserve"> Ł, </w:t>
      </w:r>
      <w:proofErr w:type="spellStart"/>
      <w:r w:rsidR="000343CF" w:rsidRPr="000343CF">
        <w:rPr>
          <w:sz w:val="20"/>
        </w:rPr>
        <w:t>Andronowska</w:t>
      </w:r>
      <w:proofErr w:type="spellEnd"/>
      <w:r w:rsidR="000343CF">
        <w:rPr>
          <w:sz w:val="20"/>
        </w:rPr>
        <w:t>,</w:t>
      </w:r>
      <w:r w:rsidR="000343CF" w:rsidRPr="000343CF">
        <w:rPr>
          <w:sz w:val="20"/>
        </w:rPr>
        <w:t xml:space="preserve"> A</w:t>
      </w:r>
      <w:r w:rsidR="000343CF">
        <w:rPr>
          <w:sz w:val="20"/>
        </w:rPr>
        <w:t>.</w:t>
      </w:r>
      <w:r w:rsidR="000343CF" w:rsidRPr="000343CF">
        <w:rPr>
          <w:sz w:val="20"/>
        </w:rPr>
        <w:t>, Bogacka</w:t>
      </w:r>
      <w:r w:rsidR="000343CF">
        <w:rPr>
          <w:sz w:val="20"/>
        </w:rPr>
        <w:t>,</w:t>
      </w:r>
      <w:r w:rsidR="000343CF" w:rsidRPr="000343CF">
        <w:rPr>
          <w:sz w:val="20"/>
        </w:rPr>
        <w:t xml:space="preserve"> I</w:t>
      </w:r>
      <w:r w:rsidRPr="005036FF">
        <w:rPr>
          <w:sz w:val="20"/>
        </w:rPr>
        <w:t xml:space="preserve">. New insights into the potential effects of PET microplastics on organisms via extracellular vesicle-mediated communication. Science of The Total Environment, v. 904, p. 166967, 15 </w:t>
      </w:r>
      <w:proofErr w:type="spellStart"/>
      <w:r w:rsidRPr="005036FF">
        <w:rPr>
          <w:sz w:val="20"/>
        </w:rPr>
        <w:t>dez</w:t>
      </w:r>
      <w:proofErr w:type="spellEnd"/>
      <w:r w:rsidRPr="005036FF">
        <w:rPr>
          <w:sz w:val="20"/>
        </w:rPr>
        <w:t xml:space="preserve">. </w:t>
      </w:r>
      <w:r w:rsidR="009C5799">
        <w:rPr>
          <w:sz w:val="20"/>
        </w:rPr>
        <w:t>(</w:t>
      </w:r>
      <w:r w:rsidRPr="005036FF">
        <w:rPr>
          <w:sz w:val="20"/>
        </w:rPr>
        <w:t>2023</w:t>
      </w:r>
      <w:r w:rsidR="009C5799">
        <w:rPr>
          <w:sz w:val="20"/>
        </w:rPr>
        <w:t>)</w:t>
      </w:r>
      <w:r w:rsidRPr="005036FF">
        <w:rPr>
          <w:sz w:val="20"/>
        </w:rPr>
        <w:t>.</w:t>
      </w:r>
    </w:p>
    <w:p w14:paraId="664B8B57" w14:textId="0809655C" w:rsidR="006206A4" w:rsidRPr="000C1F4F" w:rsidRDefault="000343CF" w:rsidP="005036FF">
      <w:pPr>
        <w:pStyle w:val="ListParagraph"/>
        <w:numPr>
          <w:ilvl w:val="0"/>
          <w:numId w:val="2"/>
        </w:numPr>
        <w:tabs>
          <w:tab w:val="left" w:pos="372"/>
          <w:tab w:val="left" w:pos="440"/>
        </w:tabs>
        <w:spacing w:line="208" w:lineRule="auto"/>
        <w:ind w:left="370" w:right="146" w:hanging="238"/>
        <w:rPr>
          <w:sz w:val="20"/>
        </w:rPr>
      </w:pPr>
      <w:r w:rsidRPr="000343CF">
        <w:rPr>
          <w:sz w:val="20"/>
          <w:lang w:val="pt-BR"/>
        </w:rPr>
        <w:t xml:space="preserve">Rodrigues, C., Pinheiro, G., Rezende, V., Val, L., Souza, D., Cristina, M., &amp; Amaral, S. </w:t>
      </w:r>
      <w:r w:rsidR="000C1F4F" w:rsidRPr="000343CF">
        <w:rPr>
          <w:sz w:val="20"/>
          <w:lang w:val="pt-BR"/>
        </w:rPr>
        <w:t xml:space="preserve"> </w:t>
      </w:r>
      <w:r w:rsidR="000C1F4F" w:rsidRPr="000C1F4F">
        <w:rPr>
          <w:sz w:val="20"/>
        </w:rPr>
        <w:t xml:space="preserve">Microplastics in surface </w:t>
      </w:r>
      <w:proofErr w:type="gramStart"/>
      <w:r w:rsidR="000C1F4F" w:rsidRPr="000C1F4F">
        <w:rPr>
          <w:sz w:val="20"/>
        </w:rPr>
        <w:t>water :</w:t>
      </w:r>
      <w:proofErr w:type="gramEnd"/>
      <w:r w:rsidR="000C1F4F" w:rsidRPr="000C1F4F">
        <w:rPr>
          <w:sz w:val="20"/>
        </w:rPr>
        <w:t xml:space="preserve"> occurrence , ecological implications ,</w:t>
      </w:r>
      <w:r>
        <w:rPr>
          <w:sz w:val="20"/>
        </w:rPr>
        <w:t xml:space="preserve"> </w:t>
      </w:r>
      <w:r w:rsidR="000C1F4F" w:rsidRPr="000C1F4F">
        <w:rPr>
          <w:sz w:val="20"/>
        </w:rPr>
        <w:t>quantification methods and remediation technologies</w:t>
      </w:r>
      <w:r>
        <w:rPr>
          <w:sz w:val="20"/>
        </w:rPr>
        <w:t>.</w:t>
      </w:r>
      <w:r w:rsidR="000C1F4F" w:rsidRPr="000C1F4F">
        <w:rPr>
          <w:sz w:val="20"/>
        </w:rPr>
        <w:t xml:space="preserve"> vol. 474</w:t>
      </w:r>
      <w:r>
        <w:rPr>
          <w:sz w:val="20"/>
        </w:rPr>
        <w:t xml:space="preserve">. </w:t>
      </w:r>
      <w:r w:rsidR="009C5799">
        <w:rPr>
          <w:sz w:val="20"/>
        </w:rPr>
        <w:t>(</w:t>
      </w:r>
      <w:r>
        <w:rPr>
          <w:sz w:val="20"/>
        </w:rPr>
        <w:t>2023</w:t>
      </w:r>
      <w:r w:rsidR="009C5799">
        <w:rPr>
          <w:sz w:val="20"/>
        </w:rPr>
        <w:t>)</w:t>
      </w:r>
      <w:r>
        <w:rPr>
          <w:sz w:val="20"/>
        </w:rPr>
        <w:t>.</w:t>
      </w:r>
    </w:p>
    <w:p w14:paraId="5A55A96F" w14:textId="46CD4D60" w:rsidR="005036FF" w:rsidRPr="005036FF" w:rsidRDefault="005036FF" w:rsidP="005036FF">
      <w:pPr>
        <w:pStyle w:val="ListParagraph"/>
        <w:numPr>
          <w:ilvl w:val="0"/>
          <w:numId w:val="2"/>
        </w:numPr>
        <w:tabs>
          <w:tab w:val="left" w:pos="370"/>
          <w:tab w:val="left" w:pos="440"/>
        </w:tabs>
        <w:spacing w:line="208" w:lineRule="auto"/>
        <w:ind w:left="370" w:right="146" w:hanging="238"/>
        <w:rPr>
          <w:sz w:val="20"/>
        </w:rPr>
      </w:pPr>
      <w:r w:rsidRPr="005036FF">
        <w:rPr>
          <w:sz w:val="20"/>
        </w:rPr>
        <w:t>Giles</w:t>
      </w:r>
      <w:r>
        <w:rPr>
          <w:sz w:val="20"/>
        </w:rPr>
        <w:t>,</w:t>
      </w:r>
      <w:r w:rsidRPr="005036FF">
        <w:rPr>
          <w:sz w:val="20"/>
        </w:rPr>
        <w:t xml:space="preserve"> C</w:t>
      </w:r>
      <w:r>
        <w:rPr>
          <w:sz w:val="20"/>
        </w:rPr>
        <w:t>.</w:t>
      </w:r>
      <w:r w:rsidRPr="005036FF">
        <w:rPr>
          <w:sz w:val="20"/>
        </w:rPr>
        <w:t>H, MacEwan</w:t>
      </w:r>
      <w:r>
        <w:rPr>
          <w:sz w:val="20"/>
        </w:rPr>
        <w:t>,</w:t>
      </w:r>
      <w:r w:rsidRPr="005036FF">
        <w:rPr>
          <w:sz w:val="20"/>
        </w:rPr>
        <w:t xml:space="preserve"> T</w:t>
      </w:r>
      <w:r>
        <w:rPr>
          <w:sz w:val="20"/>
        </w:rPr>
        <w:t>.</w:t>
      </w:r>
      <w:r w:rsidRPr="005036FF">
        <w:rPr>
          <w:sz w:val="20"/>
        </w:rPr>
        <w:t xml:space="preserve">H, </w:t>
      </w:r>
      <w:proofErr w:type="spellStart"/>
      <w:r w:rsidRPr="005036FF">
        <w:rPr>
          <w:sz w:val="20"/>
        </w:rPr>
        <w:t>Nakhwa</w:t>
      </w:r>
      <w:proofErr w:type="spellEnd"/>
      <w:r>
        <w:rPr>
          <w:sz w:val="20"/>
        </w:rPr>
        <w:t>,</w:t>
      </w:r>
      <w:r w:rsidRPr="005036FF">
        <w:rPr>
          <w:sz w:val="20"/>
        </w:rPr>
        <w:t xml:space="preserve"> S</w:t>
      </w:r>
      <w:r>
        <w:rPr>
          <w:sz w:val="20"/>
        </w:rPr>
        <w:t>.</w:t>
      </w:r>
      <w:r w:rsidRPr="005036FF">
        <w:rPr>
          <w:sz w:val="20"/>
        </w:rPr>
        <w:t>N, Smith</w:t>
      </w:r>
      <w:r>
        <w:rPr>
          <w:sz w:val="20"/>
        </w:rPr>
        <w:t>,</w:t>
      </w:r>
      <w:r w:rsidRPr="005036FF">
        <w:rPr>
          <w:sz w:val="20"/>
        </w:rPr>
        <w:t xml:space="preserve"> D</w:t>
      </w:r>
      <w:r>
        <w:rPr>
          <w:sz w:val="20"/>
        </w:rPr>
        <w:t xml:space="preserve">. </w:t>
      </w:r>
      <w:r w:rsidRPr="005036FF">
        <w:rPr>
          <w:sz w:val="20"/>
        </w:rPr>
        <w:t>Studies in Adsorption. Part XI. A System of Classification of Solution Adsorption Isotherms, and its Use in Diagnosis of Adsorption Mechanisms and in Measurement of Specific Surface Areas of Solids. 846 (1960).</w:t>
      </w:r>
    </w:p>
    <w:p w14:paraId="2463D39D" w14:textId="5E225847" w:rsidR="000C1F4F" w:rsidRPr="005036FF" w:rsidRDefault="005036FF" w:rsidP="005036FF">
      <w:pPr>
        <w:pStyle w:val="ListParagraph"/>
        <w:numPr>
          <w:ilvl w:val="0"/>
          <w:numId w:val="2"/>
        </w:numPr>
        <w:tabs>
          <w:tab w:val="left" w:pos="372"/>
          <w:tab w:val="left" w:pos="440"/>
        </w:tabs>
        <w:spacing w:line="208" w:lineRule="auto"/>
        <w:ind w:right="146"/>
        <w:rPr>
          <w:sz w:val="20"/>
        </w:rPr>
      </w:pPr>
      <w:proofErr w:type="spellStart"/>
      <w:r w:rsidRPr="005036FF">
        <w:rPr>
          <w:sz w:val="20"/>
        </w:rPr>
        <w:t>Febrianto</w:t>
      </w:r>
      <w:proofErr w:type="spellEnd"/>
      <w:r>
        <w:rPr>
          <w:sz w:val="20"/>
        </w:rPr>
        <w:t>,</w:t>
      </w:r>
      <w:r w:rsidRPr="005036FF">
        <w:rPr>
          <w:sz w:val="20"/>
        </w:rPr>
        <w:t xml:space="preserve"> J</w:t>
      </w:r>
      <w:r>
        <w:rPr>
          <w:sz w:val="20"/>
        </w:rPr>
        <w:t>.</w:t>
      </w:r>
      <w:r w:rsidRPr="005036FF">
        <w:rPr>
          <w:sz w:val="20"/>
        </w:rPr>
        <w:t xml:space="preserve">, </w:t>
      </w:r>
      <w:proofErr w:type="spellStart"/>
      <w:r w:rsidRPr="005036FF">
        <w:rPr>
          <w:sz w:val="20"/>
        </w:rPr>
        <w:t>Kosasih</w:t>
      </w:r>
      <w:proofErr w:type="spellEnd"/>
      <w:r>
        <w:rPr>
          <w:sz w:val="20"/>
        </w:rPr>
        <w:t>,</w:t>
      </w:r>
      <w:r w:rsidRPr="005036FF">
        <w:rPr>
          <w:sz w:val="20"/>
        </w:rPr>
        <w:t xml:space="preserve"> A</w:t>
      </w:r>
      <w:r>
        <w:rPr>
          <w:sz w:val="20"/>
        </w:rPr>
        <w:t>.</w:t>
      </w:r>
      <w:r w:rsidRPr="005036FF">
        <w:rPr>
          <w:sz w:val="20"/>
        </w:rPr>
        <w:t>N</w:t>
      </w:r>
      <w:r>
        <w:rPr>
          <w:sz w:val="20"/>
        </w:rPr>
        <w:t>.</w:t>
      </w:r>
      <w:r w:rsidRPr="005036FF">
        <w:rPr>
          <w:sz w:val="20"/>
        </w:rPr>
        <w:t xml:space="preserve">, </w:t>
      </w:r>
      <w:proofErr w:type="spellStart"/>
      <w:r w:rsidRPr="005036FF">
        <w:rPr>
          <w:sz w:val="20"/>
        </w:rPr>
        <w:t>Sunarso</w:t>
      </w:r>
      <w:proofErr w:type="spellEnd"/>
      <w:r>
        <w:rPr>
          <w:sz w:val="20"/>
        </w:rPr>
        <w:t>,</w:t>
      </w:r>
      <w:r w:rsidRPr="005036FF">
        <w:rPr>
          <w:sz w:val="20"/>
        </w:rPr>
        <w:t xml:space="preserve"> J</w:t>
      </w:r>
      <w:r>
        <w:rPr>
          <w:sz w:val="20"/>
        </w:rPr>
        <w:t>.</w:t>
      </w:r>
      <w:r w:rsidRPr="005036FF">
        <w:rPr>
          <w:sz w:val="20"/>
        </w:rPr>
        <w:t>, Ju</w:t>
      </w:r>
      <w:r>
        <w:rPr>
          <w:sz w:val="20"/>
        </w:rPr>
        <w:t>,</w:t>
      </w:r>
      <w:r w:rsidRPr="005036FF">
        <w:rPr>
          <w:sz w:val="20"/>
        </w:rPr>
        <w:t xml:space="preserve"> Y</w:t>
      </w:r>
      <w:r>
        <w:rPr>
          <w:sz w:val="20"/>
        </w:rPr>
        <w:t>.</w:t>
      </w:r>
      <w:r w:rsidRPr="005036FF">
        <w:rPr>
          <w:sz w:val="20"/>
        </w:rPr>
        <w:t>H</w:t>
      </w:r>
      <w:r>
        <w:rPr>
          <w:sz w:val="20"/>
        </w:rPr>
        <w:t>.</w:t>
      </w:r>
      <w:r w:rsidRPr="005036FF">
        <w:rPr>
          <w:sz w:val="20"/>
        </w:rPr>
        <w:t xml:space="preserve">, </w:t>
      </w:r>
      <w:proofErr w:type="spellStart"/>
      <w:r w:rsidRPr="005036FF">
        <w:rPr>
          <w:sz w:val="20"/>
        </w:rPr>
        <w:t>Indraswati</w:t>
      </w:r>
      <w:proofErr w:type="spellEnd"/>
      <w:r>
        <w:rPr>
          <w:sz w:val="20"/>
        </w:rPr>
        <w:t>,</w:t>
      </w:r>
      <w:r w:rsidRPr="005036FF">
        <w:rPr>
          <w:sz w:val="20"/>
        </w:rPr>
        <w:t xml:space="preserve"> N</w:t>
      </w:r>
      <w:r>
        <w:rPr>
          <w:sz w:val="20"/>
        </w:rPr>
        <w:t>.</w:t>
      </w:r>
      <w:r w:rsidRPr="005036FF">
        <w:rPr>
          <w:sz w:val="20"/>
        </w:rPr>
        <w:t xml:space="preserve">, </w:t>
      </w:r>
      <w:proofErr w:type="spellStart"/>
      <w:r w:rsidRPr="005036FF">
        <w:rPr>
          <w:sz w:val="20"/>
        </w:rPr>
        <w:t>Ismadji</w:t>
      </w:r>
      <w:proofErr w:type="spellEnd"/>
      <w:r>
        <w:rPr>
          <w:sz w:val="20"/>
        </w:rPr>
        <w:t>,</w:t>
      </w:r>
      <w:r w:rsidRPr="005036FF">
        <w:rPr>
          <w:sz w:val="20"/>
        </w:rPr>
        <w:t xml:space="preserve"> S</w:t>
      </w:r>
      <w:r>
        <w:rPr>
          <w:sz w:val="20"/>
        </w:rPr>
        <w:t xml:space="preserve">. </w:t>
      </w:r>
      <w:r w:rsidRPr="005036FF">
        <w:rPr>
          <w:sz w:val="20"/>
        </w:rPr>
        <w:t>Equilibrium and kinetic studies in adsorption of heavy metals using biosorbent: A summary of recent studies. Journal of Hazardous Materials, v. 162, n. 2-3, p. 616-645, 2009.</w:t>
      </w:r>
    </w:p>
    <w:p w14:paraId="3BB28114" w14:textId="0142125A" w:rsidR="005036FF" w:rsidRDefault="005036FF" w:rsidP="005036FF">
      <w:pPr>
        <w:pStyle w:val="ListParagraph"/>
        <w:numPr>
          <w:ilvl w:val="0"/>
          <w:numId w:val="2"/>
        </w:numPr>
        <w:tabs>
          <w:tab w:val="left" w:pos="372"/>
          <w:tab w:val="left" w:pos="440"/>
        </w:tabs>
        <w:spacing w:line="208" w:lineRule="auto"/>
        <w:ind w:left="370" w:right="146" w:hanging="238"/>
        <w:rPr>
          <w:sz w:val="20"/>
        </w:rPr>
      </w:pPr>
      <w:r w:rsidRPr="005036FF">
        <w:rPr>
          <w:sz w:val="20"/>
        </w:rPr>
        <w:t xml:space="preserve">Cooney, D. O. Adsorption Design for Wastewater Treatment. Florida: CRC Press, </w:t>
      </w:r>
      <w:r w:rsidR="009C5799">
        <w:rPr>
          <w:sz w:val="20"/>
        </w:rPr>
        <w:t>(</w:t>
      </w:r>
      <w:r w:rsidRPr="005036FF">
        <w:rPr>
          <w:sz w:val="20"/>
        </w:rPr>
        <w:t>1999</w:t>
      </w:r>
      <w:r w:rsidR="009C5799">
        <w:rPr>
          <w:sz w:val="20"/>
        </w:rPr>
        <w:t>)</w:t>
      </w:r>
      <w:r>
        <w:rPr>
          <w:sz w:val="20"/>
        </w:rPr>
        <w:t>.</w:t>
      </w:r>
    </w:p>
    <w:p w14:paraId="12164F64" w14:textId="047CDD69" w:rsidR="005036FF" w:rsidRPr="005C4F03" w:rsidRDefault="005036FF" w:rsidP="005C4F03">
      <w:pPr>
        <w:pStyle w:val="ListParagraph"/>
        <w:numPr>
          <w:ilvl w:val="0"/>
          <w:numId w:val="2"/>
        </w:numPr>
        <w:tabs>
          <w:tab w:val="left" w:pos="370"/>
          <w:tab w:val="left" w:pos="440"/>
        </w:tabs>
        <w:spacing w:line="208" w:lineRule="auto"/>
        <w:ind w:left="370" w:right="146" w:hanging="238"/>
        <w:rPr>
          <w:sz w:val="20"/>
        </w:rPr>
      </w:pPr>
      <w:r w:rsidRPr="005036FF">
        <w:rPr>
          <w:sz w:val="20"/>
        </w:rPr>
        <w:t>Choi</w:t>
      </w:r>
      <w:r>
        <w:rPr>
          <w:sz w:val="20"/>
        </w:rPr>
        <w:t>,</w:t>
      </w:r>
      <w:r w:rsidRPr="005036FF">
        <w:rPr>
          <w:sz w:val="20"/>
        </w:rPr>
        <w:t xml:space="preserve"> K</w:t>
      </w:r>
      <w:r>
        <w:rPr>
          <w:sz w:val="20"/>
        </w:rPr>
        <w:t>.</w:t>
      </w:r>
      <w:r w:rsidRPr="005036FF">
        <w:rPr>
          <w:sz w:val="20"/>
        </w:rPr>
        <w:t>J</w:t>
      </w:r>
      <w:r>
        <w:rPr>
          <w:sz w:val="20"/>
        </w:rPr>
        <w:t>.</w:t>
      </w:r>
      <w:r w:rsidRPr="005036FF">
        <w:rPr>
          <w:sz w:val="20"/>
        </w:rPr>
        <w:t>, Kim</w:t>
      </w:r>
      <w:r>
        <w:rPr>
          <w:sz w:val="20"/>
        </w:rPr>
        <w:t>,</w:t>
      </w:r>
      <w:r w:rsidRPr="005036FF">
        <w:rPr>
          <w:sz w:val="20"/>
        </w:rPr>
        <w:t xml:space="preserve"> S</w:t>
      </w:r>
      <w:r>
        <w:rPr>
          <w:sz w:val="20"/>
        </w:rPr>
        <w:t>.</w:t>
      </w:r>
      <w:r w:rsidRPr="005036FF">
        <w:rPr>
          <w:sz w:val="20"/>
        </w:rPr>
        <w:t>G</w:t>
      </w:r>
      <w:r>
        <w:rPr>
          <w:sz w:val="20"/>
        </w:rPr>
        <w:t>.</w:t>
      </w:r>
      <w:r w:rsidRPr="005036FF">
        <w:rPr>
          <w:sz w:val="20"/>
        </w:rPr>
        <w:t>, Kim</w:t>
      </w:r>
      <w:r>
        <w:rPr>
          <w:sz w:val="20"/>
        </w:rPr>
        <w:t>,</w:t>
      </w:r>
      <w:r w:rsidRPr="005036FF">
        <w:rPr>
          <w:sz w:val="20"/>
        </w:rPr>
        <w:t xml:space="preserve"> S</w:t>
      </w:r>
      <w:r>
        <w:rPr>
          <w:sz w:val="20"/>
        </w:rPr>
        <w:t>.</w:t>
      </w:r>
      <w:r w:rsidRPr="005036FF">
        <w:rPr>
          <w:sz w:val="20"/>
        </w:rPr>
        <w:t xml:space="preserve">H. Removal of antibiotics by coagulation and granular activated </w:t>
      </w:r>
      <w:proofErr w:type="spellStart"/>
      <w:r w:rsidRPr="005036FF">
        <w:rPr>
          <w:sz w:val="20"/>
        </w:rPr>
        <w:t>carbono</w:t>
      </w:r>
      <w:proofErr w:type="spellEnd"/>
      <w:r w:rsidRPr="005036FF">
        <w:rPr>
          <w:sz w:val="20"/>
        </w:rPr>
        <w:t xml:space="preserve"> filtration. Journal of Hazardous Materials, v. 151, p. 38-43</w:t>
      </w:r>
      <w:r w:rsidR="009C5799">
        <w:rPr>
          <w:sz w:val="20"/>
        </w:rPr>
        <w:t xml:space="preserve"> (</w:t>
      </w:r>
      <w:r w:rsidRPr="005036FF">
        <w:rPr>
          <w:sz w:val="20"/>
        </w:rPr>
        <w:t>2008</w:t>
      </w:r>
      <w:r w:rsidR="009C5799">
        <w:rPr>
          <w:sz w:val="20"/>
        </w:rPr>
        <w:t>).</w:t>
      </w:r>
    </w:p>
    <w:sectPr w:rsidR="005036FF" w:rsidRPr="005C4F03">
      <w:pgSz w:w="11910" w:h="16840"/>
      <w:pgMar w:top="3000" w:right="980" w:bottom="280" w:left="1000" w:header="569" w:footer="0" w:gutter="0"/>
      <w:cols w:num="2" w:space="720" w:equalWidth="0">
        <w:col w:w="4712" w:space="393"/>
        <w:col w:w="482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AE4A" w14:textId="77777777" w:rsidR="00510CD1" w:rsidRDefault="00510CD1">
      <w:r>
        <w:separator/>
      </w:r>
    </w:p>
  </w:endnote>
  <w:endnote w:type="continuationSeparator" w:id="0">
    <w:p w14:paraId="31A86AA3" w14:textId="77777777" w:rsidR="00510CD1" w:rsidRDefault="00510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C403E" w14:textId="77777777" w:rsidR="00510CD1" w:rsidRDefault="00510CD1">
      <w:r>
        <w:separator/>
      </w:r>
    </w:p>
  </w:footnote>
  <w:footnote w:type="continuationSeparator" w:id="0">
    <w:p w14:paraId="2E1D7A1E" w14:textId="77777777" w:rsidR="00510CD1" w:rsidRDefault="00510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29EA" w14:textId="77777777" w:rsidR="006206A4" w:rsidRDefault="001E518D">
    <w:pPr>
      <w:pStyle w:val="BodyText"/>
      <w:spacing w:line="14" w:lineRule="auto"/>
      <w:ind w:left="0"/>
      <w:rPr>
        <w:sz w:val="20"/>
      </w:rPr>
    </w:pPr>
    <w:r>
      <w:rPr>
        <w:noProof/>
      </w:rPr>
      <w:drawing>
        <wp:anchor distT="0" distB="0" distL="0" distR="0" simplePos="0" relativeHeight="487513088" behindDoc="1" locked="0" layoutInCell="1" allowOverlap="1" wp14:anchorId="4AE37470" wp14:editId="12F6C807">
          <wp:simplePos x="0" y="0"/>
          <wp:positionH relativeFrom="page">
            <wp:posOffset>2841123</wp:posOffset>
          </wp:positionH>
          <wp:positionV relativeFrom="page">
            <wp:posOffset>361187</wp:posOffset>
          </wp:positionV>
          <wp:extent cx="1916611" cy="1432540"/>
          <wp:effectExtent l="0" t="0" r="0" b="0"/>
          <wp:wrapNone/>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916611" cy="1432540"/>
                  </a:xfrm>
                  <a:prstGeom prst="rect">
                    <a:avLst/>
                  </a:prstGeom>
                </pic:spPr>
              </pic:pic>
            </a:graphicData>
          </a:graphic>
        </wp:anchor>
      </w:drawing>
    </w:r>
    <w:r>
      <w:rPr>
        <w:noProof/>
      </w:rPr>
      <mc:AlternateContent>
        <mc:Choice Requires="wps">
          <w:drawing>
            <wp:anchor distT="0" distB="0" distL="0" distR="0" simplePos="0" relativeHeight="487513600" behindDoc="1" locked="0" layoutInCell="1" allowOverlap="1" wp14:anchorId="20647821" wp14:editId="49615DAF">
              <wp:simplePos x="0" y="0"/>
              <wp:positionH relativeFrom="page">
                <wp:posOffset>1824227</wp:posOffset>
              </wp:positionH>
              <wp:positionV relativeFrom="page">
                <wp:posOffset>1901951</wp:posOffset>
              </wp:positionV>
              <wp:extent cx="397002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0020" cy="1270"/>
                      </a:xfrm>
                      <a:custGeom>
                        <a:avLst/>
                        <a:gdLst/>
                        <a:ahLst/>
                        <a:cxnLst/>
                        <a:rect l="l" t="t" r="r" b="b"/>
                        <a:pathLst>
                          <a:path w="3970020">
                            <a:moveTo>
                              <a:pt x="0" y="0"/>
                            </a:moveTo>
                            <a:lnTo>
                              <a:pt x="397002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744EF7AD" id="Graphic 2" o:spid="_x0000_s1026" style="position:absolute;margin-left:143.65pt;margin-top:149.75pt;width:312.6pt;height:.1pt;z-index:-15802880;visibility:visible;mso-wrap-style:square;mso-wrap-distance-left:0;mso-wrap-distance-top:0;mso-wrap-distance-right:0;mso-wrap-distance-bottom:0;mso-position-horizontal:absolute;mso-position-horizontal-relative:page;mso-position-vertical:absolute;mso-position-vertical-relative:page;v-text-anchor:top" coordsize="397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aIQIAAH8EAAAOAAAAZHJzL2Uyb0RvYy54bWysVE1v2zAMvQ/YfxB0X+x4xboacYqhQYsB&#10;RVegKXZWZDk2JosapcTOvx8lfyTtbsN8ECjxieTjo7y67VvNjgpdA6bgy0XKmTISysbsC/66vf/0&#10;lTPnhSmFBqMKflKO364/flh1NlcZ1KBLhYyCGJd3tuC19zZPEidr1Qq3AKsMOSvAVnja4j4pUXQU&#10;vdVJlqZfkg6wtAhSOUenm8HJ1zF+VSnpf1SVU57pglNtPq4Y111Yk/VK5HsUtm7kWIb4hypa0RhK&#10;OofaCC/YAZu/QrWNRHBQ+YWENoGqaqSKHIjNMn3H5qUWVkUu1Bxn5za5/xdWPh2fkTVlwTPOjGhJ&#10;ooexG1loTmddTpgX+4yBnrOPIH85ciRvPGHjRkxfYRuwRI71sdOnudOq90zS4eeb6zTNSBBJvmV2&#10;HYVIRD7dlQfnHxTEOOL46PygUzlZop4s2ZvJRFI76Kyjzp4z0hk5I513g85W+HAvFBdM1p0LCWct&#10;HNUWote/q5xKO3u1uUTNVCaWhB0QZIQ01KvBiKnJviSnTajiZnl1FcfHgW7K+0brUIXD/e5OIzuK&#10;MLzxCzwowhuYRec3wtUDLrpGmDajToM0QaQdlCcSvCONC+5+HwQqzvR3QyMVnsdk4GTsJgO9voP4&#10;iGKDKOe2/ynQspC+4J6UfYJpYEU+iRaoz9hw08C3g4eqCYrGGRoqGjc05ZHg+CLDM7rcR9T5v7H+&#10;AwAA//8DAFBLAwQUAAYACAAAACEAg2F2TuIAAAALAQAADwAAAGRycy9kb3ducmV2LnhtbEyPT0vE&#10;MBDF74LfIYzgzU23/tm2Nl1cQUFEF2sRvGWbsS02k9Jkt/XbO3rR25t5jze/ydez7cUBR985UrBc&#10;RCCQamc6ahRUr3dnCQgfNBndO0IFX+hhXRwf5TozbqIXPJShEVxCPtMK2hCGTEpft2i1X7gBib0P&#10;N1odeBwbaUY9cbntZRxFV9LqjvhCqwe8bbH+LPdWwdvzVD5cPDWbzf378Lg1SWW3XaXU6cl8cw0i&#10;4Bz+wvCDz+hQMNPO7cl40SuIk9U5R1mk6SUITqTLmMXud7MCWeTy/w/FNwAAAP//AwBQSwECLQAU&#10;AAYACAAAACEAtoM4kv4AAADhAQAAEwAAAAAAAAAAAAAAAAAAAAAAW0NvbnRlbnRfVHlwZXNdLnht&#10;bFBLAQItABQABgAIAAAAIQA4/SH/1gAAAJQBAAALAAAAAAAAAAAAAAAAAC8BAABfcmVscy8ucmVs&#10;c1BLAQItABQABgAIAAAAIQDy/bkaIQIAAH8EAAAOAAAAAAAAAAAAAAAAAC4CAABkcnMvZTJvRG9j&#10;LnhtbFBLAQItABQABgAIAAAAIQCDYXZO4gAAAAsBAAAPAAAAAAAAAAAAAAAAAHsEAABkcnMvZG93&#10;bnJldi54bWxQSwUGAAAAAAQABADzAAAAigUAAAAA&#10;" path="m,l3970020,e" filled="f" strokeweight=".72pt">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90044"/>
    <w:multiLevelType w:val="hybridMultilevel"/>
    <w:tmpl w:val="DF6CDFE0"/>
    <w:lvl w:ilvl="0" w:tplc="2B48B54C">
      <w:start w:val="1"/>
      <w:numFmt w:val="decimal"/>
      <w:lvlText w:val="[%1]"/>
      <w:lvlJc w:val="left"/>
      <w:pPr>
        <w:ind w:left="427" w:hanging="295"/>
      </w:pPr>
      <w:rPr>
        <w:rFonts w:ascii="Times New Roman" w:eastAsia="Times New Roman" w:hAnsi="Times New Roman" w:cs="Times New Roman" w:hint="default"/>
        <w:b w:val="0"/>
        <w:bCs w:val="0"/>
        <w:i w:val="0"/>
        <w:iCs w:val="0"/>
        <w:spacing w:val="0"/>
        <w:w w:val="99"/>
        <w:sz w:val="20"/>
        <w:szCs w:val="20"/>
        <w:lang w:val="en-US" w:eastAsia="en-US" w:bidi="ar-SA"/>
      </w:rPr>
    </w:lvl>
    <w:lvl w:ilvl="1" w:tplc="ABFA18C8">
      <w:numFmt w:val="bullet"/>
      <w:lvlText w:val="•"/>
      <w:lvlJc w:val="left"/>
      <w:pPr>
        <w:ind w:left="860" w:hanging="295"/>
      </w:pPr>
      <w:rPr>
        <w:rFonts w:hint="default"/>
        <w:lang w:val="en-US" w:eastAsia="en-US" w:bidi="ar-SA"/>
      </w:rPr>
    </w:lvl>
    <w:lvl w:ilvl="2" w:tplc="30103B9E">
      <w:numFmt w:val="bullet"/>
      <w:lvlText w:val="•"/>
      <w:lvlJc w:val="left"/>
      <w:pPr>
        <w:ind w:left="1300" w:hanging="295"/>
      </w:pPr>
      <w:rPr>
        <w:rFonts w:hint="default"/>
        <w:lang w:val="en-US" w:eastAsia="en-US" w:bidi="ar-SA"/>
      </w:rPr>
    </w:lvl>
    <w:lvl w:ilvl="3" w:tplc="AAC4C686">
      <w:numFmt w:val="bullet"/>
      <w:lvlText w:val="•"/>
      <w:lvlJc w:val="left"/>
      <w:pPr>
        <w:ind w:left="1740" w:hanging="295"/>
      </w:pPr>
      <w:rPr>
        <w:rFonts w:hint="default"/>
        <w:lang w:val="en-US" w:eastAsia="en-US" w:bidi="ar-SA"/>
      </w:rPr>
    </w:lvl>
    <w:lvl w:ilvl="4" w:tplc="94224EF2">
      <w:numFmt w:val="bullet"/>
      <w:lvlText w:val="•"/>
      <w:lvlJc w:val="left"/>
      <w:pPr>
        <w:ind w:left="2180" w:hanging="295"/>
      </w:pPr>
      <w:rPr>
        <w:rFonts w:hint="default"/>
        <w:lang w:val="en-US" w:eastAsia="en-US" w:bidi="ar-SA"/>
      </w:rPr>
    </w:lvl>
    <w:lvl w:ilvl="5" w:tplc="E816122E">
      <w:numFmt w:val="bullet"/>
      <w:lvlText w:val="•"/>
      <w:lvlJc w:val="left"/>
      <w:pPr>
        <w:ind w:left="2620" w:hanging="295"/>
      </w:pPr>
      <w:rPr>
        <w:rFonts w:hint="default"/>
        <w:lang w:val="en-US" w:eastAsia="en-US" w:bidi="ar-SA"/>
      </w:rPr>
    </w:lvl>
    <w:lvl w:ilvl="6" w:tplc="AA8ADDE2">
      <w:numFmt w:val="bullet"/>
      <w:lvlText w:val="•"/>
      <w:lvlJc w:val="left"/>
      <w:pPr>
        <w:ind w:left="3060" w:hanging="295"/>
      </w:pPr>
      <w:rPr>
        <w:rFonts w:hint="default"/>
        <w:lang w:val="en-US" w:eastAsia="en-US" w:bidi="ar-SA"/>
      </w:rPr>
    </w:lvl>
    <w:lvl w:ilvl="7" w:tplc="E01AF0CE">
      <w:numFmt w:val="bullet"/>
      <w:lvlText w:val="•"/>
      <w:lvlJc w:val="left"/>
      <w:pPr>
        <w:ind w:left="3501" w:hanging="295"/>
      </w:pPr>
      <w:rPr>
        <w:rFonts w:hint="default"/>
        <w:lang w:val="en-US" w:eastAsia="en-US" w:bidi="ar-SA"/>
      </w:rPr>
    </w:lvl>
    <w:lvl w:ilvl="8" w:tplc="9EFCA2AC">
      <w:numFmt w:val="bullet"/>
      <w:lvlText w:val="•"/>
      <w:lvlJc w:val="left"/>
      <w:pPr>
        <w:ind w:left="3941" w:hanging="295"/>
      </w:pPr>
      <w:rPr>
        <w:rFonts w:hint="default"/>
        <w:lang w:val="en-US" w:eastAsia="en-US" w:bidi="ar-SA"/>
      </w:rPr>
    </w:lvl>
  </w:abstractNum>
  <w:abstractNum w:abstractNumId="1" w15:restartNumberingAfterBreak="0">
    <w:nsid w:val="22E0345B"/>
    <w:multiLevelType w:val="singleLevel"/>
    <w:tmpl w:val="0416000F"/>
    <w:lvl w:ilvl="0">
      <w:start w:val="1"/>
      <w:numFmt w:val="decimal"/>
      <w:lvlText w:val="%1."/>
      <w:lvlJc w:val="left"/>
      <w:pPr>
        <w:tabs>
          <w:tab w:val="num" w:pos="360"/>
        </w:tabs>
        <w:ind w:left="360" w:hanging="360"/>
      </w:pPr>
    </w:lvl>
  </w:abstractNum>
  <w:abstractNum w:abstractNumId="2" w15:restartNumberingAfterBreak="0">
    <w:nsid w:val="261C2AAC"/>
    <w:multiLevelType w:val="hybridMultilevel"/>
    <w:tmpl w:val="9258C512"/>
    <w:lvl w:ilvl="0" w:tplc="BBAC625E">
      <w:start w:val="1"/>
      <w:numFmt w:val="decimal"/>
      <w:lvlText w:val="[%1]"/>
      <w:lvlJc w:val="left"/>
      <w:pPr>
        <w:ind w:left="372" w:hanging="281"/>
      </w:pPr>
      <w:rPr>
        <w:rFonts w:ascii="Times New Roman" w:eastAsia="Times New Roman" w:hAnsi="Times New Roman" w:cs="Times New Roman" w:hint="default"/>
        <w:b w:val="0"/>
        <w:bCs w:val="0"/>
        <w:i w:val="0"/>
        <w:iCs w:val="0"/>
        <w:spacing w:val="0"/>
        <w:w w:val="99"/>
        <w:sz w:val="20"/>
        <w:szCs w:val="20"/>
        <w:lang w:val="en-US" w:eastAsia="en-US" w:bidi="ar-SA"/>
      </w:rPr>
    </w:lvl>
    <w:lvl w:ilvl="1" w:tplc="1C3695CE">
      <w:numFmt w:val="bullet"/>
      <w:lvlText w:val="•"/>
      <w:lvlJc w:val="left"/>
      <w:pPr>
        <w:ind w:left="824" w:hanging="281"/>
      </w:pPr>
      <w:rPr>
        <w:rFonts w:hint="default"/>
        <w:lang w:val="en-US" w:eastAsia="en-US" w:bidi="ar-SA"/>
      </w:rPr>
    </w:lvl>
    <w:lvl w:ilvl="2" w:tplc="8EA4CC2A">
      <w:numFmt w:val="bullet"/>
      <w:lvlText w:val="•"/>
      <w:lvlJc w:val="left"/>
      <w:pPr>
        <w:ind w:left="1268" w:hanging="281"/>
      </w:pPr>
      <w:rPr>
        <w:rFonts w:hint="default"/>
        <w:lang w:val="en-US" w:eastAsia="en-US" w:bidi="ar-SA"/>
      </w:rPr>
    </w:lvl>
    <w:lvl w:ilvl="3" w:tplc="17D8FDE0">
      <w:numFmt w:val="bullet"/>
      <w:lvlText w:val="•"/>
      <w:lvlJc w:val="left"/>
      <w:pPr>
        <w:ind w:left="1712" w:hanging="281"/>
      </w:pPr>
      <w:rPr>
        <w:rFonts w:hint="default"/>
        <w:lang w:val="en-US" w:eastAsia="en-US" w:bidi="ar-SA"/>
      </w:rPr>
    </w:lvl>
    <w:lvl w:ilvl="4" w:tplc="11401826">
      <w:numFmt w:val="bullet"/>
      <w:lvlText w:val="•"/>
      <w:lvlJc w:val="left"/>
      <w:pPr>
        <w:ind w:left="2156" w:hanging="281"/>
      </w:pPr>
      <w:rPr>
        <w:rFonts w:hint="default"/>
        <w:lang w:val="en-US" w:eastAsia="en-US" w:bidi="ar-SA"/>
      </w:rPr>
    </w:lvl>
    <w:lvl w:ilvl="5" w:tplc="E5FC7E48">
      <w:numFmt w:val="bullet"/>
      <w:lvlText w:val="•"/>
      <w:lvlJc w:val="left"/>
      <w:pPr>
        <w:ind w:left="2600" w:hanging="281"/>
      </w:pPr>
      <w:rPr>
        <w:rFonts w:hint="default"/>
        <w:lang w:val="en-US" w:eastAsia="en-US" w:bidi="ar-SA"/>
      </w:rPr>
    </w:lvl>
    <w:lvl w:ilvl="6" w:tplc="20AA7A04">
      <w:numFmt w:val="bullet"/>
      <w:lvlText w:val="•"/>
      <w:lvlJc w:val="left"/>
      <w:pPr>
        <w:ind w:left="3044" w:hanging="281"/>
      </w:pPr>
      <w:rPr>
        <w:rFonts w:hint="default"/>
        <w:lang w:val="en-US" w:eastAsia="en-US" w:bidi="ar-SA"/>
      </w:rPr>
    </w:lvl>
    <w:lvl w:ilvl="7" w:tplc="57000F9C">
      <w:numFmt w:val="bullet"/>
      <w:lvlText w:val="•"/>
      <w:lvlJc w:val="left"/>
      <w:pPr>
        <w:ind w:left="3489" w:hanging="281"/>
      </w:pPr>
      <w:rPr>
        <w:rFonts w:hint="default"/>
        <w:lang w:val="en-US" w:eastAsia="en-US" w:bidi="ar-SA"/>
      </w:rPr>
    </w:lvl>
    <w:lvl w:ilvl="8" w:tplc="3D622C7E">
      <w:numFmt w:val="bullet"/>
      <w:lvlText w:val="•"/>
      <w:lvlJc w:val="left"/>
      <w:pPr>
        <w:ind w:left="3933" w:hanging="281"/>
      </w:pPr>
      <w:rPr>
        <w:rFonts w:hint="default"/>
        <w:lang w:val="en-U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3NDMxtzAyNjI1MDZW0lEKTi0uzszPAykwqgUAa+66qCwAAAA="/>
  </w:docVars>
  <w:rsids>
    <w:rsidRoot w:val="006206A4"/>
    <w:rsid w:val="000343CF"/>
    <w:rsid w:val="0004584D"/>
    <w:rsid w:val="000627EC"/>
    <w:rsid w:val="000A03E4"/>
    <w:rsid w:val="000A5F23"/>
    <w:rsid w:val="000C1F4F"/>
    <w:rsid w:val="000D7F69"/>
    <w:rsid w:val="0017014D"/>
    <w:rsid w:val="001E518D"/>
    <w:rsid w:val="002644C2"/>
    <w:rsid w:val="00266F02"/>
    <w:rsid w:val="002A43BD"/>
    <w:rsid w:val="00367455"/>
    <w:rsid w:val="003A09D4"/>
    <w:rsid w:val="00411F5B"/>
    <w:rsid w:val="00424B7C"/>
    <w:rsid w:val="00447157"/>
    <w:rsid w:val="0045363F"/>
    <w:rsid w:val="004C6D2D"/>
    <w:rsid w:val="004F4B46"/>
    <w:rsid w:val="005036FF"/>
    <w:rsid w:val="005047A4"/>
    <w:rsid w:val="0050486D"/>
    <w:rsid w:val="00510CD1"/>
    <w:rsid w:val="005960C9"/>
    <w:rsid w:val="005C4F03"/>
    <w:rsid w:val="006206A4"/>
    <w:rsid w:val="00653E20"/>
    <w:rsid w:val="00686DFD"/>
    <w:rsid w:val="00690316"/>
    <w:rsid w:val="006E07BA"/>
    <w:rsid w:val="007217DE"/>
    <w:rsid w:val="007D41E2"/>
    <w:rsid w:val="00800423"/>
    <w:rsid w:val="00830B2F"/>
    <w:rsid w:val="00881C31"/>
    <w:rsid w:val="00894DD1"/>
    <w:rsid w:val="008D0336"/>
    <w:rsid w:val="009064C3"/>
    <w:rsid w:val="00940AD6"/>
    <w:rsid w:val="00942455"/>
    <w:rsid w:val="009C2FBD"/>
    <w:rsid w:val="009C5799"/>
    <w:rsid w:val="009D08DD"/>
    <w:rsid w:val="009F4356"/>
    <w:rsid w:val="00A131DA"/>
    <w:rsid w:val="00A330BA"/>
    <w:rsid w:val="00A71AF9"/>
    <w:rsid w:val="00A90731"/>
    <w:rsid w:val="00AA2305"/>
    <w:rsid w:val="00B25EDF"/>
    <w:rsid w:val="00BC1873"/>
    <w:rsid w:val="00C74367"/>
    <w:rsid w:val="00C762FB"/>
    <w:rsid w:val="00CF05F6"/>
    <w:rsid w:val="00D128DD"/>
    <w:rsid w:val="00D52468"/>
    <w:rsid w:val="00D63F51"/>
    <w:rsid w:val="00DA7ABB"/>
    <w:rsid w:val="00DB1419"/>
    <w:rsid w:val="00E425AE"/>
    <w:rsid w:val="00E93FEA"/>
    <w:rsid w:val="00EA24CF"/>
    <w:rsid w:val="00EA291F"/>
    <w:rsid w:val="00ED187F"/>
    <w:rsid w:val="00EF0028"/>
    <w:rsid w:val="00F0072F"/>
    <w:rsid w:val="00F16BEE"/>
    <w:rsid w:val="00F272E0"/>
    <w:rsid w:val="00F862EB"/>
    <w:rsid w:val="00FC0410"/>
    <w:rsid w:val="00FC465F"/>
    <w:rsid w:val="00FC6A16"/>
    <w:rsid w:val="00FD70A6"/>
    <w:rsid w:val="00FE0A89"/>
    <w:rsid w:val="00FE3381"/>
    <w:rsid w:val="00FF15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874B"/>
  <w15:docId w15:val="{E4CFE0E7-F2A4-40E0-8496-3F65D528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2"/>
      <w:outlineLvl w:val="0"/>
    </w:pPr>
    <w:rPr>
      <w:b/>
      <w:bCs/>
      <w:sz w:val="24"/>
      <w:szCs w:val="24"/>
    </w:rPr>
  </w:style>
  <w:style w:type="paragraph" w:styleId="Heading2">
    <w:name w:val="heading 2"/>
    <w:basedOn w:val="Normal"/>
    <w:next w:val="Normal"/>
    <w:link w:val="Heading2Char"/>
    <w:uiPriority w:val="9"/>
    <w:semiHidden/>
    <w:unhideWhenUsed/>
    <w:qFormat/>
    <w:rsid w:val="00EA24C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2"/>
    </w:pPr>
  </w:style>
  <w:style w:type="paragraph" w:styleId="Title">
    <w:name w:val="Title"/>
    <w:basedOn w:val="Normal"/>
    <w:uiPriority w:val="10"/>
    <w:qFormat/>
    <w:pPr>
      <w:spacing w:before="80"/>
      <w:ind w:right="23"/>
      <w:jc w:val="center"/>
    </w:pPr>
    <w:rPr>
      <w:b/>
      <w:bCs/>
      <w:sz w:val="32"/>
      <w:szCs w:val="32"/>
    </w:rPr>
  </w:style>
  <w:style w:type="paragraph" w:styleId="ListParagraph">
    <w:name w:val="List Paragraph"/>
    <w:basedOn w:val="Normal"/>
    <w:uiPriority w:val="1"/>
    <w:qFormat/>
    <w:pPr>
      <w:ind w:left="370" w:right="38" w:hanging="238"/>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0D7F69"/>
    <w:pPr>
      <w:widowControl/>
      <w:autoSpaceDE/>
      <w:autoSpaceDN/>
      <w:spacing w:before="100" w:beforeAutospacing="1" w:after="100" w:afterAutospacing="1"/>
    </w:pPr>
    <w:rPr>
      <w:sz w:val="24"/>
      <w:szCs w:val="24"/>
      <w:lang w:val="pt-BR" w:eastAsia="pt-BR"/>
    </w:rPr>
  </w:style>
  <w:style w:type="character" w:customStyle="1" w:styleId="Heading2Char">
    <w:name w:val="Heading 2 Char"/>
    <w:basedOn w:val="DefaultParagraphFont"/>
    <w:link w:val="Heading2"/>
    <w:uiPriority w:val="9"/>
    <w:semiHidden/>
    <w:rsid w:val="00EA24CF"/>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AA2305"/>
    <w:pPr>
      <w:spacing w:after="200"/>
    </w:pPr>
    <w:rPr>
      <w:i/>
      <w:iCs/>
      <w:color w:val="1F497D" w:themeColor="text2"/>
      <w:sz w:val="18"/>
      <w:szCs w:val="18"/>
    </w:rPr>
  </w:style>
  <w:style w:type="table" w:styleId="TableGrid">
    <w:name w:val="Table Grid"/>
    <w:basedOn w:val="TableNormal"/>
    <w:uiPriority w:val="39"/>
    <w:rsid w:val="00F272E0"/>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21787">
      <w:bodyDiv w:val="1"/>
      <w:marLeft w:val="0"/>
      <w:marRight w:val="0"/>
      <w:marTop w:val="0"/>
      <w:marBottom w:val="0"/>
      <w:divBdr>
        <w:top w:val="none" w:sz="0" w:space="0" w:color="auto"/>
        <w:left w:val="none" w:sz="0" w:space="0" w:color="auto"/>
        <w:bottom w:val="none" w:sz="0" w:space="0" w:color="auto"/>
        <w:right w:val="none" w:sz="0" w:space="0" w:color="auto"/>
      </w:divBdr>
      <w:divsChild>
        <w:div w:id="1293176571">
          <w:marLeft w:val="0"/>
          <w:marRight w:val="0"/>
          <w:marTop w:val="0"/>
          <w:marBottom w:val="0"/>
          <w:divBdr>
            <w:top w:val="none" w:sz="0" w:space="0" w:color="auto"/>
            <w:left w:val="none" w:sz="0" w:space="0" w:color="auto"/>
            <w:bottom w:val="none" w:sz="0" w:space="0" w:color="auto"/>
            <w:right w:val="none" w:sz="0" w:space="0" w:color="auto"/>
          </w:divBdr>
          <w:divsChild>
            <w:div w:id="730075009">
              <w:marLeft w:val="0"/>
              <w:marRight w:val="0"/>
              <w:marTop w:val="0"/>
              <w:marBottom w:val="0"/>
              <w:divBdr>
                <w:top w:val="none" w:sz="0" w:space="0" w:color="auto"/>
                <w:left w:val="none" w:sz="0" w:space="0" w:color="auto"/>
                <w:bottom w:val="none" w:sz="0" w:space="0" w:color="auto"/>
                <w:right w:val="none" w:sz="0" w:space="0" w:color="auto"/>
              </w:divBdr>
              <w:divsChild>
                <w:div w:id="1796833143">
                  <w:marLeft w:val="0"/>
                  <w:marRight w:val="0"/>
                  <w:marTop w:val="0"/>
                  <w:marBottom w:val="0"/>
                  <w:divBdr>
                    <w:top w:val="none" w:sz="0" w:space="0" w:color="auto"/>
                    <w:left w:val="none" w:sz="0" w:space="0" w:color="auto"/>
                    <w:bottom w:val="none" w:sz="0" w:space="0" w:color="auto"/>
                    <w:right w:val="none" w:sz="0" w:space="0" w:color="auto"/>
                  </w:divBdr>
                  <w:divsChild>
                    <w:div w:id="3780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00208">
      <w:bodyDiv w:val="1"/>
      <w:marLeft w:val="0"/>
      <w:marRight w:val="0"/>
      <w:marTop w:val="0"/>
      <w:marBottom w:val="0"/>
      <w:divBdr>
        <w:top w:val="none" w:sz="0" w:space="0" w:color="auto"/>
        <w:left w:val="none" w:sz="0" w:space="0" w:color="auto"/>
        <w:bottom w:val="none" w:sz="0" w:space="0" w:color="auto"/>
        <w:right w:val="none" w:sz="0" w:space="0" w:color="auto"/>
      </w:divBdr>
      <w:divsChild>
        <w:div w:id="1144546461">
          <w:marLeft w:val="0"/>
          <w:marRight w:val="0"/>
          <w:marTop w:val="0"/>
          <w:marBottom w:val="0"/>
          <w:divBdr>
            <w:top w:val="none" w:sz="0" w:space="0" w:color="auto"/>
            <w:left w:val="none" w:sz="0" w:space="0" w:color="auto"/>
            <w:bottom w:val="none" w:sz="0" w:space="0" w:color="auto"/>
            <w:right w:val="none" w:sz="0" w:space="0" w:color="auto"/>
          </w:divBdr>
          <w:divsChild>
            <w:div w:id="773669514">
              <w:marLeft w:val="0"/>
              <w:marRight w:val="0"/>
              <w:marTop w:val="0"/>
              <w:marBottom w:val="0"/>
              <w:divBdr>
                <w:top w:val="none" w:sz="0" w:space="0" w:color="auto"/>
                <w:left w:val="none" w:sz="0" w:space="0" w:color="auto"/>
                <w:bottom w:val="none" w:sz="0" w:space="0" w:color="auto"/>
                <w:right w:val="none" w:sz="0" w:space="0" w:color="auto"/>
              </w:divBdr>
              <w:divsChild>
                <w:div w:id="1766270286">
                  <w:marLeft w:val="0"/>
                  <w:marRight w:val="0"/>
                  <w:marTop w:val="0"/>
                  <w:marBottom w:val="0"/>
                  <w:divBdr>
                    <w:top w:val="none" w:sz="0" w:space="0" w:color="auto"/>
                    <w:left w:val="none" w:sz="0" w:space="0" w:color="auto"/>
                    <w:bottom w:val="none" w:sz="0" w:space="0" w:color="auto"/>
                    <w:right w:val="none" w:sz="0" w:space="0" w:color="auto"/>
                  </w:divBdr>
                  <w:divsChild>
                    <w:div w:id="2810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5632">
      <w:bodyDiv w:val="1"/>
      <w:marLeft w:val="0"/>
      <w:marRight w:val="0"/>
      <w:marTop w:val="0"/>
      <w:marBottom w:val="0"/>
      <w:divBdr>
        <w:top w:val="none" w:sz="0" w:space="0" w:color="auto"/>
        <w:left w:val="none" w:sz="0" w:space="0" w:color="auto"/>
        <w:bottom w:val="none" w:sz="0" w:space="0" w:color="auto"/>
        <w:right w:val="none" w:sz="0" w:space="0" w:color="auto"/>
      </w:divBdr>
      <w:divsChild>
        <w:div w:id="1834755238">
          <w:marLeft w:val="0"/>
          <w:marRight w:val="0"/>
          <w:marTop w:val="0"/>
          <w:marBottom w:val="0"/>
          <w:divBdr>
            <w:top w:val="none" w:sz="0" w:space="0" w:color="auto"/>
            <w:left w:val="none" w:sz="0" w:space="0" w:color="auto"/>
            <w:bottom w:val="none" w:sz="0" w:space="0" w:color="auto"/>
            <w:right w:val="none" w:sz="0" w:space="0" w:color="auto"/>
          </w:divBdr>
          <w:divsChild>
            <w:div w:id="854925727">
              <w:marLeft w:val="0"/>
              <w:marRight w:val="0"/>
              <w:marTop w:val="0"/>
              <w:marBottom w:val="0"/>
              <w:divBdr>
                <w:top w:val="none" w:sz="0" w:space="0" w:color="auto"/>
                <w:left w:val="none" w:sz="0" w:space="0" w:color="auto"/>
                <w:bottom w:val="none" w:sz="0" w:space="0" w:color="auto"/>
                <w:right w:val="none" w:sz="0" w:space="0" w:color="auto"/>
              </w:divBdr>
              <w:divsChild>
                <w:div w:id="571161072">
                  <w:marLeft w:val="0"/>
                  <w:marRight w:val="0"/>
                  <w:marTop w:val="0"/>
                  <w:marBottom w:val="0"/>
                  <w:divBdr>
                    <w:top w:val="none" w:sz="0" w:space="0" w:color="auto"/>
                    <w:left w:val="none" w:sz="0" w:space="0" w:color="auto"/>
                    <w:bottom w:val="none" w:sz="0" w:space="0" w:color="auto"/>
                    <w:right w:val="none" w:sz="0" w:space="0" w:color="auto"/>
                  </w:divBdr>
                  <w:divsChild>
                    <w:div w:id="1904020952">
                      <w:marLeft w:val="0"/>
                      <w:marRight w:val="0"/>
                      <w:marTop w:val="0"/>
                      <w:marBottom w:val="0"/>
                      <w:divBdr>
                        <w:top w:val="none" w:sz="0" w:space="0" w:color="auto"/>
                        <w:left w:val="none" w:sz="0" w:space="0" w:color="auto"/>
                        <w:bottom w:val="none" w:sz="0" w:space="0" w:color="auto"/>
                        <w:right w:val="none" w:sz="0" w:space="0" w:color="auto"/>
                      </w:divBdr>
                      <w:divsChild>
                        <w:div w:id="1514958382">
                          <w:marLeft w:val="0"/>
                          <w:marRight w:val="0"/>
                          <w:marTop w:val="0"/>
                          <w:marBottom w:val="0"/>
                          <w:divBdr>
                            <w:top w:val="none" w:sz="0" w:space="0" w:color="auto"/>
                            <w:left w:val="none" w:sz="0" w:space="0" w:color="auto"/>
                            <w:bottom w:val="none" w:sz="0" w:space="0" w:color="auto"/>
                            <w:right w:val="none" w:sz="0" w:space="0" w:color="auto"/>
                          </w:divBdr>
                          <w:divsChild>
                            <w:div w:id="9141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960576">
      <w:bodyDiv w:val="1"/>
      <w:marLeft w:val="0"/>
      <w:marRight w:val="0"/>
      <w:marTop w:val="0"/>
      <w:marBottom w:val="0"/>
      <w:divBdr>
        <w:top w:val="none" w:sz="0" w:space="0" w:color="auto"/>
        <w:left w:val="none" w:sz="0" w:space="0" w:color="auto"/>
        <w:bottom w:val="none" w:sz="0" w:space="0" w:color="auto"/>
        <w:right w:val="none" w:sz="0" w:space="0" w:color="auto"/>
      </w:divBdr>
    </w:div>
    <w:div w:id="388961817">
      <w:bodyDiv w:val="1"/>
      <w:marLeft w:val="0"/>
      <w:marRight w:val="0"/>
      <w:marTop w:val="0"/>
      <w:marBottom w:val="0"/>
      <w:divBdr>
        <w:top w:val="none" w:sz="0" w:space="0" w:color="auto"/>
        <w:left w:val="none" w:sz="0" w:space="0" w:color="auto"/>
        <w:bottom w:val="none" w:sz="0" w:space="0" w:color="auto"/>
        <w:right w:val="none" w:sz="0" w:space="0" w:color="auto"/>
      </w:divBdr>
    </w:div>
    <w:div w:id="605500307">
      <w:bodyDiv w:val="1"/>
      <w:marLeft w:val="0"/>
      <w:marRight w:val="0"/>
      <w:marTop w:val="0"/>
      <w:marBottom w:val="0"/>
      <w:divBdr>
        <w:top w:val="none" w:sz="0" w:space="0" w:color="auto"/>
        <w:left w:val="none" w:sz="0" w:space="0" w:color="auto"/>
        <w:bottom w:val="none" w:sz="0" w:space="0" w:color="auto"/>
        <w:right w:val="none" w:sz="0" w:space="0" w:color="auto"/>
      </w:divBdr>
      <w:divsChild>
        <w:div w:id="575482433">
          <w:marLeft w:val="0"/>
          <w:marRight w:val="0"/>
          <w:marTop w:val="0"/>
          <w:marBottom w:val="0"/>
          <w:divBdr>
            <w:top w:val="none" w:sz="0" w:space="0" w:color="auto"/>
            <w:left w:val="none" w:sz="0" w:space="0" w:color="auto"/>
            <w:bottom w:val="none" w:sz="0" w:space="0" w:color="auto"/>
            <w:right w:val="none" w:sz="0" w:space="0" w:color="auto"/>
          </w:divBdr>
          <w:divsChild>
            <w:div w:id="1357735514">
              <w:marLeft w:val="0"/>
              <w:marRight w:val="0"/>
              <w:marTop w:val="0"/>
              <w:marBottom w:val="0"/>
              <w:divBdr>
                <w:top w:val="none" w:sz="0" w:space="0" w:color="auto"/>
                <w:left w:val="none" w:sz="0" w:space="0" w:color="auto"/>
                <w:bottom w:val="none" w:sz="0" w:space="0" w:color="auto"/>
                <w:right w:val="none" w:sz="0" w:space="0" w:color="auto"/>
              </w:divBdr>
              <w:divsChild>
                <w:div w:id="1093551895">
                  <w:marLeft w:val="0"/>
                  <w:marRight w:val="0"/>
                  <w:marTop w:val="0"/>
                  <w:marBottom w:val="0"/>
                  <w:divBdr>
                    <w:top w:val="none" w:sz="0" w:space="0" w:color="auto"/>
                    <w:left w:val="none" w:sz="0" w:space="0" w:color="auto"/>
                    <w:bottom w:val="none" w:sz="0" w:space="0" w:color="auto"/>
                    <w:right w:val="none" w:sz="0" w:space="0" w:color="auto"/>
                  </w:divBdr>
                  <w:divsChild>
                    <w:div w:id="12155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97356">
      <w:bodyDiv w:val="1"/>
      <w:marLeft w:val="0"/>
      <w:marRight w:val="0"/>
      <w:marTop w:val="0"/>
      <w:marBottom w:val="0"/>
      <w:divBdr>
        <w:top w:val="none" w:sz="0" w:space="0" w:color="auto"/>
        <w:left w:val="none" w:sz="0" w:space="0" w:color="auto"/>
        <w:bottom w:val="none" w:sz="0" w:space="0" w:color="auto"/>
        <w:right w:val="none" w:sz="0" w:space="0" w:color="auto"/>
      </w:divBdr>
    </w:div>
    <w:div w:id="1004895566">
      <w:bodyDiv w:val="1"/>
      <w:marLeft w:val="0"/>
      <w:marRight w:val="0"/>
      <w:marTop w:val="0"/>
      <w:marBottom w:val="0"/>
      <w:divBdr>
        <w:top w:val="none" w:sz="0" w:space="0" w:color="auto"/>
        <w:left w:val="none" w:sz="0" w:space="0" w:color="auto"/>
        <w:bottom w:val="none" w:sz="0" w:space="0" w:color="auto"/>
        <w:right w:val="none" w:sz="0" w:space="0" w:color="auto"/>
      </w:divBdr>
    </w:div>
    <w:div w:id="1162232715">
      <w:bodyDiv w:val="1"/>
      <w:marLeft w:val="0"/>
      <w:marRight w:val="0"/>
      <w:marTop w:val="0"/>
      <w:marBottom w:val="0"/>
      <w:divBdr>
        <w:top w:val="none" w:sz="0" w:space="0" w:color="auto"/>
        <w:left w:val="none" w:sz="0" w:space="0" w:color="auto"/>
        <w:bottom w:val="none" w:sz="0" w:space="0" w:color="auto"/>
        <w:right w:val="none" w:sz="0" w:space="0" w:color="auto"/>
      </w:divBdr>
      <w:divsChild>
        <w:div w:id="1368602022">
          <w:marLeft w:val="0"/>
          <w:marRight w:val="0"/>
          <w:marTop w:val="0"/>
          <w:marBottom w:val="0"/>
          <w:divBdr>
            <w:top w:val="none" w:sz="0" w:space="0" w:color="auto"/>
            <w:left w:val="none" w:sz="0" w:space="0" w:color="auto"/>
            <w:bottom w:val="none" w:sz="0" w:space="0" w:color="auto"/>
            <w:right w:val="none" w:sz="0" w:space="0" w:color="auto"/>
          </w:divBdr>
          <w:divsChild>
            <w:div w:id="817453955">
              <w:marLeft w:val="0"/>
              <w:marRight w:val="0"/>
              <w:marTop w:val="0"/>
              <w:marBottom w:val="0"/>
              <w:divBdr>
                <w:top w:val="none" w:sz="0" w:space="0" w:color="auto"/>
                <w:left w:val="none" w:sz="0" w:space="0" w:color="auto"/>
                <w:bottom w:val="none" w:sz="0" w:space="0" w:color="auto"/>
                <w:right w:val="none" w:sz="0" w:space="0" w:color="auto"/>
              </w:divBdr>
              <w:divsChild>
                <w:div w:id="553273747">
                  <w:marLeft w:val="0"/>
                  <w:marRight w:val="0"/>
                  <w:marTop w:val="0"/>
                  <w:marBottom w:val="0"/>
                  <w:divBdr>
                    <w:top w:val="none" w:sz="0" w:space="0" w:color="auto"/>
                    <w:left w:val="none" w:sz="0" w:space="0" w:color="auto"/>
                    <w:bottom w:val="none" w:sz="0" w:space="0" w:color="auto"/>
                    <w:right w:val="none" w:sz="0" w:space="0" w:color="auto"/>
                  </w:divBdr>
                  <w:divsChild>
                    <w:div w:id="16138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053121">
      <w:bodyDiv w:val="1"/>
      <w:marLeft w:val="0"/>
      <w:marRight w:val="0"/>
      <w:marTop w:val="0"/>
      <w:marBottom w:val="0"/>
      <w:divBdr>
        <w:top w:val="none" w:sz="0" w:space="0" w:color="auto"/>
        <w:left w:val="none" w:sz="0" w:space="0" w:color="auto"/>
        <w:bottom w:val="none" w:sz="0" w:space="0" w:color="auto"/>
        <w:right w:val="none" w:sz="0" w:space="0" w:color="auto"/>
      </w:divBdr>
    </w:div>
    <w:div w:id="1431319517">
      <w:bodyDiv w:val="1"/>
      <w:marLeft w:val="0"/>
      <w:marRight w:val="0"/>
      <w:marTop w:val="0"/>
      <w:marBottom w:val="0"/>
      <w:divBdr>
        <w:top w:val="none" w:sz="0" w:space="0" w:color="auto"/>
        <w:left w:val="none" w:sz="0" w:space="0" w:color="auto"/>
        <w:bottom w:val="none" w:sz="0" w:space="0" w:color="auto"/>
        <w:right w:val="none" w:sz="0" w:space="0" w:color="auto"/>
      </w:divBdr>
    </w:div>
    <w:div w:id="1500080445">
      <w:bodyDiv w:val="1"/>
      <w:marLeft w:val="0"/>
      <w:marRight w:val="0"/>
      <w:marTop w:val="0"/>
      <w:marBottom w:val="0"/>
      <w:divBdr>
        <w:top w:val="none" w:sz="0" w:space="0" w:color="auto"/>
        <w:left w:val="none" w:sz="0" w:space="0" w:color="auto"/>
        <w:bottom w:val="none" w:sz="0" w:space="0" w:color="auto"/>
        <w:right w:val="none" w:sz="0" w:space="0" w:color="auto"/>
      </w:divBdr>
    </w:div>
    <w:div w:id="1528328789">
      <w:bodyDiv w:val="1"/>
      <w:marLeft w:val="0"/>
      <w:marRight w:val="0"/>
      <w:marTop w:val="0"/>
      <w:marBottom w:val="0"/>
      <w:divBdr>
        <w:top w:val="none" w:sz="0" w:space="0" w:color="auto"/>
        <w:left w:val="none" w:sz="0" w:space="0" w:color="auto"/>
        <w:bottom w:val="none" w:sz="0" w:space="0" w:color="auto"/>
        <w:right w:val="none" w:sz="0" w:space="0" w:color="auto"/>
      </w:divBdr>
    </w:div>
    <w:div w:id="1677341488">
      <w:bodyDiv w:val="1"/>
      <w:marLeft w:val="0"/>
      <w:marRight w:val="0"/>
      <w:marTop w:val="0"/>
      <w:marBottom w:val="0"/>
      <w:divBdr>
        <w:top w:val="none" w:sz="0" w:space="0" w:color="auto"/>
        <w:left w:val="none" w:sz="0" w:space="0" w:color="auto"/>
        <w:bottom w:val="none" w:sz="0" w:space="0" w:color="auto"/>
        <w:right w:val="none" w:sz="0" w:space="0" w:color="auto"/>
      </w:divBdr>
      <w:divsChild>
        <w:div w:id="1753627101">
          <w:marLeft w:val="0"/>
          <w:marRight w:val="0"/>
          <w:marTop w:val="0"/>
          <w:marBottom w:val="0"/>
          <w:divBdr>
            <w:top w:val="none" w:sz="0" w:space="0" w:color="auto"/>
            <w:left w:val="none" w:sz="0" w:space="0" w:color="auto"/>
            <w:bottom w:val="none" w:sz="0" w:space="0" w:color="auto"/>
            <w:right w:val="none" w:sz="0" w:space="0" w:color="auto"/>
          </w:divBdr>
          <w:divsChild>
            <w:div w:id="1592547997">
              <w:marLeft w:val="0"/>
              <w:marRight w:val="0"/>
              <w:marTop w:val="0"/>
              <w:marBottom w:val="0"/>
              <w:divBdr>
                <w:top w:val="none" w:sz="0" w:space="0" w:color="auto"/>
                <w:left w:val="none" w:sz="0" w:space="0" w:color="auto"/>
                <w:bottom w:val="none" w:sz="0" w:space="0" w:color="auto"/>
                <w:right w:val="none" w:sz="0" w:space="0" w:color="auto"/>
              </w:divBdr>
              <w:divsChild>
                <w:div w:id="832767556">
                  <w:marLeft w:val="0"/>
                  <w:marRight w:val="0"/>
                  <w:marTop w:val="0"/>
                  <w:marBottom w:val="0"/>
                  <w:divBdr>
                    <w:top w:val="none" w:sz="0" w:space="0" w:color="auto"/>
                    <w:left w:val="none" w:sz="0" w:space="0" w:color="auto"/>
                    <w:bottom w:val="none" w:sz="0" w:space="0" w:color="auto"/>
                    <w:right w:val="none" w:sz="0" w:space="0" w:color="auto"/>
                  </w:divBdr>
                  <w:divsChild>
                    <w:div w:id="10692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93954">
      <w:bodyDiv w:val="1"/>
      <w:marLeft w:val="0"/>
      <w:marRight w:val="0"/>
      <w:marTop w:val="0"/>
      <w:marBottom w:val="0"/>
      <w:divBdr>
        <w:top w:val="none" w:sz="0" w:space="0" w:color="auto"/>
        <w:left w:val="none" w:sz="0" w:space="0" w:color="auto"/>
        <w:bottom w:val="none" w:sz="0" w:space="0" w:color="auto"/>
        <w:right w:val="none" w:sz="0" w:space="0" w:color="auto"/>
      </w:divBdr>
    </w:div>
    <w:div w:id="1913393839">
      <w:bodyDiv w:val="1"/>
      <w:marLeft w:val="0"/>
      <w:marRight w:val="0"/>
      <w:marTop w:val="0"/>
      <w:marBottom w:val="0"/>
      <w:divBdr>
        <w:top w:val="none" w:sz="0" w:space="0" w:color="auto"/>
        <w:left w:val="none" w:sz="0" w:space="0" w:color="auto"/>
        <w:bottom w:val="none" w:sz="0" w:space="0" w:color="auto"/>
        <w:right w:val="none" w:sz="0" w:space="0" w:color="auto"/>
      </w:divBdr>
      <w:divsChild>
        <w:div w:id="1195384236">
          <w:marLeft w:val="0"/>
          <w:marRight w:val="0"/>
          <w:marTop w:val="0"/>
          <w:marBottom w:val="0"/>
          <w:divBdr>
            <w:top w:val="none" w:sz="0" w:space="0" w:color="auto"/>
            <w:left w:val="none" w:sz="0" w:space="0" w:color="auto"/>
            <w:bottom w:val="none" w:sz="0" w:space="0" w:color="auto"/>
            <w:right w:val="none" w:sz="0" w:space="0" w:color="auto"/>
          </w:divBdr>
          <w:divsChild>
            <w:div w:id="1524593514">
              <w:marLeft w:val="0"/>
              <w:marRight w:val="0"/>
              <w:marTop w:val="0"/>
              <w:marBottom w:val="0"/>
              <w:divBdr>
                <w:top w:val="none" w:sz="0" w:space="0" w:color="auto"/>
                <w:left w:val="none" w:sz="0" w:space="0" w:color="auto"/>
                <w:bottom w:val="none" w:sz="0" w:space="0" w:color="auto"/>
                <w:right w:val="none" w:sz="0" w:space="0" w:color="auto"/>
              </w:divBdr>
              <w:divsChild>
                <w:div w:id="652686919">
                  <w:marLeft w:val="0"/>
                  <w:marRight w:val="0"/>
                  <w:marTop w:val="0"/>
                  <w:marBottom w:val="0"/>
                  <w:divBdr>
                    <w:top w:val="none" w:sz="0" w:space="0" w:color="auto"/>
                    <w:left w:val="none" w:sz="0" w:space="0" w:color="auto"/>
                    <w:bottom w:val="none" w:sz="0" w:space="0" w:color="auto"/>
                    <w:right w:val="none" w:sz="0" w:space="0" w:color="auto"/>
                  </w:divBdr>
                  <w:divsChild>
                    <w:div w:id="1702127881">
                      <w:marLeft w:val="0"/>
                      <w:marRight w:val="0"/>
                      <w:marTop w:val="0"/>
                      <w:marBottom w:val="0"/>
                      <w:divBdr>
                        <w:top w:val="none" w:sz="0" w:space="0" w:color="auto"/>
                        <w:left w:val="none" w:sz="0" w:space="0" w:color="auto"/>
                        <w:bottom w:val="none" w:sz="0" w:space="0" w:color="auto"/>
                        <w:right w:val="none" w:sz="0" w:space="0" w:color="auto"/>
                      </w:divBdr>
                      <w:divsChild>
                        <w:div w:id="1771387707">
                          <w:marLeft w:val="0"/>
                          <w:marRight w:val="0"/>
                          <w:marTop w:val="0"/>
                          <w:marBottom w:val="0"/>
                          <w:divBdr>
                            <w:top w:val="none" w:sz="0" w:space="0" w:color="auto"/>
                            <w:left w:val="none" w:sz="0" w:space="0" w:color="auto"/>
                            <w:bottom w:val="none" w:sz="0" w:space="0" w:color="auto"/>
                            <w:right w:val="none" w:sz="0" w:space="0" w:color="auto"/>
                          </w:divBdr>
                          <w:divsChild>
                            <w:div w:id="19963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03082">
      <w:bodyDiv w:val="1"/>
      <w:marLeft w:val="0"/>
      <w:marRight w:val="0"/>
      <w:marTop w:val="0"/>
      <w:marBottom w:val="0"/>
      <w:divBdr>
        <w:top w:val="none" w:sz="0" w:space="0" w:color="auto"/>
        <w:left w:val="none" w:sz="0" w:space="0" w:color="auto"/>
        <w:bottom w:val="none" w:sz="0" w:space="0" w:color="auto"/>
        <w:right w:val="none" w:sz="0" w:space="0" w:color="auto"/>
      </w:divBdr>
    </w:div>
    <w:div w:id="1959683854">
      <w:bodyDiv w:val="1"/>
      <w:marLeft w:val="0"/>
      <w:marRight w:val="0"/>
      <w:marTop w:val="0"/>
      <w:marBottom w:val="0"/>
      <w:divBdr>
        <w:top w:val="none" w:sz="0" w:space="0" w:color="auto"/>
        <w:left w:val="none" w:sz="0" w:space="0" w:color="auto"/>
        <w:bottom w:val="none" w:sz="0" w:space="0" w:color="auto"/>
        <w:right w:val="none" w:sz="0" w:space="0" w:color="auto"/>
      </w:divBdr>
    </w:div>
    <w:div w:id="1976643085">
      <w:bodyDiv w:val="1"/>
      <w:marLeft w:val="0"/>
      <w:marRight w:val="0"/>
      <w:marTop w:val="0"/>
      <w:marBottom w:val="0"/>
      <w:divBdr>
        <w:top w:val="none" w:sz="0" w:space="0" w:color="auto"/>
        <w:left w:val="none" w:sz="0" w:space="0" w:color="auto"/>
        <w:bottom w:val="none" w:sz="0" w:space="0" w:color="auto"/>
        <w:right w:val="none" w:sz="0" w:space="0" w:color="auto"/>
      </w:divBdr>
      <w:divsChild>
        <w:div w:id="203060098">
          <w:marLeft w:val="0"/>
          <w:marRight w:val="0"/>
          <w:marTop w:val="0"/>
          <w:marBottom w:val="0"/>
          <w:divBdr>
            <w:top w:val="none" w:sz="0" w:space="0" w:color="auto"/>
            <w:left w:val="none" w:sz="0" w:space="0" w:color="auto"/>
            <w:bottom w:val="none" w:sz="0" w:space="0" w:color="auto"/>
            <w:right w:val="none" w:sz="0" w:space="0" w:color="auto"/>
          </w:divBdr>
          <w:divsChild>
            <w:div w:id="1521747298">
              <w:marLeft w:val="0"/>
              <w:marRight w:val="0"/>
              <w:marTop w:val="0"/>
              <w:marBottom w:val="0"/>
              <w:divBdr>
                <w:top w:val="none" w:sz="0" w:space="0" w:color="auto"/>
                <w:left w:val="none" w:sz="0" w:space="0" w:color="auto"/>
                <w:bottom w:val="none" w:sz="0" w:space="0" w:color="auto"/>
                <w:right w:val="none" w:sz="0" w:space="0" w:color="auto"/>
              </w:divBdr>
              <w:divsChild>
                <w:div w:id="961958830">
                  <w:marLeft w:val="0"/>
                  <w:marRight w:val="0"/>
                  <w:marTop w:val="0"/>
                  <w:marBottom w:val="0"/>
                  <w:divBdr>
                    <w:top w:val="none" w:sz="0" w:space="0" w:color="auto"/>
                    <w:left w:val="none" w:sz="0" w:space="0" w:color="auto"/>
                    <w:bottom w:val="none" w:sz="0" w:space="0" w:color="auto"/>
                    <w:right w:val="none" w:sz="0" w:space="0" w:color="auto"/>
                  </w:divBdr>
                  <w:divsChild>
                    <w:div w:id="20487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3540B-474E-4EB9-B08C-D76CCB4B0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2404</TotalTime>
  <Pages>1</Pages>
  <Words>2151</Words>
  <Characters>11617</Characters>
  <Application>Microsoft Office Word</Application>
  <DocSecurity>0</DocSecurity>
  <Lines>96</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Microsoft Word - Template EBA</vt:lpstr>
      <vt:lpstr>Microsoft Word - Template EBA</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Template EBA</dc:title>
  <dc:subject/>
  <dc:creator>Lucas  de Carvalho Silva</dc:creator>
  <cp:keywords/>
  <dc:description/>
  <cp:lastModifiedBy>Lucas  de Carvalho Silva</cp:lastModifiedBy>
  <cp:revision>28</cp:revision>
  <dcterms:created xsi:type="dcterms:W3CDTF">2024-06-18T22:33:00Z</dcterms:created>
  <dcterms:modified xsi:type="dcterms:W3CDTF">2024-09-07T19:24:00Z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LastSaved">
    <vt:filetime>2024-06-18T00:00:00Z</vt:filetime>
  </property>
  <property fmtid="{D5CDD505-2E9C-101B-9397-08002B2CF9AE}" pid="4" name="Producer">
    <vt:lpwstr>Microsoft: Print To PDF</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http://www.zotero.org/styles/chemosphere</vt:lpwstr>
  </property>
  <property fmtid="{D5CDD505-2E9C-101B-9397-08002B2CF9AE}" pid="12" name="Mendeley Recent Style Name 3_1">
    <vt:lpwstr>Chemosphere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