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C9F40">
      <w:pPr>
        <w:spacing w:line="360" w:lineRule="auto"/>
        <w:jc w:val="center"/>
        <w:rPr>
          <w:rFonts w:hint="default" w:ascii="Arial" w:hAnsi="Arial" w:cs="Arial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  <w:drawing>
          <wp:inline distT="0" distB="0" distL="0" distR="0">
            <wp:extent cx="5725160" cy="1785620"/>
            <wp:effectExtent l="0" t="0" r="889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308" cy="178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2EF1">
      <w:pPr>
        <w:spacing w:line="360" w:lineRule="auto"/>
        <w:jc w:val="center"/>
        <w:rPr>
          <w:rFonts w:hint="default" w:ascii="Arial" w:hAnsi="Arial" w:cs="Arial"/>
          <w:b/>
          <w:color w:val="auto"/>
          <w:sz w:val="28"/>
          <w:szCs w:val="28"/>
        </w:rPr>
      </w:pPr>
    </w:p>
    <w:p w14:paraId="3AC0CA98">
      <w:pPr>
        <w:spacing w:line="360" w:lineRule="auto"/>
        <w:jc w:val="center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b/>
          <w:color w:val="auto"/>
          <w:sz w:val="28"/>
          <w:szCs w:val="28"/>
        </w:rPr>
        <w:t>A RELIGIÃO NA CONSTRUÇÃO DO DIREITO DE FAMÍLIA</w:t>
      </w:r>
      <w:r>
        <w:rPr>
          <w:rFonts w:hint="default" w:ascii="Arial" w:hAnsi="Arial" w:cs="Arial"/>
          <w:color w:val="auto"/>
          <w:sz w:val="28"/>
          <w:szCs w:val="28"/>
        </w:rPr>
        <w:t>:</w:t>
      </w:r>
    </w:p>
    <w:p w14:paraId="085AA8B3">
      <w:pPr>
        <w:spacing w:line="360" w:lineRule="auto"/>
        <w:jc w:val="center"/>
        <w:rPr>
          <w:rFonts w:hint="default" w:ascii="Arial" w:hAnsi="Arial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cs="Arial"/>
          <w:b w:val="0"/>
          <w:bCs w:val="0"/>
          <w:color w:val="auto"/>
          <w:sz w:val="28"/>
          <w:szCs w:val="28"/>
        </w:rPr>
        <w:t>o “cristianismo” e o direito de família, aproximações e interferências.</w:t>
      </w:r>
    </w:p>
    <w:p w14:paraId="65578B25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49A1CAAD">
      <w:pPr>
        <w:spacing w:line="360" w:lineRule="auto"/>
        <w:jc w:val="right"/>
        <w:rPr>
          <w:rFonts w:hint="default" w:ascii="Arial" w:hAnsi="Arial" w:cs="Arial"/>
          <w:bCs/>
          <w:color w:val="auto"/>
          <w:sz w:val="22"/>
          <w:szCs w:val="22"/>
        </w:rPr>
      </w:pPr>
      <w:r>
        <w:rPr>
          <w:rFonts w:hint="default" w:ascii="Arial" w:hAnsi="Arial" w:cs="Arial"/>
          <w:bCs/>
          <w:color w:val="auto"/>
          <w:sz w:val="22"/>
          <w:szCs w:val="22"/>
        </w:rPr>
        <w:t>Pablo Matheus Andrade Trajano de Oliveira</w:t>
      </w:r>
      <w:r>
        <w:rPr>
          <w:rStyle w:val="8"/>
          <w:rFonts w:hint="default" w:ascii="Arial" w:hAnsi="Arial" w:cs="Arial"/>
          <w:color w:val="auto"/>
          <w:sz w:val="22"/>
          <w:szCs w:val="22"/>
        </w:rPr>
        <w:footnoteReference w:id="0"/>
      </w:r>
    </w:p>
    <w:p w14:paraId="280C091E">
      <w:pPr>
        <w:spacing w:line="360" w:lineRule="auto"/>
        <w:jc w:val="center"/>
        <w:rPr>
          <w:rFonts w:hint="default" w:ascii="Arial" w:hAnsi="Arial" w:cs="Arial"/>
          <w:bCs/>
          <w:color w:val="auto"/>
          <w:sz w:val="22"/>
          <w:szCs w:val="22"/>
        </w:rPr>
      </w:pPr>
    </w:p>
    <w:p w14:paraId="0000000C">
      <w:pPr>
        <w:spacing w:after="0"/>
        <w:jc w:val="right"/>
        <w:rPr>
          <w:rFonts w:ascii="Arial" w:hAnsi="Arial" w:eastAsia="Arial" w:cs="Arial"/>
        </w:rPr>
      </w:pPr>
    </w:p>
    <w:p w14:paraId="0000000D">
      <w:pPr>
        <w:rPr>
          <w:rFonts w:hint="default" w:ascii="Arial" w:hAnsi="Arial" w:cs="Arial"/>
        </w:rPr>
      </w:pPr>
      <w:r>
        <w:rPr>
          <w:rFonts w:ascii="Arial" w:hAnsi="Arial" w:eastAsia="Arial" w:cs="Arial"/>
          <w:b/>
          <w:rtl w:val="0"/>
        </w:rPr>
        <w:t>Grupo de Trabalho (GT</w:t>
      </w:r>
      <w:r>
        <w:rPr>
          <w:rFonts w:hint="default" w:ascii="Arial" w:hAnsi="Arial" w:eastAsia="Arial" w:cs="Arial"/>
          <w:b/>
          <w:rtl w:val="0"/>
          <w:lang w:val="pt-BR"/>
        </w:rPr>
        <w:t xml:space="preserve"> - 11</w:t>
      </w:r>
      <w:r>
        <w:rPr>
          <w:rFonts w:ascii="Arial" w:hAnsi="Arial" w:eastAsia="Arial" w:cs="Arial"/>
          <w:b/>
          <w:rtl w:val="0"/>
        </w:rPr>
        <w:t>)</w:t>
      </w:r>
      <w:r>
        <w:rPr>
          <w:rFonts w:hint="default" w:ascii="Arial" w:hAnsi="Arial" w:eastAsia="Arial" w:cs="Arial"/>
          <w:b/>
          <w:rtl w:val="0"/>
          <w:lang w:val="pt-BR"/>
        </w:rPr>
        <w:t xml:space="preserve"> </w:t>
      </w:r>
      <w:r>
        <w:rPr>
          <w:rFonts w:hint="default" w:ascii="Arial" w:hAnsi="Arial" w:cs="Arial"/>
        </w:rPr>
        <w:t>Ensino Religioso, Cuidado Espiritual e Saúde:</w:t>
      </w:r>
      <w:r>
        <w:rPr>
          <w:rFonts w:hint="default" w:ascii="Arial" w:hAnsi="Arial" w:cs="Arial"/>
          <w:lang w:val="pt-BR"/>
        </w:rPr>
        <w:t xml:space="preserve"> </w:t>
      </w:r>
      <w:r>
        <w:rPr>
          <w:rFonts w:hint="default" w:ascii="Arial" w:hAnsi="Arial" w:cs="Arial"/>
        </w:rPr>
        <w:t>(re)descobrindo confluências</w:t>
      </w:r>
    </w:p>
    <w:p w14:paraId="0BC45C30">
      <w:pPr>
        <w:rPr>
          <w:rFonts w:hint="default" w:ascii="Arial" w:hAnsi="Arial" w:cs="Arial"/>
        </w:rPr>
      </w:pPr>
    </w:p>
    <w:p w14:paraId="6A2C7577">
      <w:pPr>
        <w:rPr>
          <w:rFonts w:hint="default" w:ascii="Arial" w:hAnsi="Arial" w:cs="Arial"/>
          <w:b/>
          <w:color w:val="auto"/>
          <w:sz w:val="22"/>
          <w:szCs w:val="22"/>
        </w:rPr>
      </w:pPr>
    </w:p>
    <w:p w14:paraId="33CF30AF"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color w:val="auto"/>
          <w:sz w:val="22"/>
          <w:szCs w:val="22"/>
          <w:lang w:val="pt-BR"/>
        </w:rPr>
        <w:t>RESUMO</w:t>
      </w:r>
    </w:p>
    <w:p w14:paraId="6E888644">
      <w:pPr>
        <w:pStyle w:val="11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Na historia das sociedades, e</w:t>
      </w:r>
      <w:r>
        <w:rPr>
          <w:rFonts w:hint="default" w:ascii="Arial" w:hAnsi="Arial" w:cs="Arial"/>
          <w:sz w:val="22"/>
          <w:szCs w:val="22"/>
        </w:rPr>
        <w:t>m muitas culturas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os temas r</w:t>
      </w:r>
      <w:r>
        <w:rPr>
          <w:rFonts w:hint="default" w:ascii="Arial" w:hAnsi="Arial" w:cs="Arial"/>
          <w:sz w:val="22"/>
          <w:szCs w:val="22"/>
        </w:rPr>
        <w:t>eligião e direito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frequentemente se cruzam</w:t>
      </w:r>
      <w:r>
        <w:rPr>
          <w:rFonts w:hint="default" w:ascii="Arial" w:hAnsi="Arial" w:cs="Arial"/>
          <w:sz w:val="22"/>
          <w:szCs w:val="22"/>
          <w:lang w:val="pt-BR"/>
        </w:rPr>
        <w:t xml:space="preserve">. As </w:t>
      </w:r>
      <w:r>
        <w:rPr>
          <w:rFonts w:hint="default" w:ascii="Arial" w:hAnsi="Arial" w:cs="Arial"/>
          <w:sz w:val="22"/>
          <w:szCs w:val="22"/>
        </w:rPr>
        <w:t>tradições religiosas desempenham um papel significativo na definição das normas familiares e dos direitos dos indivíduos. No entanto, a interação entre religião e direito de família pode gerar tensões</w:t>
      </w:r>
      <w:r>
        <w:rPr>
          <w:rFonts w:hint="default" w:ascii="Arial" w:hAnsi="Arial" w:cs="Arial"/>
          <w:sz w:val="22"/>
          <w:szCs w:val="22"/>
          <w:lang w:val="pt-BR"/>
        </w:rPr>
        <w:t xml:space="preserve">. </w:t>
      </w:r>
      <w:r>
        <w:rPr>
          <w:rFonts w:hint="default" w:ascii="Arial" w:hAnsi="Arial" w:cs="Arial"/>
          <w:sz w:val="22"/>
          <w:szCs w:val="22"/>
        </w:rPr>
        <w:t xml:space="preserve"> especialmente em contextos onde as leis civis e as doutrinas religiosas entram em conflito.</w:t>
      </w:r>
      <w:r>
        <w:rPr>
          <w:rFonts w:hint="default" w:ascii="Arial" w:hAnsi="Arial" w:cs="Arial"/>
          <w:sz w:val="22"/>
          <w:szCs w:val="22"/>
          <w:lang w:val="pt-BR"/>
        </w:rPr>
        <w:t xml:space="preserve"> Deste modo o direito não pode estar ancorado em bases religiosas </w:t>
      </w:r>
      <w:r>
        <w:rPr>
          <w:rFonts w:hint="default" w:ascii="Arial" w:hAnsi="Arial" w:cs="Arial"/>
          <w:sz w:val="22"/>
          <w:szCs w:val="22"/>
        </w:rPr>
        <w:t>para garantir que todos os indivíduos, independentemente de suas crenças religiosas, tenham acesso a direitos iguais e proteção no âmbito familiar.</w:t>
      </w:r>
    </w:p>
    <w:p w14:paraId="21BA4824">
      <w:pPr>
        <w:pStyle w:val="11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b/>
          <w:color w:val="auto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Palavras chave: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 xml:space="preserve">Cristianismo, patriarcado, conservadorismo, imaginário, jurisprudência.  </w:t>
      </w:r>
    </w:p>
    <w:p w14:paraId="64BBC599">
      <w:pPr>
        <w:rPr>
          <w:rFonts w:hint="default" w:ascii="Arial" w:hAnsi="Arial" w:cs="Arial"/>
          <w:b/>
          <w:color w:val="auto"/>
          <w:sz w:val="22"/>
          <w:szCs w:val="22"/>
        </w:rPr>
      </w:pPr>
    </w:p>
    <w:p w14:paraId="19CD511E">
      <w:pPr>
        <w:rPr>
          <w:rFonts w:hint="default" w:ascii="Arial" w:hAnsi="Arial" w:cs="Arial"/>
          <w:b/>
          <w:color w:val="auto"/>
          <w:sz w:val="22"/>
          <w:szCs w:val="22"/>
        </w:rPr>
      </w:pPr>
      <w:r>
        <w:rPr>
          <w:rFonts w:hint="default" w:ascii="Arial" w:hAnsi="Arial" w:cs="Arial"/>
          <w:b/>
          <w:color w:val="auto"/>
          <w:sz w:val="22"/>
          <w:szCs w:val="22"/>
        </w:rPr>
        <w:t xml:space="preserve">INTRODUÇÃO </w:t>
      </w:r>
    </w:p>
    <w:p w14:paraId="44FE5BCA">
      <w:pPr>
        <w:rPr>
          <w:rFonts w:hint="default" w:ascii="Arial" w:hAnsi="Arial" w:cs="Arial"/>
          <w:color w:val="auto"/>
          <w:sz w:val="22"/>
          <w:szCs w:val="22"/>
        </w:rPr>
      </w:pPr>
    </w:p>
    <w:p w14:paraId="776B818D">
      <w:pPr>
        <w:pStyle w:val="14"/>
        <w:spacing w:after="0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Brasil, uma nova terra, que seria no imaginário popular circundada por estranhos seres e animais. Neste sentido, Laura Vergueiro (1981) comenta que, “ao lado da ilha das Sete Cidades e de tantas outras que povoaram o imaginário feudal, figurava a misteriosa ilha Brasil, de posição variável, situada em algum lugar do Atlântico” (VERGUEIRO, 1981, p. 7). Em tal perspectiva “os filósofos da Igreja logo aventaram a possibilidade de se achar nessas novas paragens o Paraíso Terrestre” (ibid, p. 7), ou seja, percebe-se uma tendência em se considerar, desde há muito, o Brasil como uma terra mítica, de salvação, o que demonstra uma marcante presença religiosa em sua formação. Dentro deste cenário se constroem os alicerces do catolicismo popular no Brasil</w:t>
      </w:r>
      <w:r>
        <w:rPr>
          <w:rStyle w:val="8"/>
          <w:rFonts w:hint="default" w:ascii="Arial" w:hAnsi="Arial" w:cs="Arial"/>
          <w:color w:val="auto"/>
          <w:sz w:val="22"/>
          <w:szCs w:val="22"/>
        </w:rPr>
        <w:footnoteReference w:id="1"/>
      </w:r>
      <w:r>
        <w:rPr>
          <w:rFonts w:hint="default" w:ascii="Arial" w:hAnsi="Arial" w:cs="Arial"/>
          <w:color w:val="auto"/>
          <w:sz w:val="22"/>
          <w:szCs w:val="22"/>
        </w:rPr>
        <w:t xml:space="preserve"> que, construirá os alicerces das relações sociais, do Estado e, consequentemente do ordenamento jurídico brasileiro. A construção do habitus do povo brasileiro está intimamente ligada ao habitus católico do começo do século XVI. </w:t>
      </w:r>
    </w:p>
    <w:p w14:paraId="6CA89DC6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b/>
          <w:color w:val="auto"/>
          <w:sz w:val="22"/>
          <w:szCs w:val="22"/>
        </w:rPr>
      </w:pP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Nesse sentido, a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evolução da regulação jurídica da família no Brasil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destaca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-se a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influência dos valores cristãos na formação das normas jurídicas e suas implicações ao longo do tempo.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É notória a i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nfluência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c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ristã na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l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egislação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.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Desde a primeira Constituição do Brasil, a influência cristã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especialmente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da Igreja Católica Apostólica Romana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foi marcante. Essa influência se manifestou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em textos tais como 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indissolubilidade do casamento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que permaneceu até a reforma legal de 1977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. Esse tempo nos revela uma resistência conservadora mesmo havendo durante as décadas alguns p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rogressos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j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urídicos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. Durante a d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écada de 1960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na ausência de legislação adequada 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jurisprudência avançou sob a liderança do ministro Victor Nunes Leal, com a elaboração da Súmula 380, que começou a reconhecer as relações não matrimoniais, chamadas "uniões fáticas".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O texto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Emenda Constitucional nº 9 (1977)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i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ntroduziu o divórcio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rompendo com a indissolubilidade do casamento e marcando uma nova era para 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d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ireito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f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amiliar no Brasil.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O avanço mais significativo acontecem com 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Constituição de 1988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,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estabelecendo o princípio da isonomia e promovendo uma abordagem mais igualitária nas relações familiares, embora ainda houvesse questões pendentes.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A lentidão e conservadorismo é percebido por exemplo, quando o n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ovo Código Civil de 2002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, c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riticado por alguns como "Novo/Velho", manteve elementos conservadores e influências do cristianismo católico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com deficiências em relação à igualdade e reconhecimento das uniões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homo-afetivas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Esse conservadorismo está alicerçado numa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Influência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r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eligiosa no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l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egislativo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especialmente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por existir uma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bancada evangélica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que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tem bloqueado reformas importantes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como o Estatuto das Famílias.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Nesse sentido, o p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apel do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j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udiciário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e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m face da estagnação legislativa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deve desempenhar um papel ativo na criação de jurisprudências que promovam a igualdade e a justiça social.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A evolução do Direito de Família no Brasil reflete uma luta constante entre valores conservadores e progressistas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com a influência da religião desempenhando um papel significativo na formação e reforma das normas jurídicas.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De tal modo,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quando 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l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egislativo falha em avançar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j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udiciário deve intervir para assegurar a equidade e o reconhecimento dos direitos das diversas configurações familiares.</w:t>
      </w:r>
    </w:p>
    <w:p w14:paraId="0D7EBD12">
      <w:pPr>
        <w:shd w:val="clear" w:color="auto" w:fill="FFFFFF"/>
        <w:spacing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</w:rPr>
      </w:pPr>
      <w:r>
        <w:rPr>
          <w:rFonts w:hint="default" w:ascii="Arial" w:hAnsi="Arial" w:cs="Arial"/>
          <w:b/>
          <w:color w:val="auto"/>
          <w:sz w:val="22"/>
          <w:szCs w:val="22"/>
        </w:rPr>
        <w:t xml:space="preserve">1. CONCEITO DE FAMÍLIAS </w:t>
      </w:r>
    </w:p>
    <w:p w14:paraId="7C673848">
      <w:pPr>
        <w:pStyle w:val="11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728D93AB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Para o cristianismo o núcleo familiar é umas das mais admiráveis criações de Deus. Para a história o núcleo familiar é uma das mais antigas instituições sociais existentes. No mundo contemporâneo este núcleo é resguardado pelos sistemas jurídicos vigentes, e, pode-se dizer, é considerado o responsável pela perpetuação da própria sociedade de maneira que a tutela estatal visa exatamente garantir a transmissão do patrimônio imaterial (valores, princípios, cultura) e material (herança) imanente a cada família que emerge do matrimônio.</w:t>
      </w:r>
    </w:p>
    <w:p w14:paraId="136B3CBE">
      <w:pPr>
        <w:pStyle w:val="11"/>
        <w:shd w:val="clear" w:color="auto" w:fill="FFFFFF"/>
        <w:spacing w:before="0" w:beforeAutospacing="0" w:after="0" w:afterAutospacing="0"/>
        <w:ind w:firstLine="840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375FB12C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Não é difícil perceber que as principais origens e a continuidade da instituição família coadunam-se ao elemento religioso, de maneira que este ultimo dita os parâmetros de como se dá a formação da família e dos demais aspectos que a caracterizam. Mesmo em Estados modernos ditos laicos, é possível perceber fortes traços de influência religiosa na delimitação do que se entende por família.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 xml:space="preserve">Nesse sentido, a maneira como o núcleo familiar é desenhado dentro de cada sistema jurídico diz respeito não apenas à produção legislativa do Estado, mas como a religião pensa este núcleo. Evidentemente, encontra-se neste ponto a dificuldade para construção e consolidação de famílias não padronizadas por esse cristianismo fabricado, isso interfere diretamente nas relações privadas dos indivíduos que desejam formar uma família ou se definem como tal.  </w:t>
      </w:r>
    </w:p>
    <w:p w14:paraId="237C23B9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Para elucidar a perspectiva em tela queremos sublinhar a ideia de habitus proposta por Pierre Bourdieu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. O </w:t>
      </w:r>
      <w:r>
        <w:rPr>
          <w:rFonts w:hint="default" w:ascii="Arial" w:hAnsi="Arial" w:cs="Arial"/>
          <w:color w:val="auto"/>
          <w:sz w:val="22"/>
          <w:szCs w:val="22"/>
        </w:rPr>
        <w:t>conceito de "habitus" desenvolvido por Pierre Bourdieu, que se refere à internalização de valores e princípios que moldam nosso estilo de vida e visão de mundo. O habitus é uma estrutura que existe tanto fora quanto dentro de nós, influenciando e sendo influenciado pelo meio social. Bourdieu argumenta que os indivíduos não são isolados das suas influências sociais, mas sim moldados por padrões e normas sociais enquanto também contribuem para a criação e manutenção desses padrões.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Além disso, o habitus está interligado ao conceito de "campo", indicando que os indivíduos operam dentro de contextos sociais específicos que definem suas práticas e pensamentos. Segundo Arduini, o habitus também pode ser visto como a forma como as respostas do indivíduo a estímulos sociais são moldadas por experiências passadas.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A perspectiva apresentada sugere que a maneira como instituições como o Estado e o sistema jurídico percebem a família é profundamente influenciada por valores religiosos internalizados. Esses valores moldam o conceito de família e podem restringir a liberdade individual, impondo normas e padrões específicos que refletem o habitus dominante na sociedade.</w:t>
      </w:r>
    </w:p>
    <w:p w14:paraId="2ED42D64">
      <w:pPr>
        <w:pStyle w:val="11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47476ADC">
      <w:pPr>
        <w:rPr>
          <w:rFonts w:hint="default" w:ascii="Arial" w:hAnsi="Arial" w:cs="Arial"/>
          <w:b/>
          <w:color w:val="auto"/>
          <w:sz w:val="22"/>
          <w:szCs w:val="22"/>
        </w:rPr>
      </w:pPr>
      <w:r>
        <w:rPr>
          <w:rFonts w:hint="default" w:ascii="Arial" w:hAnsi="Arial" w:cs="Arial"/>
          <w:b/>
          <w:color w:val="auto"/>
          <w:sz w:val="22"/>
          <w:szCs w:val="22"/>
        </w:rPr>
        <w:t>2. O SENTIDO DE SER DA FAMÍLIA</w:t>
      </w:r>
    </w:p>
    <w:p w14:paraId="65F39E34">
      <w:pPr>
        <w:pStyle w:val="11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</w:pPr>
    </w:p>
    <w:p w14:paraId="177B5329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Em tal perspectiva,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modelo patriarcal de família predominava no Brasil colonial e se perpetuou até o início do século XX, influenciando significativamente a estrutura social e familiar. Esse modelo era sustentado por princípios cristãos e se manifestava principalmente na forma da família latifundiária, mas também estava presente em contextos urbanos e entre diversas classes sociais, incluindo comerciantes, militares e profissionais liberais.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O p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atriarca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era a figura central e dominante, com controle absoluto sobre bens e pessoas na família. Sua autoridade se estendia para além dos laços sanguíneos, englobando também os empregados e outros indivíduos sob seu domínio.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Ainda acerca dos p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apéis de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g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ênero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, 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 mulher desempenhava um papel restrito, focado em manter a aparência de bons costumes e subordinação. Sua presença na vida pública era mínima, com limitações severas no acesso à educação e à participação social.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No início do século XX, em Pernambuco, por exemplo, as mulheres saíam de casa raramente e eram tratadas quase como troféus de seus maridos. Eram casadas muito jovens, muitas vezes aos 13 ou 14 anos, com maridos escolhidos pelos pais com base em critérios financeiros e culturais.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Por outro lado, o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s filhos masculinos tinham papéis definidos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. O f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ilho mais velho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h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erdava e administrava os bens paternos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, o s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egundo filho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eguia a carreira eclesiástica, uma prática herdada do período medieval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, o t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erceiro filho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p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rosseguia os estudos, geralmente em Direito ou Medicina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na capital.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Como legado a v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iolência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>s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imbólica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que 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modelo patriarcal impôs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 xml:space="preserve">sobre a organização familiar,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não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influenciaram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apenas as elites, mas também as classes médias. Essa imposição criou um habitus que internalizou essas normas e moldou as concepções de família na sociedade brasileira.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Em suma,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estrutura patriarcal da família brasileira colonial e pós-colonial moldou a sociedade de maneira duradoura, influenciando desde a organização familiar até a percepção pública dos papéis de gênero e das normas sociais.</w:t>
      </w:r>
    </w:p>
    <w:p w14:paraId="5099FABD">
      <w:pPr>
        <w:pStyle w:val="11"/>
        <w:shd w:val="clear" w:color="auto" w:fill="FFFFFF"/>
        <w:spacing w:before="0" w:beforeAutospacing="0" w:after="0" w:afterAutospacing="0" w:line="360" w:lineRule="auto"/>
        <w:jc w:val="both"/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</w:pPr>
    </w:p>
    <w:p w14:paraId="642F6B15">
      <w:pPr>
        <w:spacing w:line="360" w:lineRule="auto"/>
        <w:jc w:val="both"/>
        <w:rPr>
          <w:rFonts w:hint="default" w:ascii="Arial" w:hAnsi="Arial" w:cs="Arial"/>
          <w:b/>
          <w:color w:val="auto"/>
          <w:sz w:val="22"/>
          <w:szCs w:val="22"/>
        </w:rPr>
      </w:pPr>
      <w:r>
        <w:rPr>
          <w:rFonts w:hint="default" w:ascii="Arial" w:hAnsi="Arial" w:cs="Arial"/>
          <w:b/>
          <w:color w:val="auto"/>
          <w:sz w:val="22"/>
          <w:szCs w:val="22"/>
        </w:rPr>
        <w:t xml:space="preserve">3. CONCEPÇÕES RELIGIOSAS DE FAMÍLIA NO SISTEMA JURÍDICO E A LAICIDADE DO ESTADO NA DEFINIÇÃO DO NÚCLEO FAMILIAR </w:t>
      </w:r>
    </w:p>
    <w:p w14:paraId="15A41924">
      <w:pPr>
        <w:rPr>
          <w:rFonts w:hint="default" w:ascii="Arial" w:hAnsi="Arial" w:cs="Arial"/>
          <w:color w:val="auto"/>
          <w:sz w:val="22"/>
          <w:szCs w:val="22"/>
        </w:rPr>
      </w:pPr>
    </w:p>
    <w:p w14:paraId="4829644F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Partindo da premissa “</w:t>
      </w:r>
      <w:r>
        <w:rPr>
          <w:rFonts w:hint="default" w:ascii="Arial" w:hAnsi="Arial" w:cs="Arial"/>
          <w:i/>
          <w:color w:val="auto"/>
          <w:sz w:val="22"/>
          <w:szCs w:val="22"/>
        </w:rPr>
        <w:t>ubi societas, ibi jus</w:t>
      </w:r>
      <w:r>
        <w:rPr>
          <w:rFonts w:hint="default" w:ascii="Arial" w:hAnsi="Arial" w:cs="Arial"/>
          <w:color w:val="auto"/>
          <w:sz w:val="22"/>
          <w:szCs w:val="22"/>
        </w:rPr>
        <w:t>” que versa “onde existe o homem, há sociedade; onde existe sociedade, há Direito” nos impele a compreender a essencialidade de um Sistema Jurídico, que, necessita orbitar em torno de relações sociais. O Direito tem a finalidade de estar e intermediar as relações sociais. Em tal perspectiva, Maria Berenice Dias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 xml:space="preserve">afirma que: “a finalidade da lei não é imobilizar a vida, cristalizá-la, mas permanecer em contato com ela, segui-la em sua evolução e a ela se adaptar” (DIAS, 2007, p. 114). </w:t>
      </w:r>
    </w:p>
    <w:p w14:paraId="01E8024D">
      <w:pPr>
        <w:spacing w:line="360" w:lineRule="auto"/>
        <w:jc w:val="both"/>
        <w:rPr>
          <w:rFonts w:hint="default" w:ascii="Arial" w:hAnsi="Arial" w:cs="Arial"/>
          <w:color w:val="FF0000"/>
          <w:sz w:val="22"/>
          <w:szCs w:val="22"/>
        </w:rPr>
      </w:pPr>
    </w:p>
    <w:p w14:paraId="12627B28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eastAsia="SimSun" w:cs="Arial"/>
          <w:color w:val="auto"/>
          <w:sz w:val="22"/>
          <w:szCs w:val="22"/>
        </w:rPr>
        <w:t>O texto destaca que relações familiares, questões de afeto e religião são aspectos que o direito pode regular, refletindo a dinâmica do Estado. Essa regulação jurídica influencia diretamente as liberdades individuais, moldando comportamentos e restringindo certas práticas em favor de outras. De acordo com Maria Berenice Dias (2007), essas intervenções legais podem impactar profundamente a vida dos indivíduos, regulando e influenciando aspectos pessoais e sociais com base nas normas e valores prevalentes no ordenamento jurídico.</w:t>
      </w:r>
      <w:r>
        <w:rPr>
          <w:rFonts w:hint="default" w:ascii="Arial" w:hAnsi="Arial" w:eastAsia="SimSun" w:cs="Arial"/>
          <w:color w:val="auto"/>
          <w:sz w:val="22"/>
          <w:szCs w:val="22"/>
          <w:lang w:val="pt-BR"/>
        </w:rPr>
        <w:t xml:space="preserve"> De acordo com a autora: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“</w:t>
      </w:r>
      <w:r>
        <w:rPr>
          <w:rFonts w:hint="default" w:ascii="Arial" w:hAnsi="Arial" w:cs="Arial"/>
          <w:color w:val="auto"/>
          <w:sz w:val="22"/>
          <w:szCs w:val="22"/>
        </w:rPr>
        <w:t>Sob a justificativa de preservar a sociedade, impõe o Estado, ainda hoje, sanções e </w:t>
      </w:r>
      <w:r>
        <w:rPr>
          <w:rFonts w:hint="default" w:ascii="Arial" w:hAnsi="Arial" w:cs="Arial"/>
          <w:color w:val="auto"/>
          <w:sz w:val="22"/>
          <w:szCs w:val="22"/>
        </w:rPr>
        <w:fldChar w:fldCharType="begin"/>
      </w:r>
      <w:r>
        <w:rPr>
          <w:rFonts w:hint="default" w:ascii="Arial" w:hAnsi="Arial" w:cs="Arial"/>
          <w:color w:val="auto"/>
          <w:sz w:val="22"/>
          <w:szCs w:val="22"/>
        </w:rPr>
        <w:instrText xml:space="preserve"> HYPERLINK "https://jus.com.br/tudo/penas" </w:instrText>
      </w:r>
      <w:r>
        <w:rPr>
          <w:rFonts w:hint="default" w:ascii="Arial" w:hAnsi="Arial" w:cs="Arial"/>
          <w:color w:val="auto"/>
          <w:sz w:val="22"/>
          <w:szCs w:val="22"/>
        </w:rPr>
        <w:fldChar w:fldCharType="separate"/>
      </w:r>
      <w:r>
        <w:rPr>
          <w:rStyle w:val="9"/>
          <w:rFonts w:hint="default" w:ascii="Arial" w:hAnsi="Arial" w:cs="Arial"/>
          <w:color w:val="auto"/>
          <w:sz w:val="22"/>
          <w:szCs w:val="22"/>
          <w:u w:val="none"/>
        </w:rPr>
        <w:t>penas</w:t>
      </w:r>
      <w:r>
        <w:rPr>
          <w:rStyle w:val="9"/>
          <w:rFonts w:hint="default" w:ascii="Arial" w:hAnsi="Arial" w:cs="Arial"/>
          <w:color w:val="auto"/>
          <w:sz w:val="22"/>
          <w:szCs w:val="22"/>
          <w:u w:val="none"/>
        </w:rPr>
        <w:fldChar w:fldCharType="end"/>
      </w:r>
      <w:r>
        <w:rPr>
          <w:rFonts w:hint="default" w:ascii="Arial" w:hAnsi="Arial" w:cs="Arial"/>
          <w:color w:val="auto"/>
          <w:sz w:val="22"/>
          <w:szCs w:val="22"/>
        </w:rPr>
        <w:t xml:space="preserve"> a quem se afasta do parâmetro legal ou ousa comprometer a estabilidade das relações sociais. A tendência do legislador é de arvorar-se no papel de guardião dos </w:t>
      </w:r>
      <w:r>
        <w:rPr>
          <w:rFonts w:hint="default" w:ascii="Arial" w:hAnsi="Arial" w:cs="Arial"/>
          <w:b/>
          <w:color w:val="auto"/>
          <w:sz w:val="22"/>
          <w:szCs w:val="22"/>
        </w:rPr>
        <w:t>bons costumes</w:t>
      </w:r>
      <w:r>
        <w:rPr>
          <w:rFonts w:hint="default" w:ascii="Arial" w:hAnsi="Arial" w:cs="Arial"/>
          <w:color w:val="auto"/>
          <w:sz w:val="22"/>
          <w:szCs w:val="22"/>
        </w:rPr>
        <w:t xml:space="preserve">, buscando a preservação de uma </w:t>
      </w:r>
      <w:r>
        <w:rPr>
          <w:rFonts w:hint="default" w:ascii="Arial" w:hAnsi="Arial" w:cs="Arial"/>
          <w:b/>
          <w:color w:val="auto"/>
          <w:sz w:val="22"/>
          <w:szCs w:val="22"/>
        </w:rPr>
        <w:t>moral conservadora</w:t>
      </w:r>
      <w:r>
        <w:rPr>
          <w:rFonts w:hint="default" w:ascii="Arial" w:hAnsi="Arial" w:cs="Arial"/>
          <w:color w:val="auto"/>
          <w:sz w:val="22"/>
          <w:szCs w:val="22"/>
        </w:rPr>
        <w:t>. É o grande ditador que prescreve como as pessoas devem proceder, impondo condutas afinadas com o moralismo vigente. Limita-se a regulamentar os institutos socialmente aceitáveis e, com isso, acaba refugiando-se em preconceitos. Qualquer agir que se diferencie do parâmetro estabelecido é tido como inexistente por ausência de referendo legal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”</w:t>
      </w:r>
      <w:r>
        <w:rPr>
          <w:rFonts w:hint="default" w:ascii="Arial" w:hAnsi="Arial" w:cs="Arial"/>
          <w:color w:val="auto"/>
          <w:sz w:val="22"/>
          <w:szCs w:val="22"/>
        </w:rPr>
        <w:t xml:space="preserve"> (DIAS, 2007, p. 108, grifo nosso). </w:t>
      </w:r>
    </w:p>
    <w:p w14:paraId="67BE839B">
      <w:pPr>
        <w:shd w:val="clear" w:color="auto" w:fill="FFFFFF"/>
        <w:ind w:firstLine="480"/>
        <w:jc w:val="both"/>
        <w:rPr>
          <w:rFonts w:hint="default" w:ascii="Arial" w:hAnsi="Arial" w:eastAsia="Times New Roman" w:cs="Arial"/>
          <w:color w:val="auto"/>
          <w:sz w:val="22"/>
          <w:szCs w:val="22"/>
        </w:rPr>
      </w:pPr>
    </w:p>
    <w:p w14:paraId="64EE64C0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A nossa </w:t>
      </w:r>
      <w:r>
        <w:rPr>
          <w:rFonts w:hint="default" w:ascii="Arial" w:hAnsi="Arial" w:cs="Arial"/>
          <w:color w:val="auto"/>
          <w:sz w:val="22"/>
          <w:szCs w:val="22"/>
        </w:rPr>
        <w:t>analis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e de</w:t>
      </w:r>
      <w:r>
        <w:rPr>
          <w:rFonts w:hint="default" w:ascii="Arial" w:hAnsi="Arial" w:cs="Arial"/>
          <w:color w:val="auto"/>
          <w:sz w:val="22"/>
          <w:szCs w:val="22"/>
        </w:rPr>
        <w:t xml:space="preserve"> como a moral conservadora e os "bons costumes" predominantes na definição das relações familiares são profundamente influenciados por uma cultura religiosa cristã. A definição tradicional de "família" como um casal heterossexual com filhos reflete essa influência religiosa, e os valores cristãos moldam a moral e a ética que orientam o sistema jurídico.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O argumento central é que as origens dos sistemas jurídicos estão imersas em contextos religiosos, tornando difícil separar a moralidade e ética religiosa da estrutura legal, mesmo em estados laicos. A influência do patriarcalismo, originado do Judaísmo e consolidado pelo cristianismo, moldou a organização social e o sistema jurídico desde a antiguidade. A oficialização do cristianismo pelo Império Romano, com o apoio do imperador Constantino, reforçou ainda mais esses valores patriarcais e a visão tradicional da família.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Além disso, a Igreja cristã, como uma instituição histórica e política, desempenhou um papel crucial na consolidação dessas ideias, reafirmando a monogamia e a estrutura familiar tradicional como um núcleo social fundamental. A influência da Igreja persistiu ao longo dos séculos, moldando normas sociais e jurídicas relacionadas à família e à moralidade.</w:t>
      </w:r>
    </w:p>
    <w:p w14:paraId="3DEFDDBD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 Nesse sentido de acordo com Barros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: “</w:t>
      </w:r>
      <w:r>
        <w:rPr>
          <w:rFonts w:hint="default" w:ascii="Arial" w:hAnsi="Arial" w:cs="Arial"/>
          <w:color w:val="auto"/>
          <w:sz w:val="22"/>
          <w:szCs w:val="22"/>
        </w:rPr>
        <w:t>o elemento basilar da sociedade não é o indivíduo, mas sim a entidade familiar monogâmica, parental, patriarcal, patrimonial, isto é, a tradicional família romana, que veio a ser recepcionada pelo cristianismo medieval, que a reduziu à família nuclear, consagrando como família-modelo o pai, a mãe e o filho. Essa concepção restritiva da família bem servia, no plano ideológico, para justificar o domínio das terras pelos patriarcas antigos e, depois, pelos senhores feudais, corroborando a idéia-força de que a família patriarcal e senhorial é a base da sociedade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”</w:t>
      </w:r>
      <w:r>
        <w:rPr>
          <w:rFonts w:hint="default" w:ascii="Arial" w:hAnsi="Arial" w:cs="Arial"/>
          <w:color w:val="auto"/>
          <w:sz w:val="22"/>
          <w:szCs w:val="22"/>
        </w:rPr>
        <w:t xml:space="preserve"> (BARROS, 2002, p.33).         </w:t>
      </w:r>
    </w:p>
    <w:p w14:paraId="22D8E114">
      <w:pPr>
        <w:shd w:val="clear" w:color="auto" w:fill="FFFFFF"/>
        <w:ind w:firstLine="480"/>
        <w:jc w:val="both"/>
        <w:rPr>
          <w:rFonts w:hint="default" w:ascii="Arial" w:hAnsi="Arial" w:eastAsia="Times New Roman" w:cs="Arial"/>
          <w:color w:val="auto"/>
          <w:sz w:val="22"/>
          <w:szCs w:val="22"/>
        </w:rPr>
      </w:pPr>
      <w:r>
        <w:rPr>
          <w:rFonts w:hint="default" w:ascii="Arial" w:hAnsi="Arial" w:eastAsia="Times New Roman" w:cs="Arial"/>
          <w:color w:val="auto"/>
          <w:sz w:val="22"/>
          <w:szCs w:val="22"/>
        </w:rPr>
        <w:t> </w:t>
      </w:r>
    </w:p>
    <w:p w14:paraId="0614C43B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O texto argumenta que a concepção tradicional de família, formada em torno de valores patriarcais, monogâmicos e heterossexuais, é fortemente respaldada por passagens do Novo Testamento da Bíblia cristã. Exemplos incluem: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as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Epístola aos Efésios 5:22-24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: O Apóstolo Paulo instrui as mulheres a se submeterem aos maridos, comparando a relação marido-mulher à relação entre Cristo e a Igreja, onde Cristo é o líder e salvador.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Timóteo 2:11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: Paulo recomenda que as mulheres aprendam em silêncio e com submissão, reforçando a ideia de submissão feminina.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Timóteo 3:12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: O texto sugere que diáconos devem ser "maridos de uma só mulher," sublinhando a monogamia como um valor importante.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Style w:val="6"/>
          <w:rFonts w:hint="default" w:ascii="Arial" w:hAnsi="Arial" w:cs="Arial"/>
          <w:b w:val="0"/>
          <w:bCs w:val="0"/>
          <w:color w:val="auto"/>
          <w:sz w:val="22"/>
          <w:szCs w:val="22"/>
        </w:rPr>
        <w:t>Gênesis 1:28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: A instrução para "crescer e multiplicar" é interpretada como uma orientação para a reprodução dentro de relacionamentos heterossexuais.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color w:val="auto"/>
          <w:sz w:val="22"/>
          <w:szCs w:val="22"/>
        </w:rPr>
        <w:t>Esses textos contribuem para uma visão patriarcal e monogâmica da família, que tem sido incorporada ao habitus da sociedade cristã e influenciado normas e práticas jurídicas relacionadas à estrutura familiar.</w:t>
      </w:r>
    </w:p>
    <w:p w14:paraId="353A1CCE">
      <w:pPr>
        <w:pStyle w:val="11"/>
        <w:keepNext w:val="0"/>
        <w:keepLines w:val="0"/>
        <w:widowControl/>
        <w:suppressLineNumbers w:val="0"/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Nesse sentido os </w:t>
      </w:r>
      <w:r>
        <w:rPr>
          <w:rFonts w:hint="default" w:ascii="Arial" w:hAnsi="Arial" w:cs="Arial"/>
          <w:color w:val="auto"/>
          <w:sz w:val="22"/>
          <w:szCs w:val="22"/>
        </w:rPr>
        <w:t>valores e práticas da antiguidade, especialmente os influenciados pelo Direito Canônico e pela Igreja Católica, continuaram a moldar as normas sociais e jurídicas até a era moderna. Durante a Idade Média (476-1476 d.C.), a Igreja Católica teve um papel central na formação do ordenamento jurídico, e essa influência persiste até os dias atuais, mesmo após a Revolução Francesa e o movimento em direção à laicização do Estado.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Apesar das mudanças rumo à secularização, o impacto da moral e da ética judaico-cristã no direito e na concepção da família foi profundo e duradouro. As normas jurídicas modernas, que inicialmente se basearam fortemente em princípios religiosos, só começaram a se desvincular de concepções religiosas na segunda metade do século XX. Até então, a formação dos núcleos familiares e as normas associadas a eles ainda eram amplamente moldadas por preceitos religiosos, limitando a expressão da afetividade e mantendo uma visão tradicional e conservadora da estrutura familiar. A persistente influência da ética judaico-cristã e da autoridade da Igreja Católica evidenciam a dificuldade de separar completamente as normas jurídicas modernas de suas raízes religiosas.</w:t>
      </w:r>
    </w:p>
    <w:p w14:paraId="0CCA6C48">
      <w:pPr>
        <w:rPr>
          <w:rFonts w:hint="default" w:ascii="Arial" w:hAnsi="Arial" w:cs="Arial"/>
          <w:b/>
          <w:color w:val="auto"/>
          <w:sz w:val="22"/>
          <w:szCs w:val="22"/>
        </w:rPr>
      </w:pPr>
    </w:p>
    <w:p w14:paraId="724556D2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b/>
          <w:color w:val="auto"/>
          <w:sz w:val="22"/>
          <w:szCs w:val="22"/>
          <w:lang w:val="pt-BR"/>
        </w:rPr>
        <w:t>4</w:t>
      </w:r>
      <w:r>
        <w:rPr>
          <w:rFonts w:hint="default" w:ascii="Arial" w:hAnsi="Arial" w:cs="Arial"/>
          <w:b/>
          <w:color w:val="auto"/>
          <w:sz w:val="22"/>
          <w:szCs w:val="22"/>
        </w:rPr>
        <w:t>. CONSIDERAÇÕES FINAIS</w:t>
      </w:r>
      <w:bookmarkStart w:id="0" w:name="_GoBack"/>
      <w:bookmarkEnd w:id="0"/>
    </w:p>
    <w:p w14:paraId="7F43846B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01BCFD69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Em suma, </w:t>
      </w:r>
      <w:r>
        <w:rPr>
          <w:rFonts w:hint="default" w:ascii="Arial" w:hAnsi="Arial" w:cs="Arial"/>
          <w:color w:val="auto"/>
          <w:sz w:val="22"/>
          <w:szCs w:val="22"/>
        </w:rPr>
        <w:t>é racional perceber que existem traços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valores e elementos morais originários do cristianismo na sociedade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uma vez que, tais mecanismos foram incorporados pelo Estado como arcabouço para produção de normas que se solidificam e permanecem até a atualidade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mesmo que implicitamente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no ordenamento jurídico. Estes valores uma vez inte</w:t>
      </w:r>
      <w:r>
        <w:rPr>
          <w:rFonts w:hint="default" w:ascii="Arial" w:hAnsi="Arial" w:cs="Arial"/>
          <w:color w:val="auto"/>
          <w:sz w:val="22"/>
          <w:szCs w:val="22"/>
          <w:highlight w:val="none"/>
        </w:rPr>
        <w:t>rnalizados pelo habitus da sociedade, dificilmente será possível desagregá-los por completo do ordenamento jurídico.</w:t>
      </w:r>
      <w:r>
        <w:rPr>
          <w:rFonts w:hint="default" w:ascii="Arial" w:hAnsi="Arial" w:cs="Arial"/>
          <w:color w:val="auto"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Contudo, é </w:t>
      </w:r>
      <w:r>
        <w:rPr>
          <w:rFonts w:hint="default" w:ascii="Arial" w:hAnsi="Arial" w:cs="Arial"/>
          <w:color w:val="auto"/>
          <w:sz w:val="22"/>
          <w:szCs w:val="22"/>
        </w:rPr>
        <w:t xml:space="preserve">imprescindível que se compreenda a sociedade na época atual numa perspectiva apartada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do conservadorismo. É s</w:t>
      </w:r>
      <w:r>
        <w:rPr>
          <w:rFonts w:hint="default" w:ascii="Arial" w:hAnsi="Arial" w:cs="Arial"/>
          <w:color w:val="auto"/>
          <w:sz w:val="22"/>
          <w:szCs w:val="22"/>
        </w:rPr>
        <w:t>alutar perceber que a função do Direito é também agir em uma perspectiva não confessional e, portanto, não apologética, nesse sentido, é prudente considerar que o elemento basilar a ser considerado na concepção da instituição família é o afeto. Ora, este deve ser o vínculo principal que justifique a união de duas pessoas em torno da comunhão de vidas, como afirma Maria Berenice Dias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“</w:t>
      </w:r>
      <w:r>
        <w:rPr>
          <w:rFonts w:hint="default" w:ascii="Arial" w:hAnsi="Arial" w:cs="Arial"/>
          <w:color w:val="auto"/>
          <w:sz w:val="22"/>
          <w:szCs w:val="22"/>
        </w:rPr>
        <w:t xml:space="preserve">a afetividade é o princípio que fundamenta o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d</w:t>
      </w:r>
      <w:r>
        <w:rPr>
          <w:rFonts w:hint="default" w:ascii="Arial" w:hAnsi="Arial" w:cs="Arial"/>
          <w:color w:val="auto"/>
          <w:sz w:val="22"/>
          <w:szCs w:val="22"/>
        </w:rPr>
        <w:t xml:space="preserve">ireito de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f</w:t>
      </w:r>
      <w:r>
        <w:rPr>
          <w:rFonts w:hint="default" w:ascii="Arial" w:hAnsi="Arial" w:cs="Arial"/>
          <w:color w:val="auto"/>
          <w:sz w:val="22"/>
          <w:szCs w:val="22"/>
        </w:rPr>
        <w:t>amília na estabilidade das relações socioafetivas e na comunhão de vida, com primazia em face de considerações de caráter patrimonial ou biológico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”. </w:t>
      </w:r>
    </w:p>
    <w:p w14:paraId="54E4E2DE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  <w:lang w:val="pt-BR"/>
        </w:rPr>
      </w:pPr>
    </w:p>
    <w:p w14:paraId="04899A3F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Nesse sentido, podemos afirmar que em </w:t>
      </w:r>
      <w:r>
        <w:rPr>
          <w:rFonts w:hint="default" w:ascii="Arial" w:hAnsi="Arial" w:cs="Arial"/>
          <w:color w:val="auto"/>
          <w:sz w:val="22"/>
          <w:szCs w:val="22"/>
        </w:rPr>
        <w:t xml:space="preserve">sociedades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modernas urgem </w:t>
      </w:r>
      <w:r>
        <w:rPr>
          <w:rFonts w:hint="default" w:ascii="Arial" w:hAnsi="Arial" w:cs="Arial"/>
          <w:color w:val="auto"/>
          <w:sz w:val="22"/>
          <w:szCs w:val="22"/>
        </w:rPr>
        <w:t xml:space="preserve">cada vez mais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a necessidade destas se tornarem </w:t>
      </w:r>
      <w:r>
        <w:rPr>
          <w:rFonts w:hint="default" w:ascii="Arial" w:hAnsi="Arial" w:cs="Arial"/>
          <w:color w:val="auto"/>
          <w:sz w:val="22"/>
          <w:szCs w:val="22"/>
        </w:rPr>
        <w:t xml:space="preserve">inclusivas, a compreensão e a proteção dos direitos de indivíduos que se identificam com diferentes orientações sexuais e identidades de gênero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necessitam deste amparo</w:t>
      </w:r>
      <w:r>
        <w:rPr>
          <w:rFonts w:hint="default" w:ascii="Arial" w:hAnsi="Arial" w:cs="Arial"/>
          <w:color w:val="auto"/>
          <w:sz w:val="22"/>
          <w:szCs w:val="22"/>
        </w:rPr>
        <w:t>. No direito de família isso se traduz na necessidade de adaptar legislações e práticas para garantir a igualdade de direitos e o respeito à diversidade.</w:t>
      </w:r>
    </w:p>
    <w:p w14:paraId="219F05AA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  <w:highlight w:val="none"/>
        </w:rPr>
      </w:pPr>
    </w:p>
    <w:p w14:paraId="40215934">
      <w:pPr>
        <w:spacing w:line="360" w:lineRule="auto"/>
        <w:jc w:val="both"/>
        <w:rPr>
          <w:rFonts w:hint="default" w:ascii="Arial" w:hAnsi="Arial" w:cs="Arial"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color w:val="auto"/>
          <w:sz w:val="22"/>
          <w:szCs w:val="22"/>
        </w:rPr>
        <w:t>Historicamente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o direito de família foi construído com base em modelos tradicionais de família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excluindo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e </w:t>
      </w:r>
      <w:r>
        <w:rPr>
          <w:rFonts w:hint="default" w:ascii="Arial" w:hAnsi="Arial" w:cs="Arial"/>
          <w:color w:val="auto"/>
          <w:sz w:val="22"/>
          <w:szCs w:val="22"/>
        </w:rPr>
        <w:t>marginalizando indivíduos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que não se encaixam na heteronormatividade. </w:t>
      </w:r>
      <w:r>
        <w:rPr>
          <w:rFonts w:hint="default" w:ascii="Arial" w:hAnsi="Arial" w:cs="Arial"/>
          <w:color w:val="auto"/>
          <w:sz w:val="22"/>
          <w:szCs w:val="22"/>
        </w:rPr>
        <w:t>No entanto, nas últimas décadas, houv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eram</w:t>
      </w:r>
      <w:r>
        <w:rPr>
          <w:rFonts w:hint="default" w:ascii="Arial" w:hAnsi="Arial" w:cs="Arial"/>
          <w:color w:val="auto"/>
          <w:sz w:val="22"/>
          <w:szCs w:val="22"/>
        </w:rPr>
        <w:t xml:space="preserve"> avanços significativos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. </w:t>
      </w:r>
      <w:r>
        <w:rPr>
          <w:rFonts w:hint="default" w:ascii="Arial" w:hAnsi="Arial" w:cs="Arial"/>
          <w:color w:val="auto"/>
          <w:sz w:val="22"/>
          <w:szCs w:val="22"/>
        </w:rPr>
        <w:t>Essa evolução reflete uma mudança social mais ampla em direção à aceitação e ao reconhecimento da diversidade.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Em tal perspectiva, a </w:t>
      </w:r>
      <w:r>
        <w:rPr>
          <w:rFonts w:hint="default" w:ascii="Arial" w:hAnsi="Arial" w:cs="Arial"/>
          <w:color w:val="auto"/>
          <w:sz w:val="22"/>
          <w:szCs w:val="22"/>
        </w:rPr>
        <w:t xml:space="preserve">legislação deve assegurar que todos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os modelos de </w:t>
      </w:r>
      <w:r>
        <w:rPr>
          <w:rFonts w:hint="default" w:ascii="Arial" w:hAnsi="Arial" w:cs="Arial"/>
          <w:color w:val="auto"/>
          <w:sz w:val="22"/>
          <w:szCs w:val="22"/>
        </w:rPr>
        <w:t>família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tenham acesso aos mesmos direitos e proteções. Isso inclui questões como a guarda de filhos, herança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e reconhecimento de parentalidade. Além disso, é fundamental que os profissionais do direito e os sistemas judiciais estejam preparados para lidar com casos que envolvam diversidade sexual de maneira sensível e informada.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Nesse sentido, faz-se necessária a </w:t>
      </w:r>
      <w:r>
        <w:rPr>
          <w:rFonts w:hint="default" w:ascii="Arial" w:hAnsi="Arial" w:cs="Arial"/>
          <w:color w:val="auto"/>
          <w:sz w:val="22"/>
          <w:szCs w:val="22"/>
        </w:rPr>
        <w:t xml:space="preserve"> contínua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evolução das leis e das práticas jurídicas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 xml:space="preserve">para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assegurar </w:t>
      </w:r>
      <w:r>
        <w:rPr>
          <w:rFonts w:hint="default" w:ascii="Arial" w:hAnsi="Arial" w:cs="Arial"/>
          <w:color w:val="auto"/>
          <w:sz w:val="22"/>
          <w:szCs w:val="22"/>
        </w:rPr>
        <w:t>que todas as famílias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independentemente de sua configuração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sejam tratadas com dignidade e equidade.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 xml:space="preserve"> </w:t>
      </w:r>
    </w:p>
    <w:p w14:paraId="025BF2F5">
      <w:pPr>
        <w:rPr>
          <w:rFonts w:hint="default" w:ascii="Arial" w:hAnsi="Arial" w:eastAsia="Times New Roman" w:cs="Arial"/>
          <w:color w:val="auto"/>
          <w:sz w:val="22"/>
          <w:szCs w:val="22"/>
        </w:rPr>
      </w:pPr>
    </w:p>
    <w:p w14:paraId="0C836CBF">
      <w:pPr>
        <w:rPr>
          <w:rFonts w:hint="default" w:ascii="Arial" w:hAnsi="Arial" w:cs="Arial"/>
          <w:color w:val="auto"/>
          <w:sz w:val="22"/>
          <w:szCs w:val="22"/>
        </w:rPr>
      </w:pPr>
    </w:p>
    <w:p w14:paraId="352434D3">
      <w:pPr>
        <w:rPr>
          <w:rFonts w:hint="default" w:ascii="Arial" w:hAnsi="Arial" w:cs="Arial"/>
          <w:b/>
          <w:color w:val="auto"/>
          <w:sz w:val="22"/>
          <w:szCs w:val="22"/>
          <w:lang w:val="pt-BR"/>
        </w:rPr>
      </w:pPr>
      <w:r>
        <w:rPr>
          <w:rFonts w:hint="default" w:ascii="Arial" w:hAnsi="Arial" w:cs="Arial"/>
          <w:b/>
          <w:color w:val="auto"/>
          <w:sz w:val="22"/>
          <w:szCs w:val="22"/>
          <w:lang w:val="pt-BR"/>
        </w:rPr>
        <w:t xml:space="preserve">REFERENCIAS: </w:t>
      </w:r>
    </w:p>
    <w:p w14:paraId="085FE005">
      <w:pPr>
        <w:pStyle w:val="21"/>
        <w:rPr>
          <w:rFonts w:hint="default" w:ascii="Arial" w:hAnsi="Arial" w:cs="Arial"/>
          <w:color w:val="auto"/>
          <w:sz w:val="22"/>
          <w:szCs w:val="22"/>
        </w:rPr>
      </w:pPr>
    </w:p>
    <w:p w14:paraId="4A29BD3D">
      <w:pPr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21059CB7">
      <w:pPr>
        <w:pStyle w:val="21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ARDUINI, Guilherme Ramalho</w:t>
      </w:r>
      <w:r>
        <w:rPr>
          <w:rStyle w:val="28"/>
          <w:rFonts w:hint="default" w:ascii="Arial" w:hAnsi="Arial" w:cs="Arial"/>
          <w:iCs/>
          <w:color w:val="auto"/>
          <w:sz w:val="22"/>
          <w:szCs w:val="22"/>
        </w:rPr>
        <w:t xml:space="preserve">. </w:t>
      </w:r>
      <w:r>
        <w:rPr>
          <w:rFonts w:hint="default" w:ascii="Arial" w:hAnsi="Arial" w:cs="Arial"/>
          <w:b/>
          <w:color w:val="auto"/>
          <w:sz w:val="22"/>
          <w:szCs w:val="22"/>
        </w:rPr>
        <w:t>Centro Dom Vital e o campo intelectual brasileiro (anos 1930).</w:t>
      </w:r>
      <w:r>
        <w:rPr>
          <w:rFonts w:hint="default" w:ascii="Arial" w:hAnsi="Arial" w:cs="Arial"/>
          <w:color w:val="auto"/>
          <w:sz w:val="22"/>
          <w:szCs w:val="22"/>
        </w:rPr>
        <w:t xml:space="preserve"> </w:t>
      </w:r>
      <w:r>
        <w:rPr>
          <w:rStyle w:val="27"/>
          <w:rFonts w:hint="default" w:ascii="Arial" w:hAnsi="Arial" w:cs="Arial"/>
          <w:iCs/>
          <w:color w:val="auto"/>
          <w:sz w:val="22"/>
          <w:szCs w:val="22"/>
        </w:rPr>
        <w:t>Trabalho apresentado no XII Simpósio da ABHR, 31/05 – 03/06 de 2011, Juiz de Fora (MG). GT 03:</w:t>
      </w:r>
      <w:r>
        <w:rPr>
          <w:rFonts w:hint="default" w:ascii="Arial" w:hAnsi="Arial" w:cs="Arial"/>
          <w:color w:val="auto"/>
          <w:sz w:val="22"/>
          <w:szCs w:val="22"/>
        </w:rPr>
        <w:t xml:space="preserve"> Religião e política: o saber religioso da política e o saber político do religioso.</w:t>
      </w:r>
    </w:p>
    <w:p w14:paraId="668470DE">
      <w:pPr>
        <w:pStyle w:val="21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BARROS, Sérgio Resende de.  </w:t>
      </w:r>
      <w:r>
        <w:rPr>
          <w:rFonts w:hint="default" w:ascii="Arial" w:hAnsi="Arial" w:cs="Arial"/>
          <w:b/>
          <w:color w:val="auto"/>
          <w:sz w:val="22"/>
          <w:szCs w:val="22"/>
        </w:rPr>
        <w:t>A ideologia do afeto</w:t>
      </w:r>
      <w:r>
        <w:rPr>
          <w:rFonts w:hint="default" w:ascii="Arial" w:hAnsi="Arial" w:cs="Arial"/>
          <w:color w:val="auto"/>
          <w:sz w:val="22"/>
          <w:szCs w:val="22"/>
        </w:rPr>
        <w:t>. In Revista Brasileira de Direito de Família – RBDFam, Porto Alegre: Síntese/IBDFAM, n.14, 2002.</w:t>
      </w:r>
    </w:p>
    <w:p w14:paraId="13989F3E">
      <w:pPr>
        <w:pStyle w:val="21"/>
        <w:rPr>
          <w:rFonts w:hint="default" w:ascii="Arial" w:hAnsi="Arial" w:eastAsia="SimSun" w:cs="Arial"/>
          <w:color w:val="auto"/>
          <w:sz w:val="22"/>
          <w:szCs w:val="22"/>
          <w:lang w:eastAsia="zh-CN"/>
        </w:rPr>
      </w:pPr>
      <w:r>
        <w:rPr>
          <w:rFonts w:hint="default" w:ascii="Arial" w:hAnsi="Arial" w:cs="Arial"/>
          <w:bCs/>
          <w:color w:val="auto"/>
          <w:sz w:val="22"/>
          <w:szCs w:val="22"/>
          <w:lang w:val="fr-FR"/>
        </w:rPr>
        <w:t>BOURDIEU, Pierre</w:t>
      </w:r>
      <w:r>
        <w:rPr>
          <w:rFonts w:hint="default"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hint="default" w:ascii="Arial" w:hAnsi="Arial" w:eastAsia="SimSun" w:cs="Arial"/>
          <w:b/>
          <w:color w:val="auto"/>
          <w:sz w:val="22"/>
          <w:szCs w:val="22"/>
          <w:lang w:eastAsia="zh-CN"/>
        </w:rPr>
        <w:t>O poder simbólico</w:t>
      </w:r>
      <w:r>
        <w:rPr>
          <w:rFonts w:hint="default" w:ascii="Arial" w:hAnsi="Arial" w:eastAsia="SimSun" w:cs="Arial"/>
          <w:color w:val="auto"/>
          <w:sz w:val="22"/>
          <w:szCs w:val="22"/>
          <w:lang w:eastAsia="zh-CN"/>
        </w:rPr>
        <w:t>. 15. ed. Rio de Janeiro: Bertrand Brasil, 2011.</w:t>
      </w:r>
    </w:p>
    <w:p w14:paraId="5C80066F">
      <w:pPr>
        <w:pStyle w:val="21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DIAS, Maria Berenice. </w:t>
      </w:r>
      <w:r>
        <w:rPr>
          <w:rFonts w:hint="default" w:ascii="Arial" w:hAnsi="Arial" w:cs="Arial"/>
          <w:b/>
          <w:color w:val="auto"/>
          <w:sz w:val="22"/>
          <w:szCs w:val="22"/>
        </w:rPr>
        <w:t>A ética na jurisdição de família</w:t>
      </w:r>
      <w:r>
        <w:rPr>
          <w:rFonts w:hint="default" w:ascii="Arial" w:hAnsi="Arial" w:cs="Arial"/>
          <w:color w:val="auto"/>
          <w:sz w:val="22"/>
          <w:szCs w:val="22"/>
        </w:rPr>
        <w:t xml:space="preserve">.  Revista de Direito do Tribunal de Justiça do Estado do Rio de Janeiro, n. 68, 2007. </w:t>
      </w:r>
    </w:p>
    <w:p w14:paraId="208B8B67">
      <w:pPr>
        <w:pStyle w:val="21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PAULO, Vicente; ALEXANDRINO, Marcelo. </w:t>
      </w:r>
      <w:r>
        <w:rPr>
          <w:rFonts w:hint="default" w:ascii="Arial" w:hAnsi="Arial" w:cs="Arial"/>
          <w:b/>
          <w:color w:val="auto"/>
          <w:sz w:val="22"/>
          <w:szCs w:val="22"/>
        </w:rPr>
        <w:t>Direito constitucional descomplicado</w:t>
      </w:r>
      <w:r>
        <w:rPr>
          <w:rFonts w:hint="default" w:ascii="Arial" w:hAnsi="Arial" w:cs="Arial"/>
          <w:color w:val="auto"/>
          <w:sz w:val="22"/>
          <w:szCs w:val="22"/>
        </w:rPr>
        <w:t>. Rio de Janeiro: Impetus, 2008.</w:t>
      </w:r>
    </w:p>
    <w:p w14:paraId="0102D690">
      <w:pPr>
        <w:pStyle w:val="21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eastAsia="SimSun" w:cs="Arial"/>
          <w:color w:val="auto"/>
          <w:sz w:val="22"/>
          <w:szCs w:val="22"/>
          <w:lang w:eastAsia="zh-CN"/>
        </w:rPr>
        <w:t xml:space="preserve">MAINWARING, Scott. </w:t>
      </w:r>
      <w:r>
        <w:rPr>
          <w:rFonts w:hint="default" w:ascii="Arial" w:hAnsi="Arial" w:eastAsia="SimSun" w:cs="Arial"/>
          <w:b/>
          <w:color w:val="auto"/>
          <w:sz w:val="22"/>
          <w:szCs w:val="22"/>
          <w:lang w:eastAsia="zh-CN"/>
        </w:rPr>
        <w:t>Igreja Católica e política no Brasil</w:t>
      </w:r>
      <w:r>
        <w:rPr>
          <w:rFonts w:hint="default" w:ascii="Arial" w:hAnsi="Arial" w:eastAsia="SimSun" w:cs="Arial"/>
          <w:color w:val="auto"/>
          <w:sz w:val="22"/>
          <w:szCs w:val="22"/>
          <w:lang w:eastAsia="zh-CN"/>
        </w:rPr>
        <w:t>, 1916-1985. São Paulo: Brasiliense, 2004.</w:t>
      </w:r>
      <w:r>
        <w:rPr>
          <w:rFonts w:hint="default" w:ascii="Arial" w:hAnsi="Arial" w:cs="Arial"/>
          <w:color w:val="auto"/>
          <w:sz w:val="22"/>
          <w:szCs w:val="22"/>
        </w:rPr>
        <w:t xml:space="preserve"> </w:t>
      </w:r>
    </w:p>
    <w:p w14:paraId="611A9D1E">
      <w:pPr>
        <w:pStyle w:val="21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MARQUES, Luiz Carlos Luz. </w:t>
      </w:r>
      <w:r>
        <w:rPr>
          <w:rFonts w:hint="default" w:ascii="Arial" w:hAnsi="Arial" w:cs="Arial"/>
          <w:b/>
          <w:color w:val="auto"/>
          <w:sz w:val="22"/>
          <w:szCs w:val="22"/>
        </w:rPr>
        <w:t>Operadores Sociais do Sagrado</w:t>
      </w:r>
      <w:r>
        <w:rPr>
          <w:rFonts w:hint="default" w:ascii="Arial" w:hAnsi="Arial" w:cs="Arial"/>
          <w:color w:val="auto"/>
          <w:sz w:val="22"/>
          <w:szCs w:val="22"/>
        </w:rPr>
        <w:t>: Direito e Deveres Civis. Revista de Teologia e Ciências da Religião da UNICAP – v.1. n.1. p. 217-226. 2012</w:t>
      </w:r>
    </w:p>
    <w:p w14:paraId="72F9454F">
      <w:pPr>
        <w:pStyle w:val="21"/>
        <w:jc w:val="both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OLIVEIRA, Pablo Matheus Andrade Trajano de. </w:t>
      </w:r>
      <w:r>
        <w:rPr>
          <w:rFonts w:hint="default" w:ascii="Arial" w:hAnsi="Arial" w:cs="Arial"/>
          <w:b/>
          <w:color w:val="auto"/>
          <w:sz w:val="22"/>
          <w:szCs w:val="22"/>
        </w:rPr>
        <w:t>REVISTA VIDA:</w:t>
      </w:r>
      <w:r>
        <w:rPr>
          <w:rFonts w:hint="default" w:ascii="Arial" w:hAnsi="Arial" w:cs="Arial"/>
          <w:color w:val="auto"/>
          <w:sz w:val="22"/>
          <w:szCs w:val="22"/>
        </w:rPr>
        <w:t xml:space="preserve"> o habitus católico e o tempo do homem. Dissertação de Mestrado. Programa de Pós Graduação em Ciências das Religiões. Universidade Federal da Paraíba. PPGCR-UFPB, João Pessoa, 2019.  </w:t>
      </w:r>
    </w:p>
    <w:p w14:paraId="7956504F">
      <w:pPr>
        <w:pStyle w:val="21"/>
        <w:jc w:val="both"/>
        <w:rPr>
          <w:rFonts w:hint="default" w:ascii="Arial" w:hAnsi="Arial" w:cs="Arial"/>
          <w:color w:val="auto"/>
          <w:sz w:val="22"/>
          <w:szCs w:val="22"/>
        </w:rPr>
      </w:pPr>
    </w:p>
    <w:p w14:paraId="5160EA9E">
      <w:pPr>
        <w:pStyle w:val="21"/>
        <w:rPr>
          <w:rFonts w:hint="default" w:ascii="Arial" w:hAnsi="Arial" w:eastAsia="SimSun" w:cs="Arial"/>
          <w:color w:val="auto"/>
          <w:sz w:val="22"/>
          <w:szCs w:val="22"/>
          <w:lang w:eastAsia="zh-CN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6EF0DFBC">
      <w:pPr>
        <w:pStyle w:val="13"/>
        <w:jc w:val="both"/>
        <w:rPr>
          <w:rFonts w:hint="default" w:ascii="Arial" w:hAnsi="Arial" w:cs="Arial"/>
          <w:sz w:val="18"/>
          <w:szCs w:val="18"/>
        </w:rPr>
      </w:pPr>
      <w:r>
        <w:rPr>
          <w:rStyle w:val="8"/>
          <w:rFonts w:hint="default" w:ascii="Arial" w:hAnsi="Arial" w:cs="Arial"/>
          <w:sz w:val="18"/>
          <w:szCs w:val="18"/>
        </w:rPr>
        <w:footnoteRef/>
      </w:r>
      <w:r>
        <w:rPr>
          <w:rFonts w:hint="default" w:ascii="Arial" w:hAnsi="Arial" w:cs="Arial"/>
          <w:sz w:val="18"/>
          <w:szCs w:val="18"/>
        </w:rPr>
        <w:t xml:space="preserve"> Doutorando</w:t>
      </w:r>
      <w:r>
        <w:rPr>
          <w:rFonts w:hint="default" w:ascii="Arial" w:hAnsi="Arial" w:cs="Arial"/>
          <w:sz w:val="18"/>
          <w:szCs w:val="18"/>
          <w:lang w:val="pt-BR"/>
        </w:rPr>
        <w:t xml:space="preserve"> em </w:t>
      </w:r>
      <w:r>
        <w:rPr>
          <w:rFonts w:hint="default" w:ascii="Arial" w:hAnsi="Arial" w:cs="Arial"/>
          <w:sz w:val="18"/>
          <w:szCs w:val="18"/>
        </w:rPr>
        <w:t>Ciências das Religiões pela Universidade Federal da Paraíba (UFPB)</w:t>
      </w:r>
      <w:r>
        <w:rPr>
          <w:rFonts w:hint="default" w:ascii="Arial" w:hAnsi="Arial" w:cs="Arial"/>
          <w:sz w:val="18"/>
          <w:szCs w:val="18"/>
          <w:lang w:val="pt-BR"/>
        </w:rPr>
        <w:t xml:space="preserve">. </w:t>
      </w:r>
      <w:r>
        <w:rPr>
          <w:rFonts w:hint="default" w:ascii="Arial" w:hAnsi="Arial" w:cs="Arial"/>
          <w:sz w:val="18"/>
          <w:szCs w:val="18"/>
        </w:rPr>
        <w:t>Professor de História Sec</w:t>
      </w:r>
      <w:r>
        <w:rPr>
          <w:rFonts w:hint="default" w:ascii="Arial" w:hAnsi="Arial" w:cs="Arial"/>
          <w:sz w:val="18"/>
          <w:szCs w:val="18"/>
          <w:lang w:val="pt-BR"/>
        </w:rPr>
        <w:t xml:space="preserve">retária de Educação de </w:t>
      </w:r>
      <w:r>
        <w:rPr>
          <w:rFonts w:hint="default" w:ascii="Arial" w:hAnsi="Arial" w:cs="Arial"/>
          <w:sz w:val="18"/>
          <w:szCs w:val="18"/>
        </w:rPr>
        <w:t xml:space="preserve">Pernambuco.  </w:t>
      </w:r>
    </w:p>
  </w:footnote>
  <w:footnote w:id="1">
    <w:p w14:paraId="70D5A6F0">
      <w:pPr>
        <w:pStyle w:val="13"/>
        <w:jc w:val="both"/>
        <w:rPr>
          <w:rFonts w:hint="default" w:ascii="Arial" w:hAnsi="Arial" w:cs="Arial"/>
          <w:sz w:val="18"/>
          <w:szCs w:val="18"/>
        </w:rPr>
      </w:pPr>
      <w:r>
        <w:rPr>
          <w:rStyle w:val="8"/>
          <w:rFonts w:hint="default" w:ascii="Arial" w:hAnsi="Arial" w:cs="Arial"/>
          <w:sz w:val="18"/>
          <w:szCs w:val="18"/>
        </w:rPr>
        <w:footnoteRef/>
      </w:r>
      <w:r>
        <w:rPr>
          <w:rFonts w:hint="default" w:ascii="Arial" w:hAnsi="Arial" w:cs="Arial"/>
          <w:sz w:val="18"/>
          <w:szCs w:val="18"/>
        </w:rPr>
        <w:t xml:space="preserve"> Cf. OLIVEIRA, 2019. Especialmente o capitulo intitulado: Algumas palavras sobre a história da igreja no Brasil.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9"/>
    <w:rsid w:val="00007458"/>
    <w:rsid w:val="00014029"/>
    <w:rsid w:val="00021EEC"/>
    <w:rsid w:val="00032188"/>
    <w:rsid w:val="00043883"/>
    <w:rsid w:val="00044202"/>
    <w:rsid w:val="00057310"/>
    <w:rsid w:val="0006314A"/>
    <w:rsid w:val="0007042C"/>
    <w:rsid w:val="0007513F"/>
    <w:rsid w:val="00075A62"/>
    <w:rsid w:val="000817EF"/>
    <w:rsid w:val="00091A91"/>
    <w:rsid w:val="000921DD"/>
    <w:rsid w:val="000A4193"/>
    <w:rsid w:val="000A6FDC"/>
    <w:rsid w:val="000A78BD"/>
    <w:rsid w:val="000B0EF1"/>
    <w:rsid w:val="000B4245"/>
    <w:rsid w:val="000C679F"/>
    <w:rsid w:val="000D496C"/>
    <w:rsid w:val="000E1C1E"/>
    <w:rsid w:val="000E6314"/>
    <w:rsid w:val="000E63A3"/>
    <w:rsid w:val="000E74A7"/>
    <w:rsid w:val="000E7E0B"/>
    <w:rsid w:val="00110DD5"/>
    <w:rsid w:val="00111150"/>
    <w:rsid w:val="0012535E"/>
    <w:rsid w:val="00131D2D"/>
    <w:rsid w:val="00146E99"/>
    <w:rsid w:val="00156473"/>
    <w:rsid w:val="001572F3"/>
    <w:rsid w:val="00190A34"/>
    <w:rsid w:val="001A4F0D"/>
    <w:rsid w:val="001B29A1"/>
    <w:rsid w:val="001D535B"/>
    <w:rsid w:val="001F3ED1"/>
    <w:rsid w:val="002108E4"/>
    <w:rsid w:val="002110BB"/>
    <w:rsid w:val="00230501"/>
    <w:rsid w:val="00254F2C"/>
    <w:rsid w:val="0028294E"/>
    <w:rsid w:val="002A0C09"/>
    <w:rsid w:val="002A355C"/>
    <w:rsid w:val="002A7BB5"/>
    <w:rsid w:val="002B3C3D"/>
    <w:rsid w:val="002C4243"/>
    <w:rsid w:val="002D0BA5"/>
    <w:rsid w:val="002E0DD9"/>
    <w:rsid w:val="002F00E5"/>
    <w:rsid w:val="002F36C1"/>
    <w:rsid w:val="00301397"/>
    <w:rsid w:val="0031786E"/>
    <w:rsid w:val="00322D68"/>
    <w:rsid w:val="00336400"/>
    <w:rsid w:val="003372EA"/>
    <w:rsid w:val="00350A63"/>
    <w:rsid w:val="00353C3C"/>
    <w:rsid w:val="00365578"/>
    <w:rsid w:val="0037338D"/>
    <w:rsid w:val="0037636C"/>
    <w:rsid w:val="003818AD"/>
    <w:rsid w:val="00387332"/>
    <w:rsid w:val="003A01A6"/>
    <w:rsid w:val="003A08F6"/>
    <w:rsid w:val="003B22D9"/>
    <w:rsid w:val="003B4314"/>
    <w:rsid w:val="003D34E0"/>
    <w:rsid w:val="003E2266"/>
    <w:rsid w:val="003E3D77"/>
    <w:rsid w:val="004115BF"/>
    <w:rsid w:val="00423652"/>
    <w:rsid w:val="00435D41"/>
    <w:rsid w:val="00443D55"/>
    <w:rsid w:val="004670F6"/>
    <w:rsid w:val="00467213"/>
    <w:rsid w:val="004704FC"/>
    <w:rsid w:val="00473635"/>
    <w:rsid w:val="00483B3C"/>
    <w:rsid w:val="00483E0A"/>
    <w:rsid w:val="00497F10"/>
    <w:rsid w:val="004A5D20"/>
    <w:rsid w:val="004A62BB"/>
    <w:rsid w:val="004C53F4"/>
    <w:rsid w:val="00503C00"/>
    <w:rsid w:val="00504B81"/>
    <w:rsid w:val="005120E4"/>
    <w:rsid w:val="00513C08"/>
    <w:rsid w:val="00515376"/>
    <w:rsid w:val="00540600"/>
    <w:rsid w:val="00540643"/>
    <w:rsid w:val="00553C35"/>
    <w:rsid w:val="005958F8"/>
    <w:rsid w:val="00595F63"/>
    <w:rsid w:val="00597A91"/>
    <w:rsid w:val="005A6658"/>
    <w:rsid w:val="005A6C72"/>
    <w:rsid w:val="005B2510"/>
    <w:rsid w:val="005B7CC6"/>
    <w:rsid w:val="005D5C4D"/>
    <w:rsid w:val="005D66D1"/>
    <w:rsid w:val="005E0939"/>
    <w:rsid w:val="005E1174"/>
    <w:rsid w:val="005E4F46"/>
    <w:rsid w:val="00602D81"/>
    <w:rsid w:val="0061634B"/>
    <w:rsid w:val="00633AA7"/>
    <w:rsid w:val="00637C1B"/>
    <w:rsid w:val="0065516D"/>
    <w:rsid w:val="00655247"/>
    <w:rsid w:val="006638C8"/>
    <w:rsid w:val="00680BC1"/>
    <w:rsid w:val="006912C9"/>
    <w:rsid w:val="00695017"/>
    <w:rsid w:val="006B09BE"/>
    <w:rsid w:val="006C2733"/>
    <w:rsid w:val="006C477B"/>
    <w:rsid w:val="006C51BB"/>
    <w:rsid w:val="006D3845"/>
    <w:rsid w:val="006D456E"/>
    <w:rsid w:val="006E0D8A"/>
    <w:rsid w:val="007100C9"/>
    <w:rsid w:val="00714676"/>
    <w:rsid w:val="007319CD"/>
    <w:rsid w:val="00750236"/>
    <w:rsid w:val="00775533"/>
    <w:rsid w:val="00782620"/>
    <w:rsid w:val="007930E5"/>
    <w:rsid w:val="0079467C"/>
    <w:rsid w:val="00796078"/>
    <w:rsid w:val="007C39CE"/>
    <w:rsid w:val="007D3315"/>
    <w:rsid w:val="007D76C1"/>
    <w:rsid w:val="008159AF"/>
    <w:rsid w:val="008161A2"/>
    <w:rsid w:val="008232BD"/>
    <w:rsid w:val="00841A9A"/>
    <w:rsid w:val="00850177"/>
    <w:rsid w:val="00852088"/>
    <w:rsid w:val="00854E44"/>
    <w:rsid w:val="0086043D"/>
    <w:rsid w:val="008630E1"/>
    <w:rsid w:val="00886CDF"/>
    <w:rsid w:val="00893764"/>
    <w:rsid w:val="00895A61"/>
    <w:rsid w:val="008B7313"/>
    <w:rsid w:val="008B78EE"/>
    <w:rsid w:val="008C177E"/>
    <w:rsid w:val="008D5C10"/>
    <w:rsid w:val="008E3874"/>
    <w:rsid w:val="008F31E8"/>
    <w:rsid w:val="00910145"/>
    <w:rsid w:val="00913DCD"/>
    <w:rsid w:val="009222AC"/>
    <w:rsid w:val="00940C14"/>
    <w:rsid w:val="00941F04"/>
    <w:rsid w:val="009C1F3C"/>
    <w:rsid w:val="009C535C"/>
    <w:rsid w:val="009C70CC"/>
    <w:rsid w:val="009E0331"/>
    <w:rsid w:val="009E5BA0"/>
    <w:rsid w:val="009E620C"/>
    <w:rsid w:val="009E6DD5"/>
    <w:rsid w:val="00A00428"/>
    <w:rsid w:val="00A35D90"/>
    <w:rsid w:val="00A375A5"/>
    <w:rsid w:val="00A43BB1"/>
    <w:rsid w:val="00A930AA"/>
    <w:rsid w:val="00A963D0"/>
    <w:rsid w:val="00AA46CA"/>
    <w:rsid w:val="00AA6664"/>
    <w:rsid w:val="00AB0F10"/>
    <w:rsid w:val="00AB1BC8"/>
    <w:rsid w:val="00AB67BF"/>
    <w:rsid w:val="00AC1DDD"/>
    <w:rsid w:val="00AC7A0A"/>
    <w:rsid w:val="00AE0881"/>
    <w:rsid w:val="00AF0377"/>
    <w:rsid w:val="00AF713C"/>
    <w:rsid w:val="00B046F8"/>
    <w:rsid w:val="00B1057B"/>
    <w:rsid w:val="00B16625"/>
    <w:rsid w:val="00B46BB0"/>
    <w:rsid w:val="00B47CC3"/>
    <w:rsid w:val="00B635DA"/>
    <w:rsid w:val="00B6466A"/>
    <w:rsid w:val="00B90631"/>
    <w:rsid w:val="00BA0A28"/>
    <w:rsid w:val="00BA7D00"/>
    <w:rsid w:val="00BB12D6"/>
    <w:rsid w:val="00BB19E6"/>
    <w:rsid w:val="00BC49F5"/>
    <w:rsid w:val="00BC5FC6"/>
    <w:rsid w:val="00C075B8"/>
    <w:rsid w:val="00C27131"/>
    <w:rsid w:val="00C3534D"/>
    <w:rsid w:val="00C55070"/>
    <w:rsid w:val="00C72C06"/>
    <w:rsid w:val="00C74997"/>
    <w:rsid w:val="00C75B34"/>
    <w:rsid w:val="00C81C25"/>
    <w:rsid w:val="00C82CE1"/>
    <w:rsid w:val="00C83163"/>
    <w:rsid w:val="00CA2CEC"/>
    <w:rsid w:val="00CB1128"/>
    <w:rsid w:val="00CC63BD"/>
    <w:rsid w:val="00CE0648"/>
    <w:rsid w:val="00CF42A7"/>
    <w:rsid w:val="00D003AC"/>
    <w:rsid w:val="00D129CE"/>
    <w:rsid w:val="00D24004"/>
    <w:rsid w:val="00D354B5"/>
    <w:rsid w:val="00D515C5"/>
    <w:rsid w:val="00D523C7"/>
    <w:rsid w:val="00D64AC1"/>
    <w:rsid w:val="00D73D86"/>
    <w:rsid w:val="00D74005"/>
    <w:rsid w:val="00D82BDD"/>
    <w:rsid w:val="00DA62CD"/>
    <w:rsid w:val="00DD3D3D"/>
    <w:rsid w:val="00E0584D"/>
    <w:rsid w:val="00E1145F"/>
    <w:rsid w:val="00E14C00"/>
    <w:rsid w:val="00E277AC"/>
    <w:rsid w:val="00E44DD2"/>
    <w:rsid w:val="00E52856"/>
    <w:rsid w:val="00E54314"/>
    <w:rsid w:val="00E73831"/>
    <w:rsid w:val="00E87617"/>
    <w:rsid w:val="00E90B77"/>
    <w:rsid w:val="00EA248E"/>
    <w:rsid w:val="00EB3861"/>
    <w:rsid w:val="00EC2E71"/>
    <w:rsid w:val="00EE5B2A"/>
    <w:rsid w:val="00EE64BE"/>
    <w:rsid w:val="00EF59A3"/>
    <w:rsid w:val="00EF6E1B"/>
    <w:rsid w:val="00F035D2"/>
    <w:rsid w:val="00F03768"/>
    <w:rsid w:val="00F13FA6"/>
    <w:rsid w:val="00F27AE9"/>
    <w:rsid w:val="00F300F4"/>
    <w:rsid w:val="00F343D5"/>
    <w:rsid w:val="00F37FDE"/>
    <w:rsid w:val="00F636FB"/>
    <w:rsid w:val="00F715FD"/>
    <w:rsid w:val="00F8083A"/>
    <w:rsid w:val="00F860CD"/>
    <w:rsid w:val="00F87ABB"/>
    <w:rsid w:val="00FB3141"/>
    <w:rsid w:val="00FC0916"/>
    <w:rsid w:val="00FC2FB1"/>
    <w:rsid w:val="00FD7D21"/>
    <w:rsid w:val="00FE2143"/>
    <w:rsid w:val="00FE70FE"/>
    <w:rsid w:val="00FF0802"/>
    <w:rsid w:val="0C0D4379"/>
    <w:rsid w:val="0CF625BF"/>
    <w:rsid w:val="12FB228C"/>
    <w:rsid w:val="14DE5C22"/>
    <w:rsid w:val="18F94A09"/>
    <w:rsid w:val="199E05AB"/>
    <w:rsid w:val="1F8778F9"/>
    <w:rsid w:val="21DD20E8"/>
    <w:rsid w:val="22F55C75"/>
    <w:rsid w:val="2C4E13B6"/>
    <w:rsid w:val="2C8739A3"/>
    <w:rsid w:val="2D66539A"/>
    <w:rsid w:val="2E5D47EB"/>
    <w:rsid w:val="3C98148C"/>
    <w:rsid w:val="41913236"/>
    <w:rsid w:val="4966327A"/>
    <w:rsid w:val="4E4E5DC3"/>
    <w:rsid w:val="6B32338B"/>
    <w:rsid w:val="75B40ED9"/>
    <w:rsid w:val="78B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entury Gothic" w:hAnsi="Century Gothic" w:eastAsiaTheme="minorHAnsi" w:cstheme="minorBidi"/>
      <w:sz w:val="24"/>
      <w:szCs w:val="24"/>
      <w:lang w:val="pt-BR" w:eastAsia="pt-BR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footnote reference"/>
    <w:basedOn w:val="4"/>
    <w:unhideWhenUsed/>
    <w:qFormat/>
    <w:uiPriority w:val="99"/>
    <w:rPr>
      <w:vertAlign w:val="superscript"/>
    </w:rPr>
  </w:style>
  <w:style w:type="character" w:styleId="9">
    <w:name w:val="Hyperlink"/>
    <w:basedOn w:val="4"/>
    <w:unhideWhenUsed/>
    <w:qFormat/>
    <w:uiPriority w:val="99"/>
    <w:rPr>
      <w:color w:val="0000FF"/>
      <w:u w:val="single"/>
    </w:rPr>
  </w:style>
  <w:style w:type="paragraph" w:styleId="10">
    <w:name w:val="endnote text"/>
    <w:basedOn w:val="1"/>
    <w:link w:val="28"/>
    <w:unhideWhenUsed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ind w:left="198" w:hanging="198"/>
      <w:jc w:val="both"/>
    </w:pPr>
    <w:rPr>
      <w:rFonts w:ascii="Times New Roman" w:hAnsi="Times New Roman" w:eastAsia="Times New Roman" w:cs="Times New Roman"/>
      <w:sz w:val="20"/>
    </w:rPr>
  </w:style>
  <w:style w:type="paragraph" w:styleId="13">
    <w:name w:val="footnote text"/>
    <w:basedOn w:val="1"/>
    <w:link w:val="24"/>
    <w:semiHidden/>
    <w:unhideWhenUsed/>
    <w:qFormat/>
    <w:uiPriority w:val="99"/>
    <w:rPr>
      <w:sz w:val="20"/>
      <w:szCs w:val="20"/>
    </w:rPr>
  </w:style>
  <w:style w:type="paragraph" w:customStyle="1" w:styleId="14">
    <w:name w:val="Parágrafo"/>
    <w:basedOn w:val="1"/>
    <w:link w:val="15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eastAsia="Times New Roman" w:cs="Arial"/>
      <w:szCs w:val="20"/>
    </w:rPr>
  </w:style>
  <w:style w:type="character" w:customStyle="1" w:styleId="15">
    <w:name w:val="Parágrafo Char"/>
    <w:basedOn w:val="4"/>
    <w:link w:val="14"/>
    <w:uiPriority w:val="0"/>
    <w:rPr>
      <w:rFonts w:ascii="Times New Roman" w:hAnsi="Times New Roman" w:eastAsia="Times New Roman" w:cs="Arial"/>
      <w:sz w:val="24"/>
      <w:szCs w:val="20"/>
      <w:lang w:eastAsia="pt-BR"/>
    </w:rPr>
  </w:style>
  <w:style w:type="paragraph" w:styleId="16">
    <w:name w:val="List Paragraph"/>
    <w:basedOn w:val="1"/>
    <w:link w:val="23"/>
    <w:qFormat/>
    <w:uiPriority w:val="34"/>
    <w:pPr>
      <w:ind w:left="720"/>
      <w:contextualSpacing/>
    </w:pPr>
    <w:rPr>
      <w:rFonts w:eastAsia="Times New Roman" w:cs="Times New Roman"/>
    </w:rPr>
  </w:style>
  <w:style w:type="character" w:customStyle="1" w:styleId="17">
    <w:name w:val="Título 1 Char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18">
    <w:name w:val="Título 3 Char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pt-BR"/>
      <w14:textFill>
        <w14:solidFill>
          <w14:schemeClr w14:val="accent1"/>
        </w14:solidFill>
      </w14:textFill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0">
    <w:name w:val="Rodapé Char"/>
    <w:basedOn w:val="4"/>
    <w:link w:val="12"/>
    <w:qFormat/>
    <w:uiPriority w:val="99"/>
    <w:rPr>
      <w:rFonts w:ascii="Times New Roman" w:hAnsi="Times New Roman" w:eastAsia="Times New Roman" w:cs="Times New Roman"/>
      <w:sz w:val="20"/>
      <w:szCs w:val="24"/>
      <w:lang w:eastAsia="pt-BR"/>
    </w:rPr>
  </w:style>
  <w:style w:type="paragraph" w:customStyle="1" w:styleId="21">
    <w:name w:val="Referências"/>
    <w:basedOn w:val="1"/>
    <w:link w:val="22"/>
    <w:qFormat/>
    <w:uiPriority w:val="0"/>
    <w:pPr>
      <w:spacing w:after="160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22">
    <w:name w:val="Referências Char"/>
    <w:basedOn w:val="4"/>
    <w:link w:val="21"/>
    <w:qFormat/>
    <w:uiPriority w:val="0"/>
    <w:rPr>
      <w:rFonts w:ascii="Times New Roman" w:hAnsi="Times New Roman" w:eastAsia="Times New Roman" w:cs="Times New Roman"/>
      <w:lang w:eastAsia="pt-BR"/>
    </w:rPr>
  </w:style>
  <w:style w:type="character" w:customStyle="1" w:styleId="23">
    <w:name w:val="Parágrafo da Lista Char"/>
    <w:basedOn w:val="4"/>
    <w:link w:val="16"/>
    <w:qFormat/>
    <w:uiPriority w:val="34"/>
    <w:rPr>
      <w:rFonts w:ascii="Century Gothic" w:hAnsi="Century Gothic" w:eastAsia="Times New Roman" w:cs="Times New Roman"/>
      <w:sz w:val="24"/>
      <w:szCs w:val="24"/>
      <w:lang w:eastAsia="pt-BR"/>
    </w:rPr>
  </w:style>
  <w:style w:type="character" w:customStyle="1" w:styleId="24">
    <w:name w:val="Texto de nota de rodapé Char"/>
    <w:basedOn w:val="4"/>
    <w:link w:val="13"/>
    <w:semiHidden/>
    <w:qFormat/>
    <w:uiPriority w:val="99"/>
    <w:rPr>
      <w:rFonts w:ascii="Century Gothic" w:hAnsi="Century Gothic"/>
      <w:sz w:val="20"/>
      <w:szCs w:val="20"/>
      <w:lang w:eastAsia="pt-BR"/>
    </w:rPr>
  </w:style>
  <w:style w:type="paragraph" w:styleId="25">
    <w:name w:val="Quote"/>
    <w:basedOn w:val="1"/>
    <w:next w:val="1"/>
    <w:link w:val="26"/>
    <w:qFormat/>
    <w:uiPriority w:val="29"/>
    <w:pPr>
      <w:keepLines/>
      <w:spacing w:before="240" w:after="240"/>
      <w:ind w:left="2268"/>
      <w:jc w:val="both"/>
    </w:pPr>
    <w:rPr>
      <w:rFonts w:ascii="Times New Roman" w:hAnsi="Times New Roman" w:eastAsia="Times New Roman" w:cs="Times New Roman"/>
      <w:iCs/>
      <w:sz w:val="22"/>
    </w:rPr>
  </w:style>
  <w:style w:type="character" w:customStyle="1" w:styleId="26">
    <w:name w:val="Citação Char"/>
    <w:basedOn w:val="4"/>
    <w:link w:val="25"/>
    <w:qFormat/>
    <w:uiPriority w:val="29"/>
    <w:rPr>
      <w:rFonts w:ascii="Times New Roman" w:hAnsi="Times New Roman" w:eastAsia="Times New Roman" w:cs="Times New Roman"/>
      <w:iCs/>
      <w:szCs w:val="24"/>
      <w:lang w:eastAsia="pt-BR"/>
    </w:rPr>
  </w:style>
  <w:style w:type="character" w:customStyle="1" w:styleId="27">
    <w:name w:val="apple-style-span"/>
    <w:basedOn w:val="4"/>
    <w:qFormat/>
    <w:uiPriority w:val="0"/>
  </w:style>
  <w:style w:type="character" w:customStyle="1" w:styleId="28">
    <w:name w:val="Texto de nota de fim Char"/>
    <w:basedOn w:val="4"/>
    <w:link w:val="10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82A4-3969-42C5-8E01-CA43D2972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5793</Words>
  <Characters>31284</Characters>
  <Lines>260</Lines>
  <Paragraphs>74</Paragraphs>
  <TotalTime>250</TotalTime>
  <ScaleCrop>false</ScaleCrop>
  <LinksUpToDate>false</LinksUpToDate>
  <CharactersWithSpaces>37003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2019-06-27T03:08:00Z</dcterms:created>
  <dc:creator>Perola</dc:creator>
  <cp:lastModifiedBy>Pablo Matheus</cp:lastModifiedBy>
  <cp:lastPrinted>2022-05-15T02:52:00Z</cp:lastPrinted>
  <dcterms:modified xsi:type="dcterms:W3CDTF">2024-09-05T19:52:54Z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E3B7A868944940248789FC5DD1295C04_13</vt:lpwstr>
  </property>
</Properties>
</file>