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2725" w14:textId="77777777" w:rsidR="00ED7097" w:rsidRDefault="00ED7097" w:rsidP="0015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CD6A72" w14:textId="77777777" w:rsidR="00ED7097" w:rsidRDefault="00ED7097" w:rsidP="0015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794D24" w14:textId="77777777" w:rsidR="00ED7097" w:rsidRDefault="00156102" w:rsidP="001555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INTERAÇÕES INTRA E INTERESPECÍFICAS EM DUAS ESPÉCIES DE ANUROS DO GÊNERO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HYLODES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(ANURA, HYLODIDAE)</w:t>
      </w:r>
    </w:p>
    <w:p w14:paraId="51911A9F" w14:textId="77777777" w:rsidR="00ED7097" w:rsidRPr="0015556D" w:rsidRDefault="00156102" w:rsidP="0015556D">
      <w:pPr>
        <w:spacing w:after="0"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5556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intra and interspecific interactions in two species of anurans from the genus </w:t>
      </w:r>
      <w:proofErr w:type="spellStart"/>
      <w:r w:rsidRPr="0015556D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Hylodes</w:t>
      </w:r>
      <w:proofErr w:type="spellEnd"/>
      <w:r w:rsidRPr="0015556D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15556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15556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anura</w:t>
      </w:r>
      <w:proofErr w:type="spellEnd"/>
      <w:r w:rsidRPr="0015556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15556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hylodidae</w:t>
      </w:r>
      <w:proofErr w:type="spellEnd"/>
      <w:r w:rsidRPr="0015556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14:paraId="46B72D9D" w14:textId="1E77D041" w:rsidR="00ED7097" w:rsidRDefault="00156102" w:rsidP="0015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Lucas Mantelo Cruz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 Rodrigo Lingnau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14:paraId="7C5DB06E" w14:textId="77777777" w:rsidR="00ED7097" w:rsidRDefault="00ED7097" w:rsidP="0015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466858" w14:textId="5803A257" w:rsidR="00ED7097" w:rsidRDefault="00156102" w:rsidP="0015556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</w:rPr>
        <w:t>Programa de Pós-Graduação em Zoologia. Universidade Federal do Paraná.</w:t>
      </w:r>
    </w:p>
    <w:p w14:paraId="751DBF86" w14:textId="77777777" w:rsidR="00ED7097" w:rsidRDefault="00156102" w:rsidP="0015556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lucas_mantelo@hotmail.com</w:t>
      </w:r>
    </w:p>
    <w:p w14:paraId="1149636E" w14:textId="77777777" w:rsidR="00ED7097" w:rsidRDefault="00156102" w:rsidP="0015556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</w:rPr>
        <w:t>Orientado</w:t>
      </w:r>
      <w:r>
        <w:rPr>
          <w:rFonts w:ascii="Times New Roman" w:eastAsia="Times New Roman" w:hAnsi="Times New Roman" w:cs="Times New Roman"/>
        </w:rPr>
        <w:t>r, professor Colaborador do Programa de Pós-Graduação em Zoologia. Universidade Federal do Paraná. rodrigolingnau@gmail.com</w:t>
      </w:r>
    </w:p>
    <w:p w14:paraId="47782E3B" w14:textId="77777777" w:rsidR="00ED7097" w:rsidRDefault="00ED7097" w:rsidP="00155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68925AE8" w14:textId="77777777" w:rsidR="00ED7097" w:rsidRDefault="00ED7097" w:rsidP="0015556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</w:p>
    <w:p w14:paraId="51B66F71" w14:textId="77777777" w:rsidR="00ED7097" w:rsidRDefault="00ED70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DE10E0" w14:textId="77777777" w:rsidR="00ED7097" w:rsidRDefault="001561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comunicação dos anfíbios anuros é de fundamental importância para a história de vida destes animais. Seus modos de se comunicar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podem envolver uma diversidade de sinais, podendo ser eles visuais, como movimentos de membros e do corpo, acústicos, como a vocalização ou táteis, como brigas, podendo também variar de acordo com a finalidade, seja territorial, de cortejo ou para defesa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contra predadores. Com mais de 1100 espécies de anfíbios, o Brasil possui a maior riqueza de espécies do mundo, sendo dividida em 20 famílias e mais de 110 gêneros. A família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Hylodidae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compreende quatro gêneros e 48 espécies com hábitos diurnos que vivem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róximos de riachos, possuindo sistemas de comunicação complexos, que envolvem grande variedade de sinais. O gênero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Hylodes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é o mais numeroso da família, contendo ao todo 26 espécies, todas endêmicas da Mata Atlântica brasileira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 presente projeto pretende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catalogar os sinais utilizados na comunicação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intraespecíficas de duas espécies do gênero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Hylodes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 vivem em simpatria em uma reserva de Mata Atlântica com fitofisionomia de floresta ombrófila densa, localizada na região litorânea do estado do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araná, na região sul do Brasil, sendo elas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Hylodes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heyeri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cardosoi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popularmente conhecidas como rãzinhas-de-riacho. Será utilizado um robô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animatrônico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playback com objetivo de estimular os comportamentos territoriais dos indivíduos, simulando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vasões territoriais de ambas as espécies. Para evitar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pseudoreplicação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será realizada a fotoidentificação dos animais, no qual tal método foi escolhido por ser menos invasivo e sem a necessidade de morte dos indivíduos estudados. Espera-se que com o pro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jeto possamos estabelecer padrões comportamentais entre os sinais comunicativos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intraespecíficos das espécies referentes aos seus hábitos territoriais, permitindo uma melhor compreensão acerca da ecologia comportamental do grupo.</w:t>
      </w:r>
    </w:p>
    <w:p w14:paraId="083A3E84" w14:textId="77777777" w:rsidR="00ED7097" w:rsidRDefault="00ED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7CF8F6" w14:textId="77777777" w:rsidR="00ED7097" w:rsidRDefault="001561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Zoologia; Herpetologia;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Bioacústica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; Comportamento; Territorial.</w:t>
      </w:r>
    </w:p>
    <w:p w14:paraId="7E67D93E" w14:textId="77777777" w:rsidR="00ED7097" w:rsidRDefault="00ED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062498" w14:textId="77777777" w:rsidR="00ED7097" w:rsidRDefault="00ED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B6CBD7" w14:textId="77777777" w:rsidR="00ED7097" w:rsidRDefault="00ED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D7097">
      <w:headerReference w:type="default" r:id="rId6"/>
      <w:footerReference w:type="default" r:id="rId7"/>
      <w:pgSz w:w="11906" w:h="16838"/>
      <w:pgMar w:top="1417" w:right="1701" w:bottom="1417" w:left="1701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30577" w14:textId="77777777" w:rsidR="00156102" w:rsidRDefault="00156102">
      <w:pPr>
        <w:spacing w:after="0" w:line="240" w:lineRule="auto"/>
      </w:pPr>
      <w:r>
        <w:separator/>
      </w:r>
    </w:p>
  </w:endnote>
  <w:endnote w:type="continuationSeparator" w:id="0">
    <w:p w14:paraId="5AFC3B0B" w14:textId="77777777" w:rsidR="00156102" w:rsidRDefault="00156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D1338" w14:textId="77777777" w:rsidR="00ED7097" w:rsidRDefault="001561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V Simpósio Paranaense de Zoologia - 26 a 30 de agosto de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77174" w14:textId="77777777" w:rsidR="00156102" w:rsidRDefault="00156102">
      <w:pPr>
        <w:spacing w:after="0" w:line="240" w:lineRule="auto"/>
      </w:pPr>
      <w:r>
        <w:separator/>
      </w:r>
    </w:p>
  </w:footnote>
  <w:footnote w:type="continuationSeparator" w:id="0">
    <w:p w14:paraId="6AF900AA" w14:textId="77777777" w:rsidR="00156102" w:rsidRDefault="00156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66C9" w14:textId="77777777" w:rsidR="00ED7097" w:rsidRDefault="00ED709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"/>
      <w:tblW w:w="11482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ED7097" w14:paraId="46F2C632" w14:textId="77777777">
      <w:trPr>
        <w:trHeight w:val="1136"/>
        <w:jc w:val="center"/>
      </w:trPr>
      <w:tc>
        <w:tcPr>
          <w:tcW w:w="2268" w:type="dxa"/>
          <w:vAlign w:val="center"/>
        </w:tcPr>
        <w:p w14:paraId="4CE6158B" w14:textId="77777777" w:rsidR="00ED7097" w:rsidRDefault="001561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-108" w:right="34"/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7A591998" wp14:editId="4737D4DA">
                <wp:simplePos x="0" y="0"/>
                <wp:positionH relativeFrom="column">
                  <wp:posOffset>254000</wp:posOffset>
                </wp:positionH>
                <wp:positionV relativeFrom="paragraph">
                  <wp:posOffset>-18414</wp:posOffset>
                </wp:positionV>
                <wp:extent cx="1162050" cy="1162050"/>
                <wp:effectExtent l="0" t="0" r="0" b="0"/>
                <wp:wrapNone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l="3655" t="365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9" w:type="dxa"/>
          <w:vAlign w:val="center"/>
        </w:tcPr>
        <w:p w14:paraId="31D55E3F" w14:textId="77777777" w:rsidR="00ED7097" w:rsidRDefault="00ED70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57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</w:p>
        <w:p w14:paraId="618D6E2D" w14:textId="77777777" w:rsidR="00ED7097" w:rsidRDefault="001561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57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Universidade Federal do Paraná</w:t>
          </w:r>
        </w:p>
        <w:p w14:paraId="09C8A5A5" w14:textId="77777777" w:rsidR="00ED7097" w:rsidRDefault="001561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57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Programa de Pós-Graduação em Zoologia</w:t>
          </w:r>
        </w:p>
        <w:p w14:paraId="718750A1" w14:textId="77777777" w:rsidR="00ED7097" w:rsidRDefault="001561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57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V Simpósio Paranaense de Zoologia – UFPR</w:t>
          </w:r>
        </w:p>
        <w:p w14:paraId="6F2D1856" w14:textId="77777777" w:rsidR="00ED7097" w:rsidRDefault="00ED70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57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</w:p>
      </w:tc>
      <w:tc>
        <w:tcPr>
          <w:tcW w:w="2835" w:type="dxa"/>
          <w:vAlign w:val="center"/>
        </w:tcPr>
        <w:p w14:paraId="300B9228" w14:textId="77777777" w:rsidR="00ED7097" w:rsidRDefault="001561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43ED9A1E" wp14:editId="0D3E5275">
                <wp:extent cx="1471816" cy="955662"/>
                <wp:effectExtent l="0" t="0" r="0" b="0"/>
                <wp:docPr id="2" name="image2.jpg" descr="Zoologia UFPR (@zooufpr) / X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Zoologia UFPR (@zooufpr) / X"/>
                        <pic:cNvPicPr preferRelativeResize="0"/>
                      </pic:nvPicPr>
                      <pic:blipFill>
                        <a:blip r:embed="rId2"/>
                        <a:srcRect t="15963" b="191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816" cy="95566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6AAA58CF" w14:textId="77777777" w:rsidR="00ED7097" w:rsidRDefault="00ED70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097"/>
    <w:rsid w:val="0015556D"/>
    <w:rsid w:val="00156102"/>
    <w:rsid w:val="00ED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5F03"/>
  <w15:docId w15:val="{E17CC722-393C-4BB4-81CC-157EF8B3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Lucas Mantelo Cruz</cp:lastModifiedBy>
  <cp:revision>2</cp:revision>
  <dcterms:created xsi:type="dcterms:W3CDTF">2024-08-25T18:08:00Z</dcterms:created>
  <dcterms:modified xsi:type="dcterms:W3CDTF">2024-08-25T18:09:00Z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