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LEVANTAMENTO EPIDEMIOLÓGICO DE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Leishmania spp.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EM CÃES NA REGIÃO SERIDÓ PARAIBANO, BRASIL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Maria Luiza Araújo Quinderé de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ALMEIDA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¹*; Diogo Wagner dos Santos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SILVA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²; Amanda Lima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LEITE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Bruna de Medeiros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SERPA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Paulo Wbiratan Lopes da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COSTA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Marianne Rachel Domiciano Dantas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MARTINS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Discente de Medicina Veterinária do Centro Universitário de João Pessoa - UNIPÊ. E-mail: mlquindere@gmail.com*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Discente de Medicina Veterinária do Centro Universitário de João Pessoa - UNIPÊ. E-mail: diogowagnerssilva@gmail.com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Discente de Medicina Veterinária do Centro Universitário de João Pessoa - UNIPÊ. E-mail: </w:t>
      </w:r>
      <w:r>
        <w:rPr>
          <w:rFonts w:ascii="Times New Roman" w:hAnsi="Times New Roman" w:eastAsia="Times New Roman" w:cs="Times New Roman"/>
          <w:sz w:val="20"/>
          <w:szCs w:val="20"/>
        </w:rPr>
        <w:t>amandaleite098@gmail.com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Discente de Medicina Veterinária do Centro Universitário de João Pessoa - UNIPÊ. E-mail: brunaserpa00@gmail.com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Docente de Medicina Veterinária do Centro Universitário de João Pessoa - UNIPÊ. E-mail: paulo.lopes@unipe.edu.br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24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ff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Docente de Medicina Veterinária do Centro Universitário de João Pessoa - UNIPÊ.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E-mail: marianne.martins@unipe.edu.br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</w:r>
    </w:p>
    <w:p>
      <w:pPr>
        <w:spacing w:after="24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a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Resumo: </w:t>
      </w:r>
      <w:r>
        <w:rPr>
          <w:rFonts w:ascii="Times New Roman" w:hAnsi="Times New Roman" w:eastAsia="Times New Roman" w:cs="Times New Roman"/>
        </w:rPr>
        <w:t xml:space="preserve">A leishmaniose visceral canina (LVC) é uma doença grave causada pelo protozoário </w:t>
      </w:r>
      <w:r>
        <w:rPr>
          <w:rFonts w:ascii="Times New Roman" w:hAnsi="Times New Roman" w:eastAsia="Times New Roman" w:cs="Times New Roman"/>
          <w:i/>
        </w:rPr>
        <w:t>Leishmania infantum</w:t>
      </w:r>
      <w:r>
        <w:rPr>
          <w:rFonts w:ascii="Times New Roman" w:hAnsi="Times New Roman" w:eastAsia="Times New Roman" w:cs="Times New Roman"/>
        </w:rPr>
        <w:t xml:space="preserve">, transmitida por flebotomíneos. Este estudo investigou a incidência de LVC na área urbana de São José do Sabugi, Paraíba, através de campanha de coleta de sangue em cães. </w:t>
      </w:r>
      <w:r>
        <w:rPr>
          <w:rFonts w:ascii="Times New Roman" w:hAnsi="Times New Roman" w:eastAsia="Times New Roman" w:cs="Times New Roman"/>
        </w:rPr>
        <w:t xml:space="preserve">Dos 87 cães testados, 8,05% foram positivos no teste rápido DPP®, </w:t>
      </w:r>
      <w:r>
        <w:rPr>
          <w:rFonts w:ascii="Times New Roman" w:hAnsi="Times New Roman" w:eastAsia="Times New Roman" w:cs="Times New Roman"/>
        </w:rPr>
        <w:t>e as amostras desses cães foram encaminhadas para a realização do teste ELISA.</w:t>
      </w:r>
      <w:r>
        <w:rPr>
          <w:rFonts w:ascii="Times New Roman" w:hAnsi="Times New Roman" w:eastAsia="Times New Roman" w:cs="Times New Roman"/>
        </w:rPr>
        <w:t xml:space="preserve"> Dos cães positivos, 42,86% eram machos e 57,14% eram fêmeas, com 28,57% sendo assintomáticos. Sintomas incluíram alterações dermatológicas em 71,43% dos casos, predominando alopecia, dermatite e descamação de pele, com lesões frequentes na face, membros e dorso. Linfadenomegalia foi observada em 71,43% dos cães, principalmente no linfonodo poplíteo. Esses resultados destacam a presença de LVC na população canina local, sublinhando a necessidade de estratégias integradas de controle e conscientização para mitigar a transmissão e proteger a saúde pública.</w:t>
      </w:r>
      <w:r>
        <w:rPr>
          <w:rFonts w:ascii="Times New Roman" w:hAnsi="Times New Roman" w:eastAsia="Times New Roman" w:cs="Times New Roman"/>
          <w:color w:val="00000a"/>
        </w:rPr>
      </w:r>
    </w:p>
    <w:p>
      <w:pPr>
        <w:spacing/>
        <w:jc w:val="both"/>
        <w:rPr>
          <w:rFonts w:ascii="Times New Roman" w:hAnsi="Times New Roman" w:eastAsia="Times New Roman" w:cs="Times New Roman"/>
          <w:color w:val="00000a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  <w:t>Palavras-chave</w:t>
      </w:r>
      <w:r>
        <w:rPr>
          <w:rFonts w:ascii="Times New Roman" w:hAnsi="Times New Roman" w:eastAsia="Times New Roman" w:cs="Times New Roman"/>
          <w:b/>
          <w:color w:val="00000a"/>
        </w:rPr>
        <w:t xml:space="preserve">: </w:t>
      </w:r>
      <w:r>
        <w:rPr>
          <w:rFonts w:ascii="Times New Roman" w:hAnsi="Times New Roman" w:eastAsia="Times New Roman" w:cs="Times New Roman"/>
          <w:color w:val="00000a"/>
        </w:rPr>
        <w:t>Diagnóstico, epidemiologia; leishmaniose; saúde pública; zoonose.</w:t>
      </w:r>
      <w:r>
        <w:rPr>
          <w:rFonts w:ascii="Times New Roman" w:hAnsi="Times New Roman" w:eastAsia="Times New Roman" w:cs="Times New Roman"/>
          <w:color w:val="00000a"/>
        </w:rPr>
      </w:r>
    </w:p>
    <w:p>
      <w:pPr>
        <w:spacing w:before="100"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color w:val="000000"/>
          <w:sz w:val="16"/>
          <w:szCs w:val="16"/>
        </w:rPr>
      </w:pPr>
      <w:r>
        <w:rPr>
          <w:rFonts w:ascii="Helvetica Neue" w:hAnsi="Helvetica Neue" w:eastAsia="Helvetica Neue" w:cs="Helvetica Neue"/>
          <w:color w:val="000000"/>
          <w:sz w:val="16"/>
          <w:szCs w:val="16"/>
        </w:rPr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 leishmaniose visceral canina (LVC) é uma doença parasitária grave que afeta cães e é causada pelo protozoário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Leishmania infantum.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Esta zoonose é transmitida pela picada de fêmeas de flebotomíneos, também conhecidos como mosquitos-palha. Os cães são considerados os principais reservatórios domésticos da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L. infantum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desempenhando um papel crucial na manutenção do ciclo de transmissão da doença para humanos </w:t>
      </w:r>
      <w:r>
        <w:rPr>
          <w:rFonts w:ascii="Times New Roman" w:hAnsi="Times New Roman" w:eastAsia="Times New Roman" w:cs="Times New Roman"/>
          <w:sz w:val="24"/>
          <w:szCs w:val="24"/>
        </w:rPr>
        <w:t>(COSTA, 2020).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 LVC apresenta sintomas variados, como perda de peso, apatia, linfadenopatia, hepatomegalia, esplenomegalia e manifestações cutâneas </w:t>
      </w:r>
      <w:r>
        <w:rPr>
          <w:rFonts w:ascii="Times New Roman" w:hAnsi="Times New Roman" w:eastAsia="Times New Roman" w:cs="Times New Roman"/>
          <w:sz w:val="24"/>
          <w:szCs w:val="24"/>
        </w:rPr>
        <w:t>(JÚNIOR, 2021).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 diagnóstico é complexo, envolvendo métodos clínicos, sorológicos e moleculares. Testes rápidos, são práticos e rápidos, mas a confirmação diagnóstica exige métodos laboratoriais mais detalhados, como o  ensaio imunoenzimático (ELISA) e a reação em cadeia da polimerase (PCR) </w:t>
      </w:r>
      <w:r>
        <w:rPr>
          <w:rFonts w:ascii="Times New Roman" w:hAnsi="Times New Roman" w:eastAsia="Times New Roman" w:cs="Times New Roman"/>
          <w:sz w:val="24"/>
          <w:szCs w:val="24"/>
        </w:rPr>
        <w:t>(JÚNIOR, 2021)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 controle da LVC é desafiador e exige uma abordagem integrada, que inclui a redução da população de vetores, a identificação e tratamento de cães infectados, e a educação pública para prevenir a exposição ao vetor </w:t>
      </w:r>
      <w:r>
        <w:rPr>
          <w:rFonts w:ascii="Times New Roman" w:hAnsi="Times New Roman" w:eastAsia="Times New Roman" w:cs="Times New Roman"/>
          <w:sz w:val="24"/>
          <w:szCs w:val="24"/>
        </w:rPr>
        <w:t>(DANTAS-TORRES, 2024).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Por essa razão, o objetivo desta pesquisa é determinar a incidência de LVC na área urbana do município de São José do Sabugi, localizado na microrregião do Seridó Ocidental Paraibano.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88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Este estudo visou investigar a incidência de leishmaniose visceral em cães da área urbana do município de São José do Sabugi, situado na microrregião do seridó ocidental paraibano. Conforme dados do Instituto Brasileiro de Geografia e Estatística (IBGE, 2022), a população do município é estimada em 4.138 pessoas, distribuídas em uma área de 213,56 km², resultando em uma densidade demográfica de 19,38 habitantes por km². A amostragem foi realizada por meio de uma campanha realizada no mês de junho de 2024, que incluiu um ponto de coleta, amplamente divulgado por meio de rádios locais e Agentes de Saúde. Inicialmente, foi realizado um questionário epidemiológico para os tutores para obtenção de dados a serem utilizados na análise dos fatores associados à soropositividade. Em seguida, uma equipe treinada realizou o exame físico e, simultaneamente, foi preenchida uma ficha para inserir os achados clínicos, em seguida foi feita a coleta de sangue dos cães por punção venosa das veias safena ou cefálica, utilizando seringas de 10 mL e agulhas estéreis (scalps) de calibres 21G e 25G, de uso individual. Um total de 10 mL de sangue foi coletado e imediatamente depositado em tubos contendo EDTA e ativador de coágulo, para a realização de testes rápidos, exames hematológicos, bioquímicos e sorológicos. Posteriormente, foi realizado o Teste Rápido DPP® (Dual Path Platform) com sangue total como teste de triagem. Os dados obtidos através dos exames clínicos e questionários epidemiológicos foram armazenados em um banco de dados criado no software Microsoft Excel. 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Resultados e discussão: </w:t>
      </w:r>
      <w:r>
        <w:rPr>
          <w:rFonts w:ascii="Times New Roman" w:hAnsi="Times New Roman" w:eastAsia="Times New Roman" w:cs="Times New Roman"/>
          <w:sz w:val="24"/>
          <w:szCs w:val="24"/>
        </w:rPr>
        <w:t>Das 87 amostras coletadas, 7 testaram positivo no Teste Rápido DPP® (Dual Path Platform), demonstrando uma incidência de aproximadamente 8,05% (7/87). Foi solicitado exame confirmatório para os animais positivados, através do teste ELISA. Entre os animais positivos, todos eram adultos, não castrados e sem raça definida (SRD). Dos cães positivos, 42,86% (3/7) eram machos e 57,14% (4/7) eram fêmeas. Além disso, 28,57% (2/7) dos cães eram assintomáticos. Dos cães sintomáticos, 71,43% (5/7) apresentavam alterações dermatológicas, incluindo alopecia 40% (2/5), dermatite 40% (2/5) e descamação de pele 60% (3/5). Todos os animais sintomáticos possuíam lesões de pele distribuídas da seguinte forma: 40% (2/5) na face (um em ponta da orelha e outro na narina), 40% (2/5) nos membros e 20% (1/5) no dorso. Adicionalmente, 20% (1/5) apresentavam onicogrifose. Linfadenomegalia foi observada em 71,43% (5/7) dos cães, sendo 80% (4/5) no linfonodo poplíteo e 20% (1/5) no linfonodo mandibular. Além disso, 28,57% (2/7) dos cães possuíam ectoparasitas e emagrecimento. Segundo Júnior (2021), a diversidade de características clínicas da LVC são consequência dos amplos mecanismos patogênicos da doença, da variedade de órgãos que serão afetados e da individualidade da resposta imune do hospedeiro, o que torna a lista de diagnósticos diferenciais amplamente extensa. Para Dantas-Torres (2024)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a atual domesticação do ciclo de transmissão de Leishmania </w:t>
      </w:r>
      <w:r>
        <w:rPr>
          <w:rFonts w:ascii="Times New Roman" w:hAnsi="Times New Roman" w:eastAsia="Times New Roman" w:cs="Times New Roman"/>
          <w:sz w:val="24"/>
          <w:szCs w:val="24"/>
        </w:rPr>
        <w:t>tem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causado abruptas mudanças em sua epidemiologia, sobretudo nos seus padrões de transmissão, devido a adaptações do parasita.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36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Conclusão</w:t>
      </w:r>
      <w:r>
        <w:rPr>
          <w:rFonts w:ascii="Helvetica Neue" w:hAnsi="Helvetica Neue" w:eastAsia="Helvetica Neue" w:cs="Helvetica Neue"/>
          <w:color w:val="000000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 pesquisa revelou uma incidência de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LVC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de 8,05%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São José do Sabugi, indicando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 presença da doença na população canina local. Estes dados ressaltam a necessidade de medidas de controle mais efetivas, incluindo campanhas de conscientização pública, controle de vetores e tratamento adequado dos cães infectados. A cooperação entre autoridades de saúde, veterinários e a comunidade é fundamental para reduzir a </w:t>
      </w:r>
      <w:r>
        <w:rPr>
          <w:rFonts w:ascii="Times New Roman" w:hAnsi="Times New Roman" w:eastAsia="Times New Roman" w:cs="Times New Roman"/>
          <w:sz w:val="24"/>
          <w:szCs w:val="24"/>
        </w:rPr>
        <w:t>incidência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da leishmaniose visceral e proteger a saúde pública na região.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line="288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Referências Bibliográficas: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COSTA, Graciele Pereira et al. Métodos de diagnóstico da leishmaniose canina.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Saber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Científico (1982-792X)</w:t>
      </w:r>
      <w:r>
        <w:rPr>
          <w:rFonts w:ascii="Times New Roman" w:hAnsi="Times New Roman" w:eastAsia="Times New Roman" w:cs="Times New Roman"/>
          <w:sz w:val="24"/>
          <w:szCs w:val="24"/>
        </w:rPr>
        <w:t>, v. 9, n. 2, p. 95-104, 2021.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DANTAS-TORRES, Filipe. Canine leishmaniasis in the Americas: etiology, distribution, and clinical and zoonotic importance.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Parasites &amp; Vectors</w:t>
      </w:r>
      <w:r>
        <w:rPr>
          <w:rFonts w:ascii="Times New Roman" w:hAnsi="Times New Roman" w:eastAsia="Times New Roman" w:cs="Times New Roman"/>
          <w:sz w:val="24"/>
          <w:szCs w:val="24"/>
        </w:rPr>
        <w:t>, v. 17, n. 1, p. 198, 2024.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FONSECA JÚNIOR, José Duarte et al. Leishmaniose visceral canina: Revisão.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Pubvet</w:t>
      </w:r>
      <w:r>
        <w:rPr>
          <w:rFonts w:ascii="Times New Roman" w:hAnsi="Times New Roman" w:eastAsia="Times New Roman" w:cs="Times New Roman"/>
          <w:sz w:val="24"/>
          <w:szCs w:val="24"/>
        </w:rPr>
        <w:t>, v. 15, p. 168, 2020.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Instituto Brasileiro de Geografia e Estatística – IBGE. Brasil/ Paraíba [online]. Brasília: IBGE; 2022. Disponível em: https://cidades.ibge.gov.br/brasil/pb/panorama. Acesso em: 19 jul. 2024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418" w:top="1418" w:right="1418" w:bottom="1418" w:header="708" w:footer="708"/>
      <w:paperSrc w:first="0" w:other="0" a="0" b="0"/>
      <w:pgNumType w:fmt="decimal" w:start="1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Helvetica Neue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after="0" w:line="240" w:lineRule="auto"/>
      <w:jc w:val="right"/>
      <w:tabs defTabSz="720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color w:val="000000"/>
      </w:rPr>
    </w:pPr>
    <w:r>
      <w:rPr>
        <w:color w:val="000000"/>
      </w:rPr>
      <w:fldChar w:fldCharType="begin"/>
      <w:instrText xml:space="preserve"> PAGE </w:instrText>
      <w:fldChar w:fldCharType="separate"/>
      <w:t>3</w:t>
      <w:fldChar w:fldCharType="end"/>
    </w:r>
  </w:p>
  <w:p>
    <w:pPr>
      <w:spacing w:after="0" w:line="240" w:lineRule="auto"/>
      <w:tabs defTabSz="720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color w:val="000000"/>
      </w:rPr>
    </w:pPr>
    <w:r>
      <w:rPr>
        <w:color w:val="00000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after="0" w:line="240" w:lineRule="auto"/>
      <w:jc w:val="right"/>
      <w:tabs defTabSz="720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color w:val="000000"/>
      </w:rPr>
    </w:pPr>
    <w:r>
      <w:rPr>
        <w:noProof/>
      </w:rPr>
      <w:drawing>
        <wp:anchor distT="0" distB="0" distL="114300" distR="114300" simplePos="0" relativeHeight="251658241" behindDoc="0" locked="0" layoutInCell="0" hidden="0" allowOverlap="1">
          <wp:simplePos x="0" y="0"/>
          <wp:positionH relativeFrom="column">
            <wp:posOffset>-1071880</wp:posOffset>
          </wp:positionH>
          <wp:positionV relativeFrom="paragraph">
            <wp:posOffset>-487680</wp:posOffset>
          </wp:positionV>
          <wp:extent cx="7912735" cy="140081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extLst>
                      <a:ext uri="smNativeData">
                        <sm:smNativeData xmlns:sm="smNativeData" val="SMDATA_16_gDO5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PUAAAAAAAAA9Q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IAAABo+f//AAAAAAIAAAAA/f//rTAAAJ4IAAAAAAAAAAAAAAAAAAAoAAAACAAAAAEAAAABAAAA"/>
                      </a:ext>
                    </a:extLst>
                  </pic:cNvPicPr>
                </pic:nvPicPr>
                <pic:blipFill>
                  <a:blip r:embed="rId1"/>
                  <a:srcRect t="2450" b="2450"/>
                  <a:stretch>
                    <a:fillRect/>
                  </a:stretch>
                </pic:blipFill>
                <pic:spPr>
                  <a:xfrm>
                    <a:off x="0" y="0"/>
                    <a:ext cx="7912735" cy="14008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color w:val="000000"/>
      </w:rPr>
    </w:r>
  </w:p>
  <w:p>
    <w:pPr>
      <w:spacing w:after="0" w:line="240" w:lineRule="auto"/>
      <w:tabs defTabSz="720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color w:val="000000"/>
      </w:rPr>
    </w:pP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2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3413376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0"/>
      <w:keepNext/>
      <w:keepLines/>
    </w:pPr>
    <w:rPr>
      <w:color w:val="2e75b5"/>
      <w:sz w:val="32"/>
      <w:szCs w:val="32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"/>
    <w:qFormat/>
    <w:rPr>
      <w:rFonts w:ascii="Calibri" w:hAnsi="Calibri" w:eastAsia="Calibri" w:cs="Calibri"/>
      <w:sz w:val="22"/>
      <w:szCs w:val="22"/>
      <w:lang w:val="pt-br"/>
    </w:rPr>
  </w:style>
  <w:style w:type="paragraph" w:styleId="para9" w:customStyle="1">
    <w:name w:val="heading 1"/>
    <w:qFormat/>
    <w:basedOn w:val="para0"/>
    <w:next w:val="para0"/>
    <w:pPr>
      <w:spacing w:before="240" w:after="0"/>
      <w:keepNext/>
      <w:keepLines/>
    </w:pPr>
    <w:rPr>
      <w:color w:val="2e75b5"/>
      <w:sz w:val="32"/>
      <w:szCs w:val="32"/>
    </w:rPr>
  </w:style>
  <w:style w:type="paragraph" w:styleId="para10" w:customStyle="1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11" w:customStyle="1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12" w:customStyle="1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13" w:customStyle="1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14" w:customStyle="1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15" w:customStyle="1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16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7" w:customStyle="1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0"/>
      <w:keepNext/>
      <w:keepLines/>
    </w:pPr>
    <w:rPr>
      <w:color w:val="2e75b5"/>
      <w:sz w:val="32"/>
      <w:szCs w:val="32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"/>
    <w:qFormat/>
    <w:rPr>
      <w:rFonts w:ascii="Calibri" w:hAnsi="Calibri" w:eastAsia="Calibri" w:cs="Calibri"/>
      <w:sz w:val="22"/>
      <w:szCs w:val="22"/>
      <w:lang w:val="pt-br"/>
    </w:rPr>
  </w:style>
  <w:style w:type="paragraph" w:styleId="para9" w:customStyle="1">
    <w:name w:val="heading 1"/>
    <w:qFormat/>
    <w:basedOn w:val="para0"/>
    <w:next w:val="para0"/>
    <w:pPr>
      <w:spacing w:before="240" w:after="0"/>
      <w:keepNext/>
      <w:keepLines/>
    </w:pPr>
    <w:rPr>
      <w:color w:val="2e75b5"/>
      <w:sz w:val="32"/>
      <w:szCs w:val="32"/>
    </w:rPr>
  </w:style>
  <w:style w:type="paragraph" w:styleId="para10" w:customStyle="1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11" w:customStyle="1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12" w:customStyle="1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13" w:customStyle="1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14" w:customStyle="1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15" w:customStyle="1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16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7" w:customStyle="1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Luiza</cp:lastModifiedBy>
  <cp:revision>1</cp:revision>
  <dcterms:created xsi:type="dcterms:W3CDTF">2024-08-11T21:55:43Z</dcterms:created>
  <dcterms:modified xsi:type="dcterms:W3CDTF">2024-08-11T21:56:16Z</dcterms:modified>
</cp:coreProperties>
</file>