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RECIDIVA DE ERLIQUIOSE EM CÃO POSITIVO PARA LEISHMANIOSE: RELATO DE CASO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Daniely da Silva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BARBOSA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Danielly Rodrigues dos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Bianca Pereira dos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Isadora Gomes noca Bezerra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ALMEIDA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Emmyle Sousa Santos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CRUZ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Isabella de Carvalho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ALMEIDA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Luana Vieira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CRUZ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Graduanda em Medicina Veterinária da UNINASSAU Juazeiro do Norte. E-mail: dsbarbosa.aluno@gmail.com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Graduanda em Medicina Veterinária da UNINASSAU Juazeiro do Norte. E-mail: dany.drs13@gmail.com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Graduanda em Medicina Veterinária da UNINASSAU Juazeiro do Norte. 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rtl w:val="0"/>
          </w:rPr>
          <w:t xml:space="preserve">biancasant986@gmail.com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Médica Veterinária da UNINASSAU Juazeiro do Norte. E-mail: Isadoragnba@gmail.com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Médica Veterinária. Especializanda em Anestesiologia Veterinária pelo IFPB- Campus Sousa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Pós-Graduanda em Clínica Médica e Cirúrgica de Pequenos Animais - Unileão. 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emmyle.elymme@gmail.com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Docente de Medicina Veterinária na UNINASSAU. E-mail: 370100877@prof.unijuazeiro.edu.br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Docente de Medicina Veterinária na UNINASSAU.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370101035@prof.unijuazeiro.edu.br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 erliquiose é uma hemoparasitose comum em pequenos animais, transmitida pelo carrapato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4"/>
          <w:szCs w:val="24"/>
          <w:rtl w:val="0"/>
        </w:rPr>
        <w:t xml:space="preserve">Rhipicephalus sanguineus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infectado pela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4"/>
          <w:szCs w:val="24"/>
          <w:rtl w:val="0"/>
        </w:rPr>
        <w:t xml:space="preserve">Ehrlichia canis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. A leishmaniose visceral, é uma zoonose de grande importância médica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causada pelo protozoário do gênero leishmania, é transmitida pela picada do inseto flebotomíneo,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Lutzomyia longipalpis.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Este trabalho descreve o relato de uma cadela, Pug de 3 anos e 5 meses, que apresentou recidiva de erliquiose e diagnóstico positivo para leishmaniose visceral. Os exames físico e complementares evidenciaram anemia grave, trombocitopenia, esplenomegalia e sinais de nefrite. O caso revela a severidade do quadro clínico na coinfecção, exigindo manejo intensivo e reforçando a importância de um diagnóstico preciso e tratamento direcionado.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  Anemia; cães;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rtl w:val="0"/>
        </w:rPr>
        <w:t xml:space="preserve">Ehrlichia sp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Erliquiose e a Leishmaniose são doenças transmitidas por vetores, com ampla distribuição mundial. Os agentes causadores são Ehrlichia canis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Leishmania infantum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respectivamente. Enquanto a erliquiose é transmitida por carrapatos, principalmente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Rhipicephalus sanguineus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 Leishmania é inoculada no hospedeiro através do inseto-vetor da subfamília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Phlebotominae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(Carvalho, 2015).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objetivo deste trabalho é relatar o caso de um canino com recidiva de erliquiose e positivo para leishmaniose, ressaltando o diagnóstico e tratamento da coinfecção.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 de caso: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Canino, fêmea de 3 anos e 5 meses, da raça Pug, pesando 4,9 kg, vacinas em dia, desverminada, com controle de ectoparasitas desatualizado e não castrada, e histórico de tratamento para erliquiose realizado seis meses anteriores ao atendimento. Foi atendida na Clínica Escola de Medicina Veterinária da UNINASSAU no município de Juazeiro do Norte - CE, apresentando anorexia no dia anterior à consulta, apatia, ressecamento em toda a pele e lesão em lábio superior com evolução de aproximadamente um ano. Ao exame físico pode-se observar coloração ocular opaca com presença de ceratoconjuntivite seca, reflexos de ameaça 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preservados; descamação severa na pele e seborreia seca; mucosas hipocoradas; linfonodos submandibulares reativos; tártaro, gengivite e halitose forte; temperatura de 39°C; frequência cardíaca em 184 bpm; frequência respiratória de 36 mrpm; tempo de preenchimento capilar de 3s. Na palpação abdominal o animal demonstrou sensibilidade ao toque e aumento de volume em região de baço. Foram solicitados exames de triagem. Hemograma,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denotou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anemia grave não regenerativa, hematócrito em 12,0% e trombocitopenia severa. Bioquímico, o qual evidenciou uremia considerável e aumento da fosfatase alcalina. Na ultrassonografia abdominal solicitada, os achados foram compatíveis com Esplenomegalia heterogênea, colecistite; nefrite, líquido livre cavitário nos quatro sítios avaliados; os demais órgãos abdominais avaliados possuíam aspecto ultrassonográfico dentro da normalidade no momento do exame. O animal testou positivo para leishmaniose no teste rápido. Foi solicitada uma amostra sorológica para o diagnóstico de leishmaniose, com resultado obtido poucos dias após a primeira consulta. A amostra se apresentou reagente tanto no teste de ensaio imunoenzimático (ELISA) quanto no teste de reação de imunofluorescência indireta (RIFI). O paciente foi imediatamente internado e iniciou-se tratamento com fluidoterapia. Foi realizada transfusão sanguínea, com constante monitoramento de parâmetros. A primeiro momento, foi solicitado tratamento para a erliquiose, com administração de doxiciclina 50mg (SID, durante 26 dias), prednisolona 10mg (SID, 01 comprimido por 7 dias, depois, 1/2 comprimido, SID, durante 10 dias), hemolitan gold (BID, durante 30 dias) e hepvet (½ comprimido, SID, durante 60 dias). No retorno do animal, subsequente ao resultado do teste sorológico, iniciou-se o protocolo de controle especial para leishmaniose, que incluíram administração de milteforan (0,55ml, SID, durante 30 dias), alopurinol (1 cápsula, BID, uso contínuo até novas recomendações) e munnomax (SID, durante 90 dias).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sinais clínicos apresentados na erliquiose, como apatia, anemia e enfraquecimento relacionam-se tanto na fase aguda quanto na reagudização em fase crônica com a capacidade de reprodução exponencial do parasito em células sanguíneas (Alves et al.,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2013). Na coinfecção com a leishmaniose, os sinais clínicos mais frequentes descritos na literatura segundo Paulan et al. (2013) foram perda de peso, onicogrifose, linfoadenopatia, alopecia e outras alterações dermatológicas, compatíveis com a clínica do animal apresentada no caso. O hemograma evidenciou a presença de anemia grave arregenerativa, condizente com o que é descrito na literatura, não podendo assim relacionar o quadro somente à erliquiose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Pinto Brandão et al., 2004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Os achados no exame ultrassonográfico podem estar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correlacionados à hematopoiese extramedular devido ao processo inflamatório e infeccioso. Considerando a observação de Carlos et al. (2007), de que o microrganismo se multiplica dentro das células mononucleares circulantes e dos tecidos fagocitários mononucleares do fígado, baço e linfonodos, levando a hiperplasia do fígado e/ou do baço e nefrite que pode estar associada a nefropatia aguda. Além disso, os dois agentes infecciosos são disseminados da pele para o baço, fígado, medula óssea e ativam mecanismos imunes que induzem uma grande variedade de respostas imunopatológicas (Andrade et al., 2014).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Diante do caso descrito, fica evidente a severidade do quadro clínico e os desafios no manejo de um animal com coinfecção de erliquiose e leishmaniose visceral. A resposta ao tratamento e a evolução clínica subsequente serão cruciais para determinar o prognóstico e ajustar a abordagem terapêutica conforme necessário. O relato destaca a importância de considerar coinfecções em quadros clínicos atípicos e reforça a necessidade de intervenções terapêuticas direcionadas.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 Bibliográficas: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ALVES, R. N. et al. A manutenção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Ehrlichia canis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em macrófagos é dependente da evasão lisossomal.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Ars Veterinaria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29, n. 4, p. 5, 2013. Disponível em: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http://dx.doi.org/10.15361/2175-0106.2013v29n4p5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21 jul. 2024.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BRANDÃO, L. P. et al. Anemia hemolítica imunomediada não regenerativa em um cão.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Ciência Rural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34, p. 557-561, 2004.</w:t>
      </w:r>
    </w:p>
    <w:p w:rsidR="00000000" w:rsidDel="00000000" w:rsidP="00000000" w:rsidRDefault="00000000" w:rsidRPr="00000000" w14:paraId="0000001E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CARLOS, R. S. A. et al. Freqüência de anticorpos anti-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Ehrlichia canis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Borrelia burgdorferi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antígenos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Dirofilaria immitis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em cães na microrregião Ilhéus-Itabuna, Bahia, Brasil.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Brasileira de Parasitologia Veterinária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16, n. 3, p. 117-120, 2007. Disponível em: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https://doi.org/10.1590/S1984-29612007000300001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Acesso em: 21 jul. 2024.</w:t>
      </w:r>
    </w:p>
    <w:p w:rsidR="00000000" w:rsidDel="00000000" w:rsidP="00000000" w:rsidRDefault="00000000" w:rsidRPr="00000000" w14:paraId="0000001F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CARVALHO, R. M. de 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Estudo da coinfecção Leishmania infantum e Ehrlichia canis em cães numa área endêmica para leishmaniose visceral canina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2015. 79 f. Tese (Doutorado em Patologia) – Universidade Federal da Bahia, Fundação Oswaldo Cruz, Centro de Pesquisas Gonçalo Moniz, Salvador, 2015.</w:t>
      </w:r>
    </w:p>
    <w:p w:rsidR="00000000" w:rsidDel="00000000" w:rsidP="00000000" w:rsidRDefault="00000000" w:rsidRPr="00000000" w14:paraId="00000020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PADILHA, V. M. et al. Erliquiose monocítica canina recidivante: relato de caso.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Pubvet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14, p. 138, 2019.</w:t>
      </w:r>
    </w:p>
    <w:p w:rsidR="00000000" w:rsidDel="00000000" w:rsidP="00000000" w:rsidRDefault="00000000" w:rsidRPr="00000000" w14:paraId="00000021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PAULAN, S. C. et al. Seroprevalence rates of antibodies against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Leishmania infantum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other protozoan and rickettsial parasites in dogs.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Brasileira de Parasitologia Veterinária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22, n. 1, p. 162-166, 2013.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418" w:top="1418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-1071878</wp:posOffset>
          </wp:positionH>
          <wp:positionV relativeFrom="paragraph">
            <wp:posOffset>-487679</wp:posOffset>
          </wp:positionV>
          <wp:extent cx="7912968" cy="140055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54" l="0" r="0" t="2454"/>
                  <a:stretch>
                    <a:fillRect/>
                  </a:stretch>
                </pic:blipFill>
                <pic:spPr>
                  <a:xfrm>
                    <a:off x="0" y="0"/>
                    <a:ext cx="7912968" cy="140055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i.org/10.1590/S1984-29612007000300001" TargetMode="External"/><Relationship Id="rId10" Type="http://schemas.openxmlformats.org/officeDocument/2006/relationships/hyperlink" Target="http://dx.doi.org/10.15361/2175-0106.2013v29n4p5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oi.org/10.1590/S1984-2961200700030000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x.doi.org/10.15361/2175-0106.2013v29n4p5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biancasant986@gmail.com" TargetMode="External"/><Relationship Id="rId7" Type="http://schemas.openxmlformats.org/officeDocument/2006/relationships/hyperlink" Target="mailto:emmyle.elymme@gmail.com" TargetMode="External"/><Relationship Id="rId8" Type="http://schemas.openxmlformats.org/officeDocument/2006/relationships/hyperlink" Target="mailto:370101035@prof.unijuazeiro.edu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