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D2CF0" w14:textId="77777777" w:rsidR="009B6B8C" w:rsidRDefault="009B6B8C" w:rsidP="00F7616C">
      <w:pPr>
        <w:jc w:val="right"/>
        <w:rPr>
          <w:rFonts w:ascii="Times New Roman" w:hAnsi="Times New Roman" w:cs="Times New Roman"/>
        </w:rPr>
      </w:pPr>
    </w:p>
    <w:p w14:paraId="5C774547" w14:textId="02F80DA0" w:rsidR="00F8474D" w:rsidRDefault="005569F9" w:rsidP="00F8474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</w:t>
      </w:r>
      <w:r w:rsidRPr="005569F9">
        <w:rPr>
          <w:rFonts w:ascii="Times New Roman" w:hAnsi="Times New Roman" w:cs="Times New Roman"/>
          <w:b/>
          <w:bCs/>
        </w:rPr>
        <w:t>ráticas curriculares e desigualdades sociais: história da imagem e história das palavras</w:t>
      </w:r>
    </w:p>
    <w:p w14:paraId="111B83A9" w14:textId="77777777" w:rsidR="005569F9" w:rsidRDefault="005569F9" w:rsidP="00F8474D">
      <w:pPr>
        <w:jc w:val="center"/>
        <w:rPr>
          <w:rFonts w:ascii="Times New Roman" w:hAnsi="Times New Roman" w:cs="Times New Roman"/>
          <w:b/>
          <w:bCs/>
        </w:rPr>
      </w:pPr>
    </w:p>
    <w:p w14:paraId="79C0CD05" w14:textId="77777777" w:rsidR="00D254DE" w:rsidRPr="00F8474D" w:rsidRDefault="00D254DE" w:rsidP="00F8474D">
      <w:pPr>
        <w:jc w:val="center"/>
        <w:rPr>
          <w:rFonts w:ascii="Times New Roman" w:hAnsi="Times New Roman" w:cs="Times New Roman"/>
          <w:b/>
          <w:bCs/>
        </w:rPr>
      </w:pPr>
    </w:p>
    <w:p w14:paraId="52E0675D" w14:textId="292F25B5" w:rsidR="00F8474D" w:rsidRDefault="005569F9" w:rsidP="00F8474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José Lucas Coutinho de Moraes</w:t>
      </w:r>
      <w:r w:rsidR="00D254DE">
        <w:rPr>
          <w:rFonts w:ascii="Times New Roman" w:hAnsi="Times New Roman" w:cs="Times New Roman"/>
        </w:rPr>
        <w:t xml:space="preserve"> -</w:t>
      </w:r>
      <w:r w:rsidR="00D254DE" w:rsidRPr="00D254DE">
        <w:rPr>
          <w:rFonts w:ascii="Times New Roman" w:eastAsia="Times New Roman" w:hAnsi="Times New Roman" w:cs="Times New Roman"/>
          <w:szCs w:val="20"/>
          <w:lang w:eastAsia="pt-BR"/>
        </w:rPr>
        <w:t xml:space="preserve"> </w:t>
      </w:r>
      <w:r w:rsidR="00D254DE">
        <w:rPr>
          <w:rFonts w:ascii="Times New Roman" w:eastAsia="Times New Roman" w:hAnsi="Times New Roman" w:cs="Times New Roman"/>
          <w:szCs w:val="20"/>
          <w:lang w:eastAsia="pt-BR"/>
        </w:rPr>
        <w:t>Universidade do Estado do Rio de Janeiro</w:t>
      </w:r>
    </w:p>
    <w:p w14:paraId="15713EC6" w14:textId="30A9FE0D" w:rsidR="005569F9" w:rsidRDefault="005569F9" w:rsidP="00F8474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Alana de Souza Bastos</w:t>
      </w:r>
      <w:r w:rsidR="00D254DE">
        <w:rPr>
          <w:rFonts w:ascii="Times New Roman" w:hAnsi="Times New Roman" w:cs="Times New Roman"/>
        </w:rPr>
        <w:t xml:space="preserve"> -</w:t>
      </w:r>
      <w:r w:rsidR="00D254DE" w:rsidRPr="00D254DE">
        <w:rPr>
          <w:rFonts w:ascii="Times New Roman" w:eastAsia="Times New Roman" w:hAnsi="Times New Roman" w:cs="Times New Roman"/>
          <w:szCs w:val="20"/>
          <w:lang w:eastAsia="pt-BR"/>
        </w:rPr>
        <w:t xml:space="preserve"> </w:t>
      </w:r>
      <w:r w:rsidR="00D254DE">
        <w:rPr>
          <w:rFonts w:ascii="Times New Roman" w:eastAsia="Times New Roman" w:hAnsi="Times New Roman" w:cs="Times New Roman"/>
          <w:szCs w:val="20"/>
          <w:lang w:eastAsia="pt-BR"/>
        </w:rPr>
        <w:t>Universidade do Estado do Rio de Janeiro</w:t>
      </w:r>
    </w:p>
    <w:p w14:paraId="669EF82F" w14:textId="68625B6A" w:rsidR="005569F9" w:rsidRDefault="005569F9" w:rsidP="005D414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Renata Salles Pacheco Cardoso</w:t>
      </w:r>
      <w:r w:rsidR="00D254DE">
        <w:rPr>
          <w:rFonts w:ascii="Times New Roman" w:hAnsi="Times New Roman" w:cs="Times New Roman"/>
        </w:rPr>
        <w:t xml:space="preserve"> - </w:t>
      </w:r>
      <w:r w:rsidR="00D254DE">
        <w:rPr>
          <w:rFonts w:ascii="Times New Roman" w:eastAsia="Times New Roman" w:hAnsi="Times New Roman" w:cs="Times New Roman"/>
          <w:szCs w:val="20"/>
          <w:lang w:eastAsia="pt-BR"/>
        </w:rPr>
        <w:t>Universidade do Estado do Rio de Janeiro</w:t>
      </w:r>
    </w:p>
    <w:p w14:paraId="557DFFA6" w14:textId="77777777" w:rsidR="00D254DE" w:rsidRDefault="00D254DE" w:rsidP="005D4145">
      <w:pPr>
        <w:jc w:val="right"/>
        <w:rPr>
          <w:rFonts w:ascii="Times New Roman" w:hAnsi="Times New Roman" w:cs="Times New Roman"/>
        </w:rPr>
      </w:pPr>
    </w:p>
    <w:p w14:paraId="5D20BCBC" w14:textId="77777777" w:rsidR="00D254DE" w:rsidRPr="005D4145" w:rsidRDefault="00D254DE" w:rsidP="005D4145">
      <w:pPr>
        <w:jc w:val="right"/>
        <w:rPr>
          <w:rFonts w:ascii="Times New Roman" w:hAnsi="Times New Roman" w:cs="Times New Roman"/>
        </w:rPr>
      </w:pPr>
    </w:p>
    <w:p w14:paraId="66C87FB3" w14:textId="4859249D" w:rsidR="005569F9" w:rsidRDefault="005569F9" w:rsidP="00642714">
      <w:pPr>
        <w:shd w:val="clear" w:color="auto" w:fill="FFFFFF"/>
        <w:spacing w:line="360" w:lineRule="auto"/>
        <w:ind w:hanging="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1 </w:t>
      </w:r>
      <w:r w:rsidR="004A7AE0">
        <w:rPr>
          <w:rFonts w:ascii="Times New Roman" w:eastAsia="Times New Roman" w:hAnsi="Times New Roman" w:cs="Times New Roman"/>
          <w:b/>
        </w:rPr>
        <w:t>Considerações iniciais</w:t>
      </w:r>
    </w:p>
    <w:p w14:paraId="34D7E1C6" w14:textId="77777777" w:rsidR="005569F9" w:rsidRDefault="005569F9" w:rsidP="00642714">
      <w:pPr>
        <w:shd w:val="clear" w:color="auto" w:fill="FFFFFF"/>
        <w:spacing w:line="360" w:lineRule="auto"/>
        <w:ind w:hanging="2"/>
        <w:jc w:val="both"/>
        <w:rPr>
          <w:rFonts w:ascii="Times New Roman" w:eastAsia="Times New Roman" w:hAnsi="Times New Roman" w:cs="Times New Roman"/>
          <w:b/>
        </w:rPr>
      </w:pPr>
    </w:p>
    <w:p w14:paraId="2626BF6E" w14:textId="13F4D926" w:rsidR="0025522F" w:rsidRDefault="005569F9" w:rsidP="00642714">
      <w:pPr>
        <w:shd w:val="clear" w:color="auto" w:fill="FFFFFF"/>
        <w:spacing w:line="360" w:lineRule="auto"/>
        <w:ind w:hanging="2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presente pesquisa tem como objetivo </w:t>
      </w:r>
      <w:r w:rsidR="00230523">
        <w:rPr>
          <w:rFonts w:ascii="Times New Roman" w:eastAsia="Times New Roman" w:hAnsi="Times New Roman" w:cs="Times New Roman"/>
        </w:rPr>
        <w:t>estudar</w:t>
      </w:r>
      <w:r>
        <w:rPr>
          <w:rFonts w:ascii="Times New Roman" w:eastAsia="Times New Roman" w:hAnsi="Times New Roman" w:cs="Times New Roman"/>
        </w:rPr>
        <w:t xml:space="preserve"> </w:t>
      </w:r>
      <w:r w:rsidRPr="00584192">
        <w:rPr>
          <w:rFonts w:ascii="Times New Roman" w:eastAsia="Times New Roman" w:hAnsi="Times New Roman" w:cs="Times New Roman"/>
        </w:rPr>
        <w:t>o processo de juvenilização</w:t>
      </w:r>
      <w:r>
        <w:rPr>
          <w:rFonts w:ascii="Times New Roman" w:eastAsia="Times New Roman" w:hAnsi="Times New Roman" w:cs="Times New Roman"/>
        </w:rPr>
        <w:t xml:space="preserve"> que ocorre na educação de jovens e adultos do Leste Fluminense do Estado do Rio de Janeiro</w:t>
      </w:r>
      <w:r w:rsidR="0025522F">
        <w:rPr>
          <w:rFonts w:ascii="Times New Roman" w:eastAsia="Times New Roman" w:hAnsi="Times New Roman" w:cs="Times New Roman"/>
        </w:rPr>
        <w:t xml:space="preserve"> e </w:t>
      </w:r>
      <w:r w:rsidR="00B37D19">
        <w:rPr>
          <w:rFonts w:ascii="Times New Roman" w:eastAsia="Times New Roman" w:hAnsi="Times New Roman" w:cs="Times New Roman"/>
        </w:rPr>
        <w:t>coletar informações a</w:t>
      </w:r>
      <w:r w:rsidR="00230523">
        <w:rPr>
          <w:rFonts w:ascii="Times New Roman" w:eastAsia="Times New Roman" w:hAnsi="Times New Roman" w:cs="Times New Roman"/>
        </w:rPr>
        <w:t xml:space="preserve">cerca desse evento </w:t>
      </w:r>
      <w:r w:rsidR="0025522F">
        <w:rPr>
          <w:rFonts w:ascii="Times New Roman" w:eastAsia="Times New Roman" w:hAnsi="Times New Roman" w:cs="Times New Roman"/>
        </w:rPr>
        <w:t>a partir</w:t>
      </w:r>
      <w:r w:rsidR="00E40559">
        <w:rPr>
          <w:rFonts w:ascii="Times New Roman" w:eastAsia="Times New Roman" w:hAnsi="Times New Roman" w:cs="Times New Roman"/>
        </w:rPr>
        <w:t xml:space="preserve"> do estudo de caso de dois</w:t>
      </w:r>
      <w:r w:rsidR="0025522F">
        <w:rPr>
          <w:rFonts w:ascii="Times New Roman" w:eastAsia="Times New Roman" w:hAnsi="Times New Roman" w:cs="Times New Roman"/>
        </w:rPr>
        <w:t xml:space="preserve"> ateliês de formação</w:t>
      </w:r>
      <w:r w:rsidR="00230523">
        <w:rPr>
          <w:rFonts w:ascii="Times New Roman" w:eastAsia="Times New Roman" w:hAnsi="Times New Roman" w:cs="Times New Roman"/>
        </w:rPr>
        <w:t xml:space="preserve"> de fotografia e escrita literária</w:t>
      </w:r>
      <w:r w:rsidR="0025522F">
        <w:rPr>
          <w:rFonts w:ascii="Times New Roman" w:eastAsia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081C840D" w14:textId="179DA9D1" w:rsidR="005569F9" w:rsidRPr="008A51A9" w:rsidRDefault="0025522F" w:rsidP="00642714">
      <w:pPr>
        <w:shd w:val="clear" w:color="auto" w:fill="FFFFFF"/>
        <w:spacing w:line="360" w:lineRule="auto"/>
        <w:ind w:hanging="2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</w:rPr>
        <w:t>Ademais</w:t>
      </w:r>
      <w:r w:rsidR="00B37D19">
        <w:rPr>
          <w:rFonts w:ascii="Times New Roman" w:eastAsia="Times New Roman" w:hAnsi="Times New Roman" w:cs="Times New Roman"/>
        </w:rPr>
        <w:t>,</w:t>
      </w:r>
      <w:r w:rsidR="005569F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pretende-se </w:t>
      </w:r>
      <w:r w:rsidR="005569F9">
        <w:rPr>
          <w:rFonts w:ascii="Times New Roman" w:eastAsia="Times New Roman" w:hAnsi="Times New Roman" w:cs="Times New Roman"/>
        </w:rPr>
        <w:t xml:space="preserve">analisar as experiências didático-metodológicas a partir fotografia e da literatura e </w:t>
      </w:r>
      <w:r>
        <w:rPr>
          <w:rFonts w:ascii="Times New Roman" w:eastAsia="Times New Roman" w:hAnsi="Times New Roman" w:cs="Times New Roman"/>
        </w:rPr>
        <w:t xml:space="preserve">a </w:t>
      </w:r>
      <w:r w:rsidR="005569F9">
        <w:rPr>
          <w:rFonts w:ascii="Times New Roman" w:eastAsia="Times New Roman" w:hAnsi="Times New Roman" w:cs="Times New Roman"/>
        </w:rPr>
        <w:t xml:space="preserve">sua correlação com uma prática pedagógica que vise </w:t>
      </w:r>
      <w:r w:rsidR="00E40559">
        <w:rPr>
          <w:rFonts w:ascii="Times New Roman" w:eastAsia="Times New Roman" w:hAnsi="Times New Roman" w:cs="Times New Roman"/>
        </w:rPr>
        <w:t>à</w:t>
      </w:r>
      <w:r w:rsidR="005569F9">
        <w:rPr>
          <w:rFonts w:ascii="Times New Roman" w:eastAsia="Times New Roman" w:hAnsi="Times New Roman" w:cs="Times New Roman"/>
        </w:rPr>
        <w:t xml:space="preserve"> </w:t>
      </w:r>
      <w:r w:rsidR="005569F9" w:rsidRPr="00584192">
        <w:rPr>
          <w:rFonts w:ascii="Times New Roman" w:eastAsia="Times New Roman" w:hAnsi="Times New Roman" w:cs="Times New Roman"/>
        </w:rPr>
        <w:t>autonomia das juventudes periféricas de</w:t>
      </w:r>
      <w:r w:rsidR="00E40559" w:rsidRPr="00584192">
        <w:rPr>
          <w:rFonts w:ascii="Times New Roman" w:eastAsia="Times New Roman" w:hAnsi="Times New Roman" w:cs="Times New Roman"/>
        </w:rPr>
        <w:t xml:space="preserve"> duas</w:t>
      </w:r>
      <w:r w:rsidR="005569F9" w:rsidRPr="00584192">
        <w:rPr>
          <w:rFonts w:ascii="Times New Roman" w:eastAsia="Times New Roman" w:hAnsi="Times New Roman" w:cs="Times New Roman"/>
        </w:rPr>
        <w:t xml:space="preserve"> escolas públicas do Estado do Rio de Janeiro.</w:t>
      </w:r>
      <w:r w:rsidR="00214640">
        <w:rPr>
          <w:rFonts w:ascii="Times New Roman" w:eastAsia="Times New Roman" w:hAnsi="Times New Roman" w:cs="Times New Roman"/>
        </w:rPr>
        <w:t xml:space="preserve"> </w:t>
      </w:r>
    </w:p>
    <w:p w14:paraId="49029B66" w14:textId="1A376F6F" w:rsidR="005569F9" w:rsidRDefault="005569F9" w:rsidP="00642714">
      <w:pPr>
        <w:shd w:val="clear" w:color="auto" w:fill="FFFFFF"/>
        <w:spacing w:line="360" w:lineRule="auto"/>
        <w:ind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partir da coleta de dados acerca da formação docente na região </w:t>
      </w:r>
      <w:r w:rsidR="00230523"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</w:rPr>
        <w:t xml:space="preserve">este </w:t>
      </w:r>
      <w:r w:rsidR="00230523"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</w:rPr>
        <w:t>luminense do</w:t>
      </w:r>
      <w:r w:rsidR="00B37D19">
        <w:rPr>
          <w:rFonts w:ascii="Times New Roman" w:eastAsia="Times New Roman" w:hAnsi="Times New Roman" w:cs="Times New Roman"/>
        </w:rPr>
        <w:t xml:space="preserve"> Estado do Rio de Janeiro, além da observação de </w:t>
      </w:r>
      <w:r>
        <w:rPr>
          <w:rFonts w:ascii="Times New Roman" w:eastAsia="Times New Roman" w:hAnsi="Times New Roman" w:cs="Times New Roman"/>
        </w:rPr>
        <w:t>práticas pedagógicas infantilizadas destinadas ao público da EJA, foi possível perceber uma m</w:t>
      </w:r>
      <w:r w:rsidR="00B37D19">
        <w:rPr>
          <w:rFonts w:ascii="Times New Roman" w:eastAsia="Times New Roman" w:hAnsi="Times New Roman" w:cs="Times New Roman"/>
        </w:rPr>
        <w:t>odalidade cada vez mais jovem. A</w:t>
      </w:r>
      <w:r>
        <w:rPr>
          <w:rFonts w:ascii="Times New Roman" w:eastAsia="Times New Roman" w:hAnsi="Times New Roman" w:cs="Times New Roman"/>
        </w:rPr>
        <w:t xml:space="preserve"> legislação assegura que a idade mínima para ingresso e conclusão do ensino fundamental na modalidade EJA seja 15 anos, no entanto, muitos autores têm criticado esse corte etário, uma vez que é crescente o número de escolas que utiliza a modalidade com o viés de correção de fluxo. </w:t>
      </w:r>
    </w:p>
    <w:p w14:paraId="04106622" w14:textId="599F830E" w:rsidR="005569F9" w:rsidRDefault="005569F9" w:rsidP="00642714">
      <w:pPr>
        <w:shd w:val="clear" w:color="auto" w:fill="FFFFFF"/>
        <w:spacing w:line="360" w:lineRule="auto"/>
        <w:ind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Para </w:t>
      </w:r>
      <w:r w:rsidR="00E40559">
        <w:rPr>
          <w:rFonts w:ascii="Times New Roman" w:eastAsia="Times New Roman" w:hAnsi="Times New Roman" w:cs="Times New Roman"/>
        </w:rPr>
        <w:t>Almeida</w:t>
      </w:r>
      <w:r w:rsidR="00213BB2">
        <w:rPr>
          <w:rFonts w:ascii="Times New Roman" w:eastAsia="Times New Roman" w:hAnsi="Times New Roman" w:cs="Times New Roman"/>
        </w:rPr>
        <w:t xml:space="preserve"> e </w:t>
      </w:r>
      <w:r w:rsidR="00E40559">
        <w:rPr>
          <w:rFonts w:ascii="Times New Roman" w:eastAsia="Times New Roman" w:hAnsi="Times New Roman" w:cs="Times New Roman"/>
        </w:rPr>
        <w:t xml:space="preserve">Corso </w:t>
      </w:r>
      <w:r>
        <w:rPr>
          <w:rFonts w:ascii="Times New Roman" w:eastAsia="Times New Roman" w:hAnsi="Times New Roman" w:cs="Times New Roman"/>
        </w:rPr>
        <w:t>(2017), essa determinação legal aliada aos problemas enfrentados pela escola corrobora para que ocorra a juvenilização da EJA, acarretando novos desafios no campo político e pedagógico dessa modalidade de ensino.</w:t>
      </w:r>
    </w:p>
    <w:p w14:paraId="042AE42C" w14:textId="77777777" w:rsidR="005569F9" w:rsidRDefault="005569F9" w:rsidP="00642714">
      <w:pPr>
        <w:shd w:val="clear" w:color="auto" w:fill="FFFFFF"/>
        <w:spacing w:line="360" w:lineRule="auto"/>
        <w:ind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Nesse sentido, o estudo sobre a didática docente, com o intuito de identificar os caminhos metodológicos percorridos por uma escola noturna de EJA e os </w:t>
      </w:r>
      <w:r>
        <w:rPr>
          <w:rFonts w:ascii="Times New Roman" w:eastAsia="Times New Roman" w:hAnsi="Times New Roman" w:cs="Times New Roman"/>
        </w:rPr>
        <w:lastRenderedPageBreak/>
        <w:t xml:space="preserve">“descaminhos” na produção dos sentidos educativos e das práticas pedagógicas que abordem as contradições da história dos jovens trabalhadores e do direito à educação de qualidade, se faz extremamente relevante. </w:t>
      </w:r>
    </w:p>
    <w:p w14:paraId="7C8019D6" w14:textId="77777777" w:rsidR="005569F9" w:rsidRPr="004F0E32" w:rsidRDefault="005569F9" w:rsidP="00642714">
      <w:pPr>
        <w:shd w:val="clear" w:color="auto" w:fill="FFFFFF"/>
        <w:spacing w:line="360" w:lineRule="auto"/>
        <w:ind w:hanging="2"/>
        <w:jc w:val="both"/>
        <w:rPr>
          <w:rFonts w:ascii="Times New Roman" w:eastAsia="Times New Roman" w:hAnsi="Times New Roman" w:cs="Times New Roman"/>
        </w:rPr>
      </w:pPr>
    </w:p>
    <w:p w14:paraId="596C2D3D" w14:textId="77777777" w:rsidR="005569F9" w:rsidRDefault="005569F9" w:rsidP="00642714">
      <w:pPr>
        <w:shd w:val="clear" w:color="auto" w:fill="FFFFFF"/>
        <w:spacing w:line="360" w:lineRule="auto"/>
        <w:ind w:hanging="2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2 Metodologia</w:t>
      </w:r>
    </w:p>
    <w:p w14:paraId="261058CD" w14:textId="77777777" w:rsidR="005569F9" w:rsidRDefault="005569F9" w:rsidP="00642714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65E22343" w14:textId="2F6F9C3B" w:rsidR="00584192" w:rsidRPr="00D924B2" w:rsidRDefault="005569F9" w:rsidP="0064271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metodologia </w:t>
      </w:r>
      <w:r w:rsidRPr="00D924B2">
        <w:rPr>
          <w:rFonts w:ascii="Times New Roman" w:hAnsi="Times New Roman" w:cs="Times New Roman"/>
        </w:rPr>
        <w:t>da pesquisa é de natureza qualitativa, pois a pesquisa preocupou-se com o contexto da escola de EJA a ser investigada. Desse modo, realizamos uma abordagem sistemática acerca da realidade social dos sujeitos. Minayo e Sanches (1993, p.</w:t>
      </w:r>
      <w:r>
        <w:rPr>
          <w:rFonts w:ascii="Times New Roman" w:hAnsi="Times New Roman" w:cs="Times New Roman"/>
        </w:rPr>
        <w:t xml:space="preserve"> </w:t>
      </w:r>
      <w:r w:rsidRPr="00D924B2">
        <w:rPr>
          <w:rFonts w:ascii="Times New Roman" w:hAnsi="Times New Roman" w:cs="Times New Roman"/>
        </w:rPr>
        <w:t>244), ressaltam que a pesquisa qualitativa atua no campo da subjetividade</w:t>
      </w:r>
      <w:r w:rsidR="00214640">
        <w:rPr>
          <w:rFonts w:ascii="Times New Roman" w:hAnsi="Times New Roman" w:cs="Times New Roman"/>
        </w:rPr>
        <w:t xml:space="preserve"> </w:t>
      </w:r>
      <w:r w:rsidR="00214640" w:rsidRPr="00584192">
        <w:rPr>
          <w:rFonts w:ascii="Times New Roman" w:hAnsi="Times New Roman" w:cs="Times New Roman"/>
        </w:rPr>
        <w:t>e</w:t>
      </w:r>
      <w:r w:rsidRPr="00D924B2">
        <w:rPr>
          <w:rFonts w:ascii="Times New Roman" w:hAnsi="Times New Roman" w:cs="Times New Roman"/>
        </w:rPr>
        <w:t xml:space="preserve"> do simbolismo. </w:t>
      </w:r>
    </w:p>
    <w:p w14:paraId="087DC941" w14:textId="7BDC788C" w:rsidR="005569F9" w:rsidRDefault="005569F9" w:rsidP="0064271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 dados incluem o registro </w:t>
      </w:r>
      <w:r w:rsidRPr="00584192">
        <w:rPr>
          <w:rFonts w:ascii="Times New Roman" w:hAnsi="Times New Roman" w:cs="Times New Roman"/>
        </w:rPr>
        <w:t>d</w:t>
      </w:r>
      <w:r w:rsidR="00E40559" w:rsidRPr="00584192">
        <w:rPr>
          <w:rFonts w:ascii="Times New Roman" w:hAnsi="Times New Roman" w:cs="Times New Roman"/>
        </w:rPr>
        <w:t>e trinta e cinco</w:t>
      </w:r>
      <w:r w:rsidRPr="00584192">
        <w:rPr>
          <w:rFonts w:ascii="Times New Roman" w:hAnsi="Times New Roman" w:cs="Times New Roman"/>
        </w:rPr>
        <w:t xml:space="preserve"> estudantes</w:t>
      </w:r>
      <w:r w:rsidRPr="008A51A9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com a literatura e a análise das fotografias que foram realizadas por eles. A idade aproximada dos participantes varia entre 15 e 56, sendo a maioria pertencente a faixa etária de 15 a 27 anos. </w:t>
      </w:r>
    </w:p>
    <w:p w14:paraId="5C9E7377" w14:textId="404AF8E3" w:rsidR="005569F9" w:rsidRDefault="005569F9" w:rsidP="0064271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Nossas investigações aproximam-se do procedimento de pesquisa de estudo de caso, ao nos debruçarmos sobre uma situação específica, ou seja, os sentidos produzidos pelos jovens durante </w:t>
      </w:r>
      <w:r w:rsidR="004A1FA1">
        <w:rPr>
          <w:rFonts w:ascii="Times New Roman" w:hAnsi="Times New Roman" w:cs="Times New Roman"/>
        </w:rPr>
        <w:t>os ateliês formativos</w:t>
      </w:r>
      <w:r w:rsidR="00B37D19">
        <w:rPr>
          <w:rFonts w:ascii="Times New Roman" w:hAnsi="Times New Roman" w:cs="Times New Roman"/>
        </w:rPr>
        <w:t xml:space="preserve">. De acordo com Ponte (2006, p. </w:t>
      </w:r>
      <w:r>
        <w:rPr>
          <w:rFonts w:ascii="Times New Roman" w:hAnsi="Times New Roman" w:cs="Times New Roman"/>
        </w:rPr>
        <w:t xml:space="preserve">2) essa investigação </w:t>
      </w:r>
      <w:r w:rsidR="00E40559">
        <w:rPr>
          <w:rFonts w:ascii="Times New Roman" w:hAnsi="Times New Roman" w:cs="Times New Roman"/>
        </w:rPr>
        <w:t>particularista</w:t>
      </w:r>
      <w:r>
        <w:rPr>
          <w:rFonts w:ascii="Times New Roman" w:hAnsi="Times New Roman" w:cs="Times New Roman"/>
        </w:rPr>
        <w:t xml:space="preserve"> contribui “[...] para a compreensão global de um certo fenômeno de interesse”. </w:t>
      </w:r>
      <w:r w:rsidR="00E40559">
        <w:rPr>
          <w:rFonts w:ascii="Times New Roman" w:hAnsi="Times New Roman" w:cs="Times New Roman"/>
        </w:rPr>
        <w:t>A proposta dos ateliês nos aproxima da concepção descrita por Bassi (2007), onde a escola se torna um grande laboratório de práticas educativas que amplia as abordagens e os olhares criativos dos adultos. Nesse sentido, corroboramos com Malaguzzi (1999) que a metodologia dos ateliês de fotografia e escrita literária permitem experimentações, coletividades e diálogo que promova a reflexão ética e crítica sobre a realidade dos estudantes.</w:t>
      </w:r>
    </w:p>
    <w:p w14:paraId="45C0868E" w14:textId="77777777" w:rsidR="005569F9" w:rsidRDefault="005569F9" w:rsidP="00642714">
      <w:pPr>
        <w:shd w:val="clear" w:color="auto" w:fill="FFFFFF"/>
        <w:spacing w:line="360" w:lineRule="auto"/>
        <w:ind w:hanging="2"/>
        <w:jc w:val="both"/>
        <w:rPr>
          <w:rFonts w:ascii="Times New Roman" w:eastAsia="Times New Roman" w:hAnsi="Times New Roman" w:cs="Times New Roman"/>
          <w:b/>
          <w:bCs/>
        </w:rPr>
      </w:pPr>
    </w:p>
    <w:p w14:paraId="05F6C5C3" w14:textId="77777777" w:rsidR="005569F9" w:rsidRDefault="005569F9" w:rsidP="00642714">
      <w:pPr>
        <w:shd w:val="clear" w:color="auto" w:fill="FFFFFF"/>
        <w:spacing w:line="360" w:lineRule="auto"/>
        <w:ind w:hanging="2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3 Resultados e discussões</w:t>
      </w:r>
    </w:p>
    <w:p w14:paraId="670D8AF3" w14:textId="77777777" w:rsidR="005569F9" w:rsidRDefault="005569F9" w:rsidP="00642714">
      <w:pPr>
        <w:shd w:val="clear" w:color="auto" w:fill="FFFFFF"/>
        <w:spacing w:line="360" w:lineRule="auto"/>
        <w:ind w:hanging="2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0D988690" w14:textId="67C2E26E" w:rsidR="005569F9" w:rsidRDefault="005569F9" w:rsidP="00642714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</w:rPr>
        <w:t>Percebemos n</w:t>
      </w:r>
      <w:r w:rsidR="00584192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“</w:t>
      </w:r>
      <w:r w:rsidR="00584192">
        <w:rPr>
          <w:rFonts w:ascii="Times New Roman" w:hAnsi="Times New Roman" w:cs="Times New Roman"/>
        </w:rPr>
        <w:t>Ateliê</w:t>
      </w:r>
      <w:r>
        <w:rPr>
          <w:rFonts w:ascii="Times New Roman" w:hAnsi="Times New Roman" w:cs="Times New Roman"/>
        </w:rPr>
        <w:t xml:space="preserve"> de fotografia: </w:t>
      </w:r>
      <w:r w:rsidR="00B54A3C">
        <w:rPr>
          <w:rFonts w:ascii="Times New Roman" w:hAnsi="Times New Roman" w:cs="Times New Roman"/>
        </w:rPr>
        <w:t>Me</w:t>
      </w:r>
      <w:r>
        <w:rPr>
          <w:rFonts w:ascii="Times New Roman" w:hAnsi="Times New Roman" w:cs="Times New Roman"/>
        </w:rPr>
        <w:t xml:space="preserve">mória e </w:t>
      </w:r>
      <w:r w:rsidR="00B54A3C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 xml:space="preserve">istória” que os jovens participantes apresentaram resistência em fotografar a escola como um lugar importante de memória </w:t>
      </w:r>
      <w:r>
        <w:rPr>
          <w:rFonts w:ascii="Times New Roman" w:hAnsi="Times New Roman" w:cs="Times New Roman"/>
        </w:rPr>
        <w:lastRenderedPageBreak/>
        <w:t xml:space="preserve">e sentido em suas vidas.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Dos resultados</w:t>
      </w:r>
      <w:r w:rsidR="00B37D19">
        <w:rPr>
          <w:rFonts w:ascii="Times New Roman" w:eastAsia="Times New Roman" w:hAnsi="Times New Roman" w:cs="Times New Roman"/>
          <w:color w:val="000000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podemos perceber, por exemplo, a animação dos alunos em participar d</w:t>
      </w:r>
      <w:r w:rsidR="004A1FA1">
        <w:rPr>
          <w:rFonts w:ascii="Times New Roman" w:eastAsia="Times New Roman" w:hAnsi="Times New Roman" w:cs="Times New Roman"/>
          <w:color w:val="000000"/>
          <w:shd w:val="clear" w:color="auto" w:fill="FFFFFF"/>
        </w:rPr>
        <w:t>essa atividade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uma vez que não é uma prática recorrente na escola. Foi a primeira vez que a escola recebeu a presença de universitários e, ao mesmo tempo, formação continuada de professores. Arroyo (2017) diz que a pedagogia tem dificuldade em ver o ser humano em sua totalidade. Para o autor, a educação ainda vê espírito e corpo contrapostos. Nesse sentido, é urgente a necessidade em visualizar as juventudes em suas totalidades corpóreas e que os projetos educacionais com a EJA trabalhem com o corpo, a diversidade e as culturas juvenis. </w:t>
      </w:r>
    </w:p>
    <w:p w14:paraId="02F44DF7" w14:textId="77777777" w:rsidR="00C51332" w:rsidRDefault="005569F9" w:rsidP="00642714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Antes de fotografar alguns estudantes narraram suas trajetórias de trabalho, o cansaço que influencia na concentração de estudos e, ainda, relataram o que imaginam para as suas vidas após a escola. </w:t>
      </w:r>
    </w:p>
    <w:p w14:paraId="46978C91" w14:textId="46F5F5AD" w:rsidR="002C3F5B" w:rsidRPr="008A51A9" w:rsidRDefault="002C3F5B" w:rsidP="00642714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hd w:val="clear" w:color="auto" w:fill="FFFFFF"/>
        </w:rPr>
      </w:pPr>
      <w:r w:rsidRPr="002C3F5B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Ao decorrer do </w:t>
      </w:r>
      <w:r w:rsidRPr="00584192">
        <w:rPr>
          <w:rFonts w:ascii="Times New Roman" w:eastAsia="Times New Roman" w:hAnsi="Times New Roman" w:cs="Times New Roman"/>
          <w:color w:val="000000"/>
          <w:shd w:val="clear" w:color="auto" w:fill="FFFFFF"/>
        </w:rPr>
        <w:t>ateliê</w:t>
      </w:r>
      <w:r w:rsidRPr="002C3F5B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alguns estudantes demonstraram interesse de produzir fotos e vídeos a partir de perguntas motivadores e compartilharam também relatos pessoais. Dessa maneira, foi possível de forma singular entender alguns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pontos de vista distintos</w:t>
      </w:r>
      <w:r w:rsidRPr="002C3F5B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destes estudantes sobre suas viv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ên</w:t>
      </w:r>
      <w:r w:rsidRPr="002C3F5B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cias não somente no espaço escolar como em suas vidas. Para além disso, </w:t>
      </w:r>
      <w:r w:rsidR="00E40559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o </w:t>
      </w:r>
      <w:r w:rsidR="00E40559" w:rsidRPr="00584192">
        <w:rPr>
          <w:rFonts w:ascii="Times New Roman" w:eastAsia="Times New Roman" w:hAnsi="Times New Roman" w:cs="Times New Roman"/>
          <w:color w:val="000000"/>
          <w:shd w:val="clear" w:color="auto" w:fill="FFFFFF"/>
        </w:rPr>
        <w:t>ateliê</w:t>
      </w:r>
      <w:r w:rsidRPr="0058419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de fotografia</w:t>
      </w:r>
      <w:r w:rsidRPr="002C3F5B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tornou possível os diálogos sobre os planos futuros, como por exemplo, o sonho de concluir a educação básica, cursar o ensino superior e conseguir um emprego.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</w:p>
    <w:p w14:paraId="3EB0BE91" w14:textId="3CF38CCB" w:rsidR="002C3F5B" w:rsidRDefault="00B42D22" w:rsidP="00642714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Em um dos</w:t>
      </w:r>
      <w:r w:rsidR="004C3BC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vídeo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s uma das</w:t>
      </w:r>
      <w:r w:rsidR="004C3BC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642714">
        <w:rPr>
          <w:rFonts w:ascii="Times New Roman" w:eastAsia="Times New Roman" w:hAnsi="Times New Roman" w:cs="Times New Roman"/>
          <w:color w:val="000000"/>
          <w:shd w:val="clear" w:color="auto" w:fill="FFFFFF"/>
        </w:rPr>
        <w:t>estudantes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,</w:t>
      </w:r>
      <w:r w:rsidR="004C3BC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Jenifer Santos, 21 anos, falou sobre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as </w:t>
      </w:r>
      <w:r w:rsidR="004C3BCF">
        <w:rPr>
          <w:rFonts w:ascii="Times New Roman" w:eastAsia="Times New Roman" w:hAnsi="Times New Roman" w:cs="Times New Roman"/>
          <w:color w:val="000000"/>
          <w:shd w:val="clear" w:color="auto" w:fill="FFFFFF"/>
        </w:rPr>
        <w:t>motivações que a lev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aram a retornar </w:t>
      </w:r>
      <w:r w:rsidR="00CB11E0">
        <w:rPr>
          <w:rFonts w:ascii="Times New Roman" w:eastAsia="Times New Roman" w:hAnsi="Times New Roman" w:cs="Times New Roman"/>
          <w:color w:val="000000"/>
          <w:shd w:val="clear" w:color="auto" w:fill="FFFFFF"/>
        </w:rPr>
        <w:t>para</w:t>
      </w:r>
      <w:r w:rsidR="004C3BC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escola: </w:t>
      </w:r>
      <w:r w:rsidR="00CB11E0">
        <w:rPr>
          <w:rFonts w:ascii="Times New Roman" w:eastAsia="Times New Roman" w:hAnsi="Times New Roman" w:cs="Times New Roman"/>
          <w:color w:val="000000"/>
          <w:shd w:val="clear" w:color="auto" w:fill="FFFFFF"/>
        </w:rPr>
        <w:t>“</w:t>
      </w:r>
      <w:r w:rsidR="00CB11E0" w:rsidRPr="00584192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A</w:t>
      </w:r>
      <w:r w:rsidR="004C3BCF" w:rsidRPr="00584192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 minha motivação em específico é o meu sonho </w:t>
      </w:r>
      <w:r w:rsidR="00CB11E0" w:rsidRPr="00584192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em ser advogada, fazer a minha faculdade de </w:t>
      </w:r>
      <w:r w:rsidR="00642714" w:rsidRPr="00584192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D</w:t>
      </w:r>
      <w:r w:rsidR="00CB11E0" w:rsidRPr="00584192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ireito. Por isso, resolvi voltar a escola, estava há três anos sem estudar. Em 2023, resolvi voltar estudar exatamente por causa desse sonho.</w:t>
      </w:r>
      <w:r w:rsidR="00CB11E0">
        <w:rPr>
          <w:rFonts w:ascii="Times New Roman" w:eastAsia="Times New Roman" w:hAnsi="Times New Roman" w:cs="Times New Roman"/>
          <w:color w:val="000000"/>
          <w:shd w:val="clear" w:color="auto" w:fill="FFFFFF"/>
        </w:rPr>
        <w:t>”</w:t>
      </w:r>
      <w:r w:rsidR="0065177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584192">
        <w:rPr>
          <w:rFonts w:ascii="Times New Roman" w:eastAsia="Times New Roman" w:hAnsi="Times New Roman" w:cs="Times New Roman"/>
          <w:color w:val="000000"/>
          <w:shd w:val="clear" w:color="auto" w:fill="FFFFFF"/>
        </w:rPr>
        <w:t>O ateliê</w:t>
      </w:r>
      <w:r w:rsidR="00B40FB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de fotografia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, nesse sentido,</w:t>
      </w:r>
      <w:r w:rsidR="00B40FB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fo</w:t>
      </w:r>
      <w:r w:rsidR="00A13B3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i um meio desses </w:t>
      </w:r>
      <w:r w:rsidR="00642714">
        <w:rPr>
          <w:rFonts w:ascii="Times New Roman" w:eastAsia="Times New Roman" w:hAnsi="Times New Roman" w:cs="Times New Roman"/>
          <w:color w:val="000000"/>
          <w:shd w:val="clear" w:color="auto" w:fill="FFFFFF"/>
        </w:rPr>
        <w:t>estudantes</w:t>
      </w:r>
      <w:r w:rsidR="00A13B3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se enxergarem como sujeitos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capazes de </w:t>
      </w:r>
      <w:r w:rsidR="00A13B32">
        <w:rPr>
          <w:rFonts w:ascii="Times New Roman" w:eastAsia="Times New Roman" w:hAnsi="Times New Roman" w:cs="Times New Roman"/>
          <w:color w:val="000000"/>
          <w:shd w:val="clear" w:color="auto" w:fill="FFFFFF"/>
        </w:rPr>
        <w:t>ingressar em uma universidade e expressar esse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s</w:t>
      </w:r>
      <w:r w:rsidR="00A13B3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desejo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s</w:t>
      </w:r>
      <w:r w:rsidR="00A13B3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Dessa forma, esse contato escola-universidade possibilitou diálogos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que os </w:t>
      </w:r>
      <w:r w:rsidR="00A530EA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fizeram ter curiosidade sobre o ambiente universitário e os cursos dos mediadores. </w:t>
      </w:r>
    </w:p>
    <w:p w14:paraId="515BFB16" w14:textId="784BF22A" w:rsidR="005569F9" w:rsidRPr="008A51A9" w:rsidRDefault="00214640" w:rsidP="00642714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lastRenderedPageBreak/>
        <w:t xml:space="preserve">Ciavatta e Ferreira (2023) </w:t>
      </w:r>
      <w:r w:rsidR="005569F9">
        <w:rPr>
          <w:rFonts w:ascii="Times New Roman" w:eastAsia="Times New Roman" w:hAnsi="Times New Roman" w:cs="Times New Roman"/>
          <w:color w:val="000000"/>
          <w:shd w:val="clear" w:color="auto" w:fill="FFFFFF"/>
        </w:rPr>
        <w:t>refletem que o espaço dedicado à memória fotográfica possibilita a emergência de sujeitos sociais, trabalhadores de todos os tempos e “com isso queremos dizer que passado e presente se interpenetram e projetam, em cada novo instante, o futuro” (C</w:t>
      </w:r>
      <w:r w:rsidR="00E40559">
        <w:rPr>
          <w:rFonts w:ascii="Times New Roman" w:eastAsia="Times New Roman" w:hAnsi="Times New Roman" w:cs="Times New Roman"/>
          <w:color w:val="000000"/>
          <w:shd w:val="clear" w:color="auto" w:fill="FFFFFF"/>
        </w:rPr>
        <w:t>iavatta</w:t>
      </w:r>
      <w:r w:rsidR="005569F9">
        <w:rPr>
          <w:rFonts w:ascii="Times New Roman" w:eastAsia="Times New Roman" w:hAnsi="Times New Roman" w:cs="Times New Roman"/>
          <w:color w:val="000000"/>
          <w:shd w:val="clear" w:color="auto" w:fill="FFFFFF"/>
        </w:rPr>
        <w:t>; F</w:t>
      </w:r>
      <w:r w:rsidR="00E40559">
        <w:rPr>
          <w:rFonts w:ascii="Times New Roman" w:eastAsia="Times New Roman" w:hAnsi="Times New Roman" w:cs="Times New Roman"/>
          <w:color w:val="000000"/>
          <w:shd w:val="clear" w:color="auto" w:fill="FFFFFF"/>
        </w:rPr>
        <w:t>erreira</w:t>
      </w:r>
      <w:r w:rsidR="005569F9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2023, p. 36). </w:t>
      </w:r>
    </w:p>
    <w:p w14:paraId="74697CF5" w14:textId="77777777" w:rsidR="00540005" w:rsidRDefault="001C15FE" w:rsidP="00642714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Dos resultados do ateliê formativo denominado </w:t>
      </w:r>
      <w:r w:rsidRPr="001C15FE">
        <w:rPr>
          <w:rFonts w:ascii="Times New Roman" w:eastAsia="Times New Roman" w:hAnsi="Times New Roman" w:cs="Times New Roman"/>
          <w:color w:val="000000"/>
          <w:shd w:val="clear" w:color="auto" w:fill="FFFFFF"/>
        </w:rPr>
        <w:t>“Minicontos digitais: Uma prática de letramento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literário e digital com a EJA”</w:t>
      </w:r>
      <w:r w:rsidR="00540005">
        <w:rPr>
          <w:rFonts w:ascii="Times New Roman" w:eastAsia="Times New Roman" w:hAnsi="Times New Roman" w:cs="Times New Roman"/>
          <w:color w:val="000000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observou-se não só um afastamento desse público em relação à literatura, mas também a</w:t>
      </w:r>
      <w:r w:rsidR="00540005">
        <w:rPr>
          <w:rFonts w:ascii="Times New Roman" w:eastAsia="Times New Roman" w:hAnsi="Times New Roman" w:cs="Times New Roman"/>
          <w:color w:val="000000"/>
          <w:shd w:val="clear" w:color="auto" w:fill="FFFFFF"/>
        </w:rPr>
        <w:t>s desigualdades frente a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o letramento digital, com o uso de </w:t>
      </w:r>
      <w:r w:rsidRPr="001C15FE">
        <w:rPr>
          <w:rFonts w:ascii="Times New Roman" w:eastAsia="Times New Roman" w:hAnsi="Times New Roman" w:cs="Times New Roman"/>
          <w:color w:val="000000"/>
          <w:shd w:val="clear" w:color="auto" w:fill="FFFFFF"/>
        </w:rPr>
        <w:t>Tecnologias Digitais da I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nformação e Comunicação (TDICs). Dos minicontos produzidos digitalmente pelos estudantes, surgiram temáticas como v</w:t>
      </w:r>
      <w:r w:rsidRPr="001C15FE">
        <w:rPr>
          <w:rFonts w:ascii="Times New Roman" w:eastAsia="Times New Roman" w:hAnsi="Times New Roman" w:cs="Times New Roman"/>
          <w:color w:val="000000"/>
          <w:shd w:val="clear" w:color="auto" w:fill="FFFFFF"/>
        </w:rPr>
        <w:t>iolê</w:t>
      </w:r>
      <w:r w:rsidR="00540005">
        <w:rPr>
          <w:rFonts w:ascii="Times New Roman" w:eastAsia="Times New Roman" w:hAnsi="Times New Roman" w:cs="Times New Roman"/>
          <w:color w:val="000000"/>
          <w:shd w:val="clear" w:color="auto" w:fill="FFFFFF"/>
        </w:rPr>
        <w:t>ncia, trajetória escolar e amor. Sendo assim, foi possível perceber, na prática, a</w:t>
      </w:r>
      <w:r w:rsidR="00540005" w:rsidRPr="0054000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função reparadora da EJA (BRASIL, 2000), na qual os sujeitos que foram negados à educaç</w:t>
      </w:r>
      <w:r w:rsidR="0054000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ão retomam o acesso a esse direito. </w:t>
      </w:r>
    </w:p>
    <w:p w14:paraId="79AD7817" w14:textId="010FC184" w:rsidR="00540005" w:rsidRPr="00540005" w:rsidRDefault="00540005" w:rsidP="00642714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Além disso, o trabalho com a literatura digital foi significativo para a </w:t>
      </w:r>
      <w:r w:rsidR="001C15FE" w:rsidRPr="001C15FE">
        <w:rPr>
          <w:rFonts w:ascii="Times New Roman" w:eastAsia="Times New Roman" w:hAnsi="Times New Roman" w:cs="Times New Roman"/>
          <w:color w:val="000000"/>
          <w:shd w:val="clear" w:color="auto" w:fill="FFFFFF"/>
        </w:rPr>
        <w:t>construção das vozes, trazendo protagonismo a esse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indivíduo, valorizando a</w:t>
      </w:r>
      <w:r w:rsidR="001C15FE" w:rsidRPr="001C15FE">
        <w:rPr>
          <w:rFonts w:ascii="Times New Roman" w:eastAsia="Times New Roman" w:hAnsi="Times New Roman" w:cs="Times New Roman"/>
          <w:color w:val="000000"/>
          <w:shd w:val="clear" w:color="auto" w:fill="FFFFFF"/>
        </w:rPr>
        <w:t>s relaç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ões comunicativas midiáticas e </w:t>
      </w:r>
      <w:r w:rsidR="001C15FE" w:rsidRPr="001C15FE">
        <w:rPr>
          <w:rFonts w:ascii="Times New Roman" w:eastAsia="Times New Roman" w:hAnsi="Times New Roman" w:cs="Times New Roman"/>
          <w:color w:val="000000"/>
          <w:shd w:val="clear" w:color="auto" w:fill="FFFFFF"/>
        </w:rPr>
        <w:t>os enunciados criados e produzidos por eles.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Portanto, conclui-se que essa prática está diretamente relacionada ao que aponta o </w:t>
      </w:r>
      <w:r w:rsidRPr="00540005">
        <w:rPr>
          <w:rFonts w:ascii="Times New Roman" w:eastAsia="Times New Roman" w:hAnsi="Times New Roman" w:cs="Times New Roman"/>
          <w:color w:val="000000"/>
          <w:shd w:val="clear" w:color="auto" w:fill="FFFFFF"/>
        </w:rPr>
        <w:t>Parecer CNE/CEB 11/2000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sobre os letramentos na EJA</w:t>
      </w:r>
      <w:r w:rsidRPr="00540005">
        <w:rPr>
          <w:rFonts w:ascii="Times New Roman" w:eastAsia="Times New Roman" w:hAnsi="Times New Roman" w:cs="Times New Roman"/>
          <w:color w:val="000000"/>
          <w:shd w:val="clear" w:color="auto" w:fill="FFFFFF"/>
        </w:rPr>
        <w:t>: “A incorporação dos códigos relativos à leitura e à escrita por parte dos alfabetizados e letrados, tornando-os quase que "naturais", e o caráter comum da linguagem oral, obscurece o quanto o acesso a estes bens representa um meio e instrumento de poder” (BRASIL, 2000, p.7).</w:t>
      </w:r>
    </w:p>
    <w:p w14:paraId="50BC51FC" w14:textId="77777777" w:rsidR="005569F9" w:rsidRDefault="005569F9" w:rsidP="00642714">
      <w:pPr>
        <w:shd w:val="clear" w:color="auto" w:fill="FFFFFF"/>
        <w:spacing w:line="360" w:lineRule="auto"/>
        <w:ind w:hanging="2"/>
        <w:jc w:val="both"/>
        <w:rPr>
          <w:rFonts w:ascii="Times New Roman" w:eastAsia="Times New Roman" w:hAnsi="Times New Roman" w:cs="Times New Roman"/>
          <w:b/>
          <w:bCs/>
        </w:rPr>
      </w:pPr>
    </w:p>
    <w:p w14:paraId="63A205F7" w14:textId="77777777" w:rsidR="005569F9" w:rsidRDefault="005569F9" w:rsidP="00642714">
      <w:pPr>
        <w:shd w:val="clear" w:color="auto" w:fill="FFFFFF"/>
        <w:spacing w:line="360" w:lineRule="auto"/>
        <w:ind w:hanging="2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4 Considerações Finais </w:t>
      </w:r>
    </w:p>
    <w:p w14:paraId="59CBB144" w14:textId="77777777" w:rsidR="005569F9" w:rsidRDefault="005569F9" w:rsidP="00642714">
      <w:pPr>
        <w:shd w:val="clear" w:color="auto" w:fill="FFFFFF"/>
        <w:spacing w:line="360" w:lineRule="auto"/>
        <w:ind w:hanging="2"/>
        <w:jc w:val="both"/>
        <w:rPr>
          <w:rFonts w:ascii="Times New Roman" w:eastAsia="Times New Roman" w:hAnsi="Times New Roman" w:cs="Times New Roman"/>
          <w:b/>
          <w:bCs/>
        </w:rPr>
      </w:pPr>
    </w:p>
    <w:p w14:paraId="765C640D" w14:textId="5E37758F" w:rsidR="005569F9" w:rsidRDefault="005569F9" w:rsidP="00642714">
      <w:pPr>
        <w:shd w:val="clear" w:color="auto" w:fill="FFFFFF"/>
        <w:spacing w:line="360" w:lineRule="auto"/>
        <w:ind w:hanging="2"/>
        <w:jc w:val="both"/>
        <w:rPr>
          <w:rFonts w:ascii="Times New Roman" w:eastAsia="Times New Roman" w:hAnsi="Times New Roman" w:cs="Times New Roman"/>
        </w:rPr>
      </w:pPr>
      <w:r w:rsidRPr="00584192">
        <w:rPr>
          <w:rFonts w:ascii="Times New Roman" w:eastAsia="Times New Roman" w:hAnsi="Times New Roman" w:cs="Times New Roman"/>
        </w:rPr>
        <w:t>O estudo de caso</w:t>
      </w:r>
      <w:r w:rsidR="008A51A9" w:rsidRPr="0058419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dess</w:t>
      </w:r>
      <w:r w:rsidR="00584192">
        <w:rPr>
          <w:rFonts w:ascii="Times New Roman" w:eastAsia="Times New Roman" w:hAnsi="Times New Roman" w:cs="Times New Roman"/>
        </w:rPr>
        <w:t>es dois ateliês formativos nessas</w:t>
      </w:r>
      <w:r>
        <w:rPr>
          <w:rFonts w:ascii="Times New Roman" w:eastAsia="Times New Roman" w:hAnsi="Times New Roman" w:cs="Times New Roman"/>
        </w:rPr>
        <w:t xml:space="preserve"> </w:t>
      </w:r>
      <w:r w:rsidR="00584192">
        <w:rPr>
          <w:rFonts w:ascii="Times New Roman" w:eastAsia="Times New Roman" w:hAnsi="Times New Roman" w:cs="Times New Roman"/>
        </w:rPr>
        <w:t xml:space="preserve">duas </w:t>
      </w:r>
      <w:r>
        <w:rPr>
          <w:rFonts w:ascii="Times New Roman" w:eastAsia="Times New Roman" w:hAnsi="Times New Roman" w:cs="Times New Roman"/>
        </w:rPr>
        <w:t>escola</w:t>
      </w:r>
      <w:r w:rsidR="00584192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 pública</w:t>
      </w:r>
      <w:r w:rsidR="00584192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 nos permitiu compreender a importância do trabalho docente na perspectiva da criação, isto é, em criar outras possibilidades de leitura do mundo, com a interpretação de diferentes linguagens partilhadas entre os sujeitos. </w:t>
      </w:r>
    </w:p>
    <w:p w14:paraId="51774B92" w14:textId="56AF80FB" w:rsidR="005569F9" w:rsidRDefault="005569F9" w:rsidP="00642714">
      <w:pPr>
        <w:shd w:val="clear" w:color="auto" w:fill="FFFFFF"/>
        <w:spacing w:line="360" w:lineRule="auto"/>
        <w:ind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As investigações que tenham como finalidade aprofundar os estudos sobre a formação continuada de professores e o porquê da emergência do fenômeno da juvenilização na EJA, são essenciais para a reformulação curricular e garantia do direito à educação de qualidade. Trata-se de potencializar a autoria e autonomia dos sujeitos, traduzindo em seus olhares (poesia, literatura, vídeos, fotografias) o que veem, sentem, vivem e como produzem cultura (</w:t>
      </w:r>
      <w:r w:rsidR="00584192">
        <w:rPr>
          <w:rFonts w:ascii="Times New Roman" w:eastAsia="Times New Roman" w:hAnsi="Times New Roman" w:cs="Times New Roman"/>
        </w:rPr>
        <w:t>Almeida</w:t>
      </w:r>
      <w:r>
        <w:rPr>
          <w:rFonts w:ascii="Times New Roman" w:eastAsia="Times New Roman" w:hAnsi="Times New Roman" w:cs="Times New Roman"/>
        </w:rPr>
        <w:t>, 2022).</w:t>
      </w:r>
    </w:p>
    <w:p w14:paraId="4A9F0A44" w14:textId="416C32AF" w:rsidR="005569F9" w:rsidRPr="00230523" w:rsidRDefault="005569F9" w:rsidP="00642714">
      <w:pPr>
        <w:shd w:val="clear" w:color="auto" w:fill="FFFFFF"/>
        <w:spacing w:line="360" w:lineRule="auto"/>
        <w:ind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realidade percebida a partir da memória, história e narrativas das juventudes, é muitas vezes diferente daquela lida em um texto ou relatada. Portanto, as experiências presenciais são múltiplas e indispensáveis nesse tipo de pesquisa.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5259B5FB" w14:textId="77777777" w:rsidR="005569F9" w:rsidRDefault="005569F9" w:rsidP="00642714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56A751DF" w14:textId="77777777" w:rsidR="005569F9" w:rsidRPr="00082883" w:rsidRDefault="005569F9" w:rsidP="00642714">
      <w:pPr>
        <w:spacing w:line="360" w:lineRule="auto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REFERÊNCIAS</w:t>
      </w:r>
    </w:p>
    <w:p w14:paraId="6BFCC33B" w14:textId="77777777" w:rsidR="005569F9" w:rsidRDefault="005569F9" w:rsidP="00642714">
      <w:pPr>
        <w:spacing w:line="360" w:lineRule="auto"/>
        <w:jc w:val="both"/>
        <w:rPr>
          <w:rFonts w:ascii="Times New Roman" w:hAnsi="Times New Roman" w:cs="Times New Roman"/>
          <w:shd w:val="clear" w:color="auto" w:fill="FAFAFA"/>
        </w:rPr>
      </w:pPr>
    </w:p>
    <w:p w14:paraId="4EC6AD1B" w14:textId="77777777" w:rsidR="00584192" w:rsidRDefault="00584192" w:rsidP="00642714">
      <w:pPr>
        <w:pStyle w:val="Textodecomentri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ALMEIDA, A</w:t>
      </w:r>
      <w:r w:rsidRPr="0095012A">
        <w:rPr>
          <w:rFonts w:ascii="Times New Roman" w:hAnsi="Times New Roman" w:cs="Times New Roman"/>
          <w:sz w:val="24"/>
          <w:szCs w:val="24"/>
        </w:rPr>
        <w:t xml:space="preserve">. </w:t>
      </w:r>
      <w:r w:rsidRPr="0095012A">
        <w:rPr>
          <w:rFonts w:ascii="Times New Roman" w:hAnsi="Times New Roman" w:cs="Times New Roman"/>
          <w:b/>
          <w:sz w:val="24"/>
          <w:szCs w:val="24"/>
        </w:rPr>
        <w:t>Caminhos e descaminhos na docência com a EJA: história da imagem e história das palavras em práticas curriculares.</w:t>
      </w:r>
      <w:r w:rsidRPr="0095012A">
        <w:rPr>
          <w:rFonts w:ascii="Times New Roman" w:hAnsi="Times New Roman" w:cs="Times New Roman"/>
          <w:sz w:val="24"/>
          <w:szCs w:val="24"/>
        </w:rPr>
        <w:t xml:space="preserve"> Rio de Janeiro: UERJ, 2022.</w:t>
      </w:r>
    </w:p>
    <w:p w14:paraId="36EBCEAF" w14:textId="77777777" w:rsidR="00584192" w:rsidRDefault="00584192" w:rsidP="00642714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ALMEIDA, A.; CORSO, A.M</w:t>
      </w:r>
      <w:r w:rsidRPr="008A52FE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Pr="00633BC7">
        <w:rPr>
          <w:rFonts w:ascii="Times New Roman" w:hAnsi="Times New Roman" w:cs="Times New Roman"/>
          <w:b/>
          <w:color w:val="000000" w:themeColor="text1"/>
        </w:rPr>
        <w:t xml:space="preserve">O processo de </w:t>
      </w:r>
      <w:proofErr w:type="spellStart"/>
      <w:r w:rsidRPr="00633BC7">
        <w:rPr>
          <w:rFonts w:ascii="Times New Roman" w:hAnsi="Times New Roman" w:cs="Times New Roman"/>
          <w:b/>
          <w:color w:val="000000" w:themeColor="text1"/>
        </w:rPr>
        <w:t>juvenilização</w:t>
      </w:r>
      <w:proofErr w:type="spellEnd"/>
      <w:r w:rsidRPr="00633BC7">
        <w:rPr>
          <w:rFonts w:ascii="Times New Roman" w:hAnsi="Times New Roman" w:cs="Times New Roman"/>
          <w:b/>
          <w:color w:val="000000" w:themeColor="text1"/>
        </w:rPr>
        <w:t xml:space="preserve"> na educação de jovens e adultos: aspectos sociais e históricos.</w:t>
      </w:r>
      <w:r w:rsidRPr="008A52FE">
        <w:rPr>
          <w:rFonts w:ascii="Times New Roman" w:hAnsi="Times New Roman" w:cs="Times New Roman"/>
          <w:bCs/>
          <w:color w:val="000000" w:themeColor="text1"/>
        </w:rPr>
        <w:t xml:space="preserve"> In.: JOCA, A.M.; FERNANDES, D. G. (org.). Juventudes: possibilidades em movimento. Curitiba: CRV, 2017, p. 161-172.</w:t>
      </w:r>
    </w:p>
    <w:p w14:paraId="0F64DC4E" w14:textId="77777777" w:rsidR="00584192" w:rsidRPr="00CA1702" w:rsidRDefault="00584192" w:rsidP="00642714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CA1702">
        <w:rPr>
          <w:rFonts w:ascii="Times New Roman" w:hAnsi="Times New Roman" w:cs="Times New Roman"/>
        </w:rPr>
        <w:t xml:space="preserve">BASSI, L. </w:t>
      </w:r>
      <w:r w:rsidRPr="00CA1702">
        <w:rPr>
          <w:rFonts w:ascii="Times New Roman" w:hAnsi="Times New Roman" w:cs="Times New Roman"/>
          <w:b/>
          <w:bCs/>
        </w:rPr>
        <w:t>Reggio Emília:</w:t>
      </w:r>
      <w:r w:rsidRPr="00CA1702">
        <w:rPr>
          <w:rFonts w:ascii="Times New Roman" w:hAnsi="Times New Roman" w:cs="Times New Roman"/>
        </w:rPr>
        <w:t xml:space="preserve"> uma experiência inspiradora. 43. ed. Brasília, DF: DPE/SEB, 2007.</w:t>
      </w:r>
    </w:p>
    <w:p w14:paraId="2B644FD0" w14:textId="77777777" w:rsidR="00584192" w:rsidRDefault="00584192" w:rsidP="00642714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BRASIL, </w:t>
      </w:r>
      <w:r w:rsidRPr="00AE38BE">
        <w:rPr>
          <w:rFonts w:ascii="Times New Roman" w:hAnsi="Times New Roman" w:cs="Times New Roman"/>
          <w:bCs/>
          <w:color w:val="000000" w:themeColor="text1"/>
        </w:rPr>
        <w:t xml:space="preserve">Ministério de </w:t>
      </w:r>
      <w:r>
        <w:rPr>
          <w:rFonts w:ascii="Times New Roman" w:hAnsi="Times New Roman" w:cs="Times New Roman"/>
          <w:bCs/>
          <w:color w:val="000000" w:themeColor="text1"/>
        </w:rPr>
        <w:t xml:space="preserve">Educação e Cultura. Parecer CNE/CEB </w:t>
      </w:r>
      <w:r w:rsidRPr="00AE38BE">
        <w:rPr>
          <w:rFonts w:ascii="Times New Roman" w:hAnsi="Times New Roman" w:cs="Times New Roman"/>
          <w:bCs/>
          <w:color w:val="000000" w:themeColor="text1"/>
        </w:rPr>
        <w:t>11/2000. Brasília: MEC, 2000.</w:t>
      </w:r>
    </w:p>
    <w:p w14:paraId="4256B03C" w14:textId="77777777" w:rsidR="00584192" w:rsidRDefault="00584192" w:rsidP="00642714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CIAVATTA, M.; FERREIRA, N. </w:t>
      </w:r>
      <w:r w:rsidRPr="00082883">
        <w:rPr>
          <w:rFonts w:ascii="Times New Roman" w:hAnsi="Times New Roman" w:cs="Times New Roman"/>
          <w:b/>
          <w:bCs/>
          <w:color w:val="000000" w:themeColor="text1"/>
        </w:rPr>
        <w:t>O passado e o presente: memória e história fotográfica das lutas do Sintuperj</w:t>
      </w:r>
      <w:r>
        <w:rPr>
          <w:rFonts w:ascii="Times New Roman" w:hAnsi="Times New Roman" w:cs="Times New Roman"/>
          <w:bCs/>
          <w:color w:val="000000" w:themeColor="text1"/>
        </w:rPr>
        <w:t xml:space="preserve"> (2000-2006). In.: CIAVATTA, M. (et.al). </w:t>
      </w:r>
      <w:r w:rsidRPr="008A52FE">
        <w:rPr>
          <w:rFonts w:ascii="Times New Roman" w:hAnsi="Times New Roman" w:cs="Times New Roman"/>
          <w:b/>
          <w:color w:val="000000" w:themeColor="text1"/>
        </w:rPr>
        <w:t>Fotografia como fonte de pesquisa:</w:t>
      </w:r>
      <w:r>
        <w:rPr>
          <w:rFonts w:ascii="Times New Roman" w:hAnsi="Times New Roman" w:cs="Times New Roman"/>
          <w:bCs/>
          <w:color w:val="000000" w:themeColor="text1"/>
        </w:rPr>
        <w:t xml:space="preserve"> da história da educação à história de trabalho-educação. Rio de Janeiro: Lamparina, 2023. </w:t>
      </w:r>
    </w:p>
    <w:p w14:paraId="12B3C730" w14:textId="77777777" w:rsidR="00584192" w:rsidRPr="00CA1702" w:rsidRDefault="00584192" w:rsidP="00642714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CA1702">
        <w:rPr>
          <w:rFonts w:ascii="Times New Roman" w:hAnsi="Times New Roman" w:cs="Times New Roman"/>
        </w:rPr>
        <w:lastRenderedPageBreak/>
        <w:t xml:space="preserve">MALAGUZZI, L. História, ideias e filosofia básica. In: EDWARDS, C.; GANDINI, L. e FORMAN, G. </w:t>
      </w:r>
      <w:r w:rsidRPr="00CA1702">
        <w:rPr>
          <w:rFonts w:ascii="Times New Roman" w:hAnsi="Times New Roman" w:cs="Times New Roman"/>
          <w:b/>
          <w:bCs/>
        </w:rPr>
        <w:t>As cem linguagens da criança:</w:t>
      </w:r>
      <w:r w:rsidRPr="00CA1702">
        <w:rPr>
          <w:rFonts w:ascii="Times New Roman" w:hAnsi="Times New Roman" w:cs="Times New Roman"/>
        </w:rPr>
        <w:t xml:space="preserve"> a abordagem de Reggio Emília na educação da primeira infância. Porto Alegre: Artes Médicas Sul, 1999. p. 59-104.</w:t>
      </w:r>
    </w:p>
    <w:p w14:paraId="15ED4AAA" w14:textId="77777777" w:rsidR="00584192" w:rsidRPr="00584192" w:rsidRDefault="00584192" w:rsidP="00642714">
      <w:pPr>
        <w:spacing w:line="360" w:lineRule="auto"/>
        <w:jc w:val="both"/>
        <w:rPr>
          <w:rFonts w:ascii="Times New Roman" w:hAnsi="Times New Roman" w:cs="Times New Roman"/>
          <w:shd w:val="clear" w:color="auto" w:fill="FAFAFA"/>
        </w:rPr>
      </w:pPr>
      <w:r w:rsidRPr="00584192">
        <w:rPr>
          <w:rFonts w:ascii="Times New Roman" w:hAnsi="Times New Roman" w:cs="Times New Roman"/>
          <w:shd w:val="clear" w:color="auto" w:fill="FAFAFA"/>
        </w:rPr>
        <w:t xml:space="preserve">MIGLIEVICH-RIBEIRO, </w:t>
      </w:r>
      <w:proofErr w:type="spellStart"/>
      <w:r w:rsidRPr="00584192">
        <w:rPr>
          <w:rFonts w:ascii="Times New Roman" w:hAnsi="Times New Roman" w:cs="Times New Roman"/>
          <w:shd w:val="clear" w:color="auto" w:fill="FAFAFA"/>
        </w:rPr>
        <w:t>Adelia</w:t>
      </w:r>
      <w:proofErr w:type="spellEnd"/>
      <w:r w:rsidRPr="00584192">
        <w:rPr>
          <w:rFonts w:ascii="Times New Roman" w:hAnsi="Times New Roman" w:cs="Times New Roman"/>
          <w:shd w:val="clear" w:color="auto" w:fill="FAFAFA"/>
        </w:rPr>
        <w:t xml:space="preserve">; ROMERA, Edison. </w:t>
      </w:r>
      <w:r w:rsidRPr="00584192">
        <w:rPr>
          <w:rFonts w:ascii="Times New Roman" w:hAnsi="Times New Roman" w:cs="Times New Roman"/>
          <w:b/>
          <w:shd w:val="clear" w:color="auto" w:fill="FAFAFA"/>
        </w:rPr>
        <w:t xml:space="preserve">Orientações para uma descolonização do conhecimento: um diálogo entre Darcy Ribeiro e Enrique </w:t>
      </w:r>
      <w:proofErr w:type="spellStart"/>
      <w:r w:rsidRPr="00584192">
        <w:rPr>
          <w:rFonts w:ascii="Times New Roman" w:hAnsi="Times New Roman" w:cs="Times New Roman"/>
          <w:b/>
          <w:shd w:val="clear" w:color="auto" w:fill="FAFAFA"/>
        </w:rPr>
        <w:t>Dussel</w:t>
      </w:r>
      <w:proofErr w:type="spellEnd"/>
      <w:r w:rsidRPr="00584192">
        <w:rPr>
          <w:rFonts w:ascii="Times New Roman" w:hAnsi="Times New Roman" w:cs="Times New Roman"/>
          <w:b/>
          <w:shd w:val="clear" w:color="auto" w:fill="FAFAFA"/>
        </w:rPr>
        <w:t>.</w:t>
      </w:r>
      <w:r w:rsidRPr="00584192">
        <w:rPr>
          <w:rFonts w:ascii="Times New Roman" w:hAnsi="Times New Roman" w:cs="Times New Roman"/>
          <w:shd w:val="clear" w:color="auto" w:fill="FAFAFA"/>
        </w:rPr>
        <w:t xml:space="preserve"> Sociologias. 2018, v. 20, n. 47, p. 108-137. </w:t>
      </w:r>
    </w:p>
    <w:p w14:paraId="4B562783" w14:textId="77777777" w:rsidR="00584192" w:rsidRPr="00584192" w:rsidRDefault="00584192" w:rsidP="00642714">
      <w:pPr>
        <w:spacing w:line="360" w:lineRule="auto"/>
        <w:jc w:val="both"/>
        <w:rPr>
          <w:rFonts w:ascii="Times New Roman" w:hAnsi="Times New Roman" w:cs="Times New Roman"/>
          <w:shd w:val="clear" w:color="auto" w:fill="FAFAFA"/>
        </w:rPr>
      </w:pPr>
      <w:r w:rsidRPr="00584192">
        <w:rPr>
          <w:rFonts w:ascii="Times New Roman" w:hAnsi="Times New Roman" w:cs="Times New Roman"/>
          <w:shd w:val="clear" w:color="auto" w:fill="FAFAFA"/>
        </w:rPr>
        <w:t xml:space="preserve">MINAYO, M. C. S; SANCHES, O.  </w:t>
      </w:r>
      <w:r w:rsidRPr="00584192">
        <w:rPr>
          <w:rFonts w:ascii="Times New Roman" w:hAnsi="Times New Roman" w:cs="Times New Roman"/>
          <w:b/>
          <w:shd w:val="clear" w:color="auto" w:fill="FAFAFA"/>
        </w:rPr>
        <w:t xml:space="preserve">Quantitativo-qualitativo: oposição ou complementaridade? </w:t>
      </w:r>
      <w:r w:rsidRPr="00584192">
        <w:rPr>
          <w:rFonts w:ascii="Times New Roman" w:hAnsi="Times New Roman" w:cs="Times New Roman"/>
          <w:shd w:val="clear" w:color="auto" w:fill="FAFAFA"/>
        </w:rPr>
        <w:t>Cadernos de Saúde Pública, 9 (3), 1993, p. 239-262.</w:t>
      </w:r>
    </w:p>
    <w:p w14:paraId="43369891" w14:textId="77777777" w:rsidR="00584192" w:rsidRPr="00584192" w:rsidRDefault="00584192" w:rsidP="00642714">
      <w:pPr>
        <w:pStyle w:val="Textodecomentri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192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PONTE, J. P. </w:t>
      </w:r>
      <w:r w:rsidRPr="00584192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O estudo de caso na investigação em educação matemática.</w:t>
      </w:r>
      <w:r w:rsidRPr="00584192">
        <w:rPr>
          <w:sz w:val="24"/>
          <w:szCs w:val="24"/>
        </w:rPr>
        <w:t xml:space="preserve"> </w:t>
      </w:r>
      <w:r w:rsidRPr="00584192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Quadrante, 3(1), 3–18., 1994. Disponível em: </w:t>
      </w:r>
      <w:hyperlink r:id="rId8" w:history="1">
        <w:r w:rsidRPr="00584192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AFAFA"/>
          </w:rPr>
          <w:t>https://doi.org/10.48489/quadrante.22652</w:t>
        </w:r>
      </w:hyperlink>
      <w:r w:rsidRPr="00584192">
        <w:rPr>
          <w:rFonts w:ascii="Times New Roman" w:hAnsi="Times New Roman" w:cs="Times New Roman"/>
          <w:sz w:val="24"/>
          <w:szCs w:val="24"/>
          <w:shd w:val="clear" w:color="auto" w:fill="FAFAFA"/>
        </w:rPr>
        <w:t>. Acesso: set., 2023.</w:t>
      </w:r>
    </w:p>
    <w:p w14:paraId="2087D38F" w14:textId="77777777" w:rsidR="00584192" w:rsidRDefault="00584192" w:rsidP="00642714">
      <w:pPr>
        <w:spacing w:line="360" w:lineRule="auto"/>
        <w:jc w:val="both"/>
      </w:pPr>
      <w:r w:rsidRPr="00584192">
        <w:rPr>
          <w:rFonts w:ascii="Times New Roman" w:hAnsi="Times New Roman" w:cs="Times New Roman"/>
          <w:shd w:val="clear" w:color="auto" w:fill="FAFAFA"/>
        </w:rPr>
        <w:t xml:space="preserve">SILVA, M. R.; COSTA, J. G. </w:t>
      </w:r>
      <w:r w:rsidRPr="00584192">
        <w:rPr>
          <w:rFonts w:ascii="Times New Roman" w:hAnsi="Times New Roman" w:cs="Times New Roman"/>
          <w:b/>
          <w:shd w:val="clear" w:color="auto" w:fill="FAFAFA"/>
        </w:rPr>
        <w:t>Método e metodologia: implicações na prática docente.</w:t>
      </w:r>
      <w:r w:rsidRPr="00584192">
        <w:rPr>
          <w:rFonts w:ascii="Times New Roman" w:hAnsi="Times New Roman" w:cs="Times New Roman"/>
          <w:shd w:val="clear" w:color="auto" w:fill="FAFAFA"/>
        </w:rPr>
        <w:t xml:space="preserve"> Secretaria de Educação do Estado do Paraná. </w:t>
      </w:r>
      <w:r w:rsidRPr="00584192">
        <w:rPr>
          <w:rFonts w:ascii="Times New Roman" w:hAnsi="Times New Roman" w:cs="Times New Roman"/>
        </w:rPr>
        <w:t>Encontro do PDE; Faxinal do Céu: 2008. Disponível</w:t>
      </w:r>
      <w:r>
        <w:rPr>
          <w:rFonts w:ascii="Times New Roman" w:hAnsi="Times New Roman" w:cs="Times New Roman"/>
        </w:rPr>
        <w:t xml:space="preserve"> em </w:t>
      </w:r>
      <w:r w:rsidRPr="00584192">
        <w:rPr>
          <w:rFonts w:ascii="Times New Roman" w:hAnsi="Times New Roman" w:cs="Times New Roman"/>
        </w:rPr>
        <w:t>http://www.gestaoescolar.diaadia.pr.gov.br/arquivos/File/otp/docs_pdf/metodo_metodologia_pratica_docente.pdf. Acesso: jun., 2023.</w:t>
      </w:r>
    </w:p>
    <w:p w14:paraId="60242C68" w14:textId="77777777" w:rsidR="005569F9" w:rsidRPr="009B6B8C" w:rsidRDefault="005569F9" w:rsidP="00642714">
      <w:pPr>
        <w:spacing w:line="360" w:lineRule="auto"/>
        <w:rPr>
          <w:rFonts w:ascii="Times New Roman" w:hAnsi="Times New Roman" w:cs="Times New Roman"/>
        </w:rPr>
      </w:pPr>
    </w:p>
    <w:sectPr w:rsidR="005569F9" w:rsidRPr="009B6B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58579" w14:textId="77777777" w:rsidR="005B1D48" w:rsidRDefault="005B1D48" w:rsidP="00F7616C">
      <w:r>
        <w:separator/>
      </w:r>
    </w:p>
  </w:endnote>
  <w:endnote w:type="continuationSeparator" w:id="0">
    <w:p w14:paraId="72A97A4B" w14:textId="77777777" w:rsidR="005B1D48" w:rsidRDefault="005B1D48" w:rsidP="00F76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3991F" w14:textId="77777777" w:rsidR="00794990" w:rsidRDefault="0079499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9D7C6" w14:textId="77777777" w:rsidR="00794990" w:rsidRDefault="0079499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315F5" w14:textId="77777777" w:rsidR="00794990" w:rsidRDefault="007949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33762" w14:textId="77777777" w:rsidR="005B1D48" w:rsidRDefault="005B1D48" w:rsidP="00F7616C">
      <w:r>
        <w:separator/>
      </w:r>
    </w:p>
  </w:footnote>
  <w:footnote w:type="continuationSeparator" w:id="0">
    <w:p w14:paraId="297D004F" w14:textId="77777777" w:rsidR="005B1D48" w:rsidRDefault="005B1D48" w:rsidP="00F76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56C29" w14:textId="77777777" w:rsidR="00794990" w:rsidRDefault="0079499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2AFB8" w14:textId="751E1592" w:rsidR="00F7616C" w:rsidRDefault="00491EE2" w:rsidP="00491EE2">
    <w:pPr>
      <w:pStyle w:val="Cabealho"/>
      <w:tabs>
        <w:tab w:val="clear" w:pos="4252"/>
        <w:tab w:val="clear" w:pos="8504"/>
        <w:tab w:val="left" w:pos="1872"/>
      </w:tabs>
    </w:pPr>
    <w:r>
      <w:tab/>
    </w:r>
    <w:r w:rsidR="002D459F">
      <w:rPr>
        <w:noProof/>
        <w:lang w:eastAsia="pt-BR"/>
      </w:rPr>
      <w:drawing>
        <wp:inline distT="0" distB="0" distL="0" distR="0" wp14:anchorId="1E2E7AFA" wp14:editId="2092A713">
          <wp:extent cx="5400040" cy="177165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ptura de tela 2024-02-20 15305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F0103" w14:textId="77777777" w:rsidR="00794990" w:rsidRDefault="0079499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C94FB5"/>
    <w:multiLevelType w:val="multilevel"/>
    <w:tmpl w:val="39BA1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037F13"/>
    <w:multiLevelType w:val="multilevel"/>
    <w:tmpl w:val="A60EE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930D19"/>
    <w:multiLevelType w:val="hybridMultilevel"/>
    <w:tmpl w:val="31B429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945292">
    <w:abstractNumId w:val="0"/>
  </w:num>
  <w:num w:numId="2" w16cid:durableId="1300768645">
    <w:abstractNumId w:val="1"/>
  </w:num>
  <w:num w:numId="3" w16cid:durableId="1423101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616C"/>
    <w:rsid w:val="000135F7"/>
    <w:rsid w:val="00061D7A"/>
    <w:rsid w:val="000A238A"/>
    <w:rsid w:val="000D1CFE"/>
    <w:rsid w:val="00157652"/>
    <w:rsid w:val="0018570E"/>
    <w:rsid w:val="001C15FE"/>
    <w:rsid w:val="001F0AD0"/>
    <w:rsid w:val="00213BB2"/>
    <w:rsid w:val="00214640"/>
    <w:rsid w:val="002241F0"/>
    <w:rsid w:val="00230523"/>
    <w:rsid w:val="0025522F"/>
    <w:rsid w:val="002564B9"/>
    <w:rsid w:val="00276DEF"/>
    <w:rsid w:val="002C3F5B"/>
    <w:rsid w:val="002D459F"/>
    <w:rsid w:val="00302D8F"/>
    <w:rsid w:val="003178F7"/>
    <w:rsid w:val="00333C71"/>
    <w:rsid w:val="003A5A4A"/>
    <w:rsid w:val="003D57F2"/>
    <w:rsid w:val="004023E5"/>
    <w:rsid w:val="00431530"/>
    <w:rsid w:val="00466BB6"/>
    <w:rsid w:val="00467636"/>
    <w:rsid w:val="004679C7"/>
    <w:rsid w:val="00491EE2"/>
    <w:rsid w:val="004A1FA1"/>
    <w:rsid w:val="004A7AE0"/>
    <w:rsid w:val="004C3BCF"/>
    <w:rsid w:val="00540005"/>
    <w:rsid w:val="005434F4"/>
    <w:rsid w:val="005569F9"/>
    <w:rsid w:val="00584192"/>
    <w:rsid w:val="005A2F12"/>
    <w:rsid w:val="005B1D48"/>
    <w:rsid w:val="005D4145"/>
    <w:rsid w:val="00642714"/>
    <w:rsid w:val="00651773"/>
    <w:rsid w:val="00794990"/>
    <w:rsid w:val="007C1FD2"/>
    <w:rsid w:val="008467CD"/>
    <w:rsid w:val="008A4296"/>
    <w:rsid w:val="008A51A9"/>
    <w:rsid w:val="009616CF"/>
    <w:rsid w:val="00984508"/>
    <w:rsid w:val="009A421C"/>
    <w:rsid w:val="009B6B8C"/>
    <w:rsid w:val="009E3B71"/>
    <w:rsid w:val="00A01F97"/>
    <w:rsid w:val="00A13B32"/>
    <w:rsid w:val="00A530EA"/>
    <w:rsid w:val="00AE38BE"/>
    <w:rsid w:val="00B37D19"/>
    <w:rsid w:val="00B40FB2"/>
    <w:rsid w:val="00B42D22"/>
    <w:rsid w:val="00B54A3C"/>
    <w:rsid w:val="00BA5A08"/>
    <w:rsid w:val="00C51332"/>
    <w:rsid w:val="00CA1178"/>
    <w:rsid w:val="00CA1702"/>
    <w:rsid w:val="00CB11E0"/>
    <w:rsid w:val="00D0092B"/>
    <w:rsid w:val="00D254DE"/>
    <w:rsid w:val="00DF1D1B"/>
    <w:rsid w:val="00E40559"/>
    <w:rsid w:val="00EA7407"/>
    <w:rsid w:val="00F7616C"/>
    <w:rsid w:val="00F8474D"/>
    <w:rsid w:val="00F912A2"/>
    <w:rsid w:val="00FE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AA8CC"/>
  <w15:docId w15:val="{91B214AE-4F17-4EBC-B1F1-F3D365A7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  <w:kern w:val="0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5569F9"/>
    <w:rPr>
      <w:color w:val="0000FF"/>
      <w:u w:val="single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569F9"/>
    <w:pPr>
      <w:suppressAutoHyphens/>
    </w:pPr>
    <w:rPr>
      <w:kern w:val="0"/>
      <w:sz w:val="20"/>
      <w:szCs w:val="20"/>
      <w14:ligatures w14:val="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569F9"/>
    <w:rPr>
      <w:kern w:val="0"/>
      <w:sz w:val="20"/>
      <w:szCs w:val="20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46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46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25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8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58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968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246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9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4079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5698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04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464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8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48489/quadrante.22652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7B767-A9E5-4199-BFAD-D18B0B022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1603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José Lucas Coutinho de Moraes</cp:lastModifiedBy>
  <cp:revision>2</cp:revision>
  <dcterms:created xsi:type="dcterms:W3CDTF">2024-06-14T01:02:00Z</dcterms:created>
  <dcterms:modified xsi:type="dcterms:W3CDTF">2024-06-14T01:02:00Z</dcterms:modified>
</cp:coreProperties>
</file>