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C57D" w14:textId="77777777" w:rsidR="004B4F1A" w:rsidRDefault="004B4F1A" w:rsidP="00C13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F1A">
        <w:rPr>
          <w:rFonts w:ascii="Times New Roman" w:hAnsi="Times New Roman" w:cs="Times New Roman"/>
          <w:b/>
          <w:bCs/>
          <w:sz w:val="28"/>
          <w:szCs w:val="28"/>
        </w:rPr>
        <w:t>ATUAÇÃO DO ENFERMEIRO</w:t>
      </w:r>
    </w:p>
    <w:p w14:paraId="2AE1C1F4" w14:textId="77777777" w:rsidR="00BD6CEE" w:rsidRDefault="004B4F1A" w:rsidP="00C13A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F1A">
        <w:rPr>
          <w:rFonts w:ascii="Times New Roman" w:hAnsi="Times New Roman" w:cs="Times New Roman"/>
          <w:b/>
          <w:bCs/>
          <w:sz w:val="28"/>
          <w:szCs w:val="28"/>
        </w:rPr>
        <w:t xml:space="preserve"> E AS BOAS PRÁTICAS DE ATENÇÃO </w:t>
      </w:r>
    </w:p>
    <w:p w14:paraId="2B4205A8" w14:textId="5FB1878C" w:rsidR="007E74D8" w:rsidRDefault="004B4F1A" w:rsidP="00C13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1A">
        <w:rPr>
          <w:rFonts w:ascii="Times New Roman" w:hAnsi="Times New Roman" w:cs="Times New Roman"/>
          <w:b/>
          <w:bCs/>
          <w:sz w:val="28"/>
          <w:szCs w:val="28"/>
        </w:rPr>
        <w:t>AO PARTO</w:t>
      </w:r>
      <w:r w:rsidR="00BD6CEE">
        <w:rPr>
          <w:rFonts w:ascii="Times New Roman" w:hAnsi="Times New Roman" w:cs="Times New Roman"/>
          <w:b/>
          <w:bCs/>
          <w:sz w:val="28"/>
          <w:szCs w:val="28"/>
        </w:rPr>
        <w:t xml:space="preserve"> HUMANIZADO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B02E97" w14:textId="63B1031C" w:rsidR="004B4F1A" w:rsidRPr="004B4F1A" w:rsidRDefault="004B4F1A" w:rsidP="004B4F1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Introdução: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O</w:t>
      </w:r>
      <w:r w:rsidR="000367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rganização 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</w:t>
      </w:r>
      <w:r w:rsidR="000367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undial de 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0367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aúde (OMS)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aponta um crescente número de mulheres que sofreram maus-tratos, abusos e negligências na assistência durante o parto. </w:t>
      </w:r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 parto é um momento único para cada mulher. No âmbito hospitalar esse evento pode ser repleto de intervenções, sejam elas físicas ou psicológicas. Se a assistência ao parto de risco habitual for de caráter exclusivamente </w:t>
      </w:r>
      <w:proofErr w:type="spellStart"/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medicalizado</w:t>
      </w:r>
      <w:proofErr w:type="spellEnd"/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sem observar as reais necessidades da mulher, isso pode levar o processo </w:t>
      </w:r>
      <w:proofErr w:type="spellStart"/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parturitivo</w:t>
      </w:r>
      <w:proofErr w:type="spellEnd"/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fisiológico a uma série de consequências e morbidades para a mulher</w:t>
      </w:r>
      <w:r w:rsid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Objetivo: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Relatar as ações dos enfermeiros em assistência relacionada às boas práticas ao parto e nascimento. </w:t>
      </w: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Metodologia: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Trata-se de um relato de experiência, desenvolvido a partir da observação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no Hospital e Maternidade </w:t>
      </w:r>
      <w:proofErr w:type="spellStart"/>
      <w:r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Chapot</w:t>
      </w:r>
      <w:proofErr w:type="spellEnd"/>
      <w:r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Prévost</w:t>
      </w:r>
      <w:proofErr w:type="spellEnd"/>
      <w:r w:rsidR="000808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na cidade de Manaus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Resultados: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Pode-se observar que n</w:t>
      </w:r>
      <w:r w:rsidR="000808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unidade hospitalar 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quaisquer ações de atendimento relacionadas ao parto normal de risco habitual ou alto risco são realizadas exclusivamente pela equipe médica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Já no </w:t>
      </w:r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centro de parto norma</w:t>
      </w:r>
      <w:r w:rsid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 parto é realizado 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exclusivamente pela enferm</w:t>
      </w:r>
      <w:r w:rsid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eir</w:t>
      </w:r>
      <w:r w:rsidR="000808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obst</w:t>
      </w:r>
      <w:r w:rsid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etra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respeitando a fisiologia do parto, observando as diferenças de abordagem, bem como a participação da parturiente nos processos decisórios</w:t>
      </w:r>
      <w:r w:rsid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frente às condutas relacionadas ao seu parto</w:t>
      </w:r>
      <w:r w:rsid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 evidências revelam também que, as mulheres que receberam apoio contínuo no parto, seja ele realizado por parceiros, amigas/os, família e doulas, demonstram que elas possuem menores chances de recorrer à analgesia, intervenções desnecessárias e possível cesariana, aumentando o grau de satisfação do pós-parto.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Conclusão: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M</w:t>
      </w:r>
      <w:r w:rsidR="000367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inistério da </w:t>
      </w:r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0367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aúde (MS)</w:t>
      </w:r>
      <w:r w:rsidR="0056142A" w:rsidRPr="005614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preconiza a atenção ao parto menos invasiva possível, levando em conta todos os processos fisiológicos e psicológicos do parto, respeitando a parturiente em todos os seus medos e dificuldades, acolhendo, promovendo uma escuta ativa de todas as suas dúvidas e solucionando-as, para que ela participe ativamente do processo decisório de todas as ações do parto</w:t>
      </w:r>
      <w:r w:rsidR="00BD6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Nesse sentido, o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modelo de atenção ao parto hospitalar necessita de uma série de mudanças, que já foram implementadas através da participação do </w:t>
      </w:r>
      <w:r w:rsidR="00BD6C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MS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 projeto, mas os resultados da comparação mostram que é necessária a participação ativa do enfermeiro obstetra em partos de rico habitual, haja diminuição do número de intervenções e maior respeito pelas decisões da parturiente e seu acompanhante.</w:t>
      </w:r>
    </w:p>
    <w:p w14:paraId="6FF83A22" w14:textId="77777777" w:rsidR="004B4F1A" w:rsidRPr="004B4F1A" w:rsidRDefault="004B4F1A" w:rsidP="004B4F1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DB1E0B" w14:textId="77777777" w:rsidR="004B4F1A" w:rsidRPr="004B4F1A" w:rsidRDefault="004B4F1A" w:rsidP="004B4F1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B4F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Palavras-chave: </w:t>
      </w:r>
      <w:r w:rsidRPr="004B4F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Parto. Humanização da Assistência ao Parto. Enfermagem Obstétrica.</w:t>
      </w:r>
    </w:p>
    <w:p w14:paraId="25918336" w14:textId="111C50DC" w:rsidR="001F22FA" w:rsidRPr="001F22FA" w:rsidRDefault="001F22FA" w:rsidP="001F22F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F22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5A63744D" w14:textId="77777777" w:rsidR="001F22FA" w:rsidRPr="001F22FA" w:rsidRDefault="001F22FA" w:rsidP="001F22F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BD47039" w14:textId="32E69DD3" w:rsidR="007E74D8" w:rsidRDefault="00BF2EFA">
      <w:pPr>
        <w:spacing w:line="240" w:lineRule="auto"/>
        <w:jc w:val="right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Apoio Financeiro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FB4C5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Não se aplica.</w:t>
      </w: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03679E"/>
    <w:rsid w:val="000808EA"/>
    <w:rsid w:val="000C3495"/>
    <w:rsid w:val="001F22FA"/>
    <w:rsid w:val="002D63AF"/>
    <w:rsid w:val="002E7A82"/>
    <w:rsid w:val="00374926"/>
    <w:rsid w:val="00406A78"/>
    <w:rsid w:val="004B4F1A"/>
    <w:rsid w:val="00541714"/>
    <w:rsid w:val="0056142A"/>
    <w:rsid w:val="00584B5E"/>
    <w:rsid w:val="00622903"/>
    <w:rsid w:val="0063037E"/>
    <w:rsid w:val="00685155"/>
    <w:rsid w:val="006F180B"/>
    <w:rsid w:val="007469E2"/>
    <w:rsid w:val="0079502F"/>
    <w:rsid w:val="007C7B4A"/>
    <w:rsid w:val="007E74D8"/>
    <w:rsid w:val="00851C29"/>
    <w:rsid w:val="008A7836"/>
    <w:rsid w:val="00910222"/>
    <w:rsid w:val="00AD215A"/>
    <w:rsid w:val="00AF7DC7"/>
    <w:rsid w:val="00BD6CEE"/>
    <w:rsid w:val="00BF2EFA"/>
    <w:rsid w:val="00BF40A0"/>
    <w:rsid w:val="00C07467"/>
    <w:rsid w:val="00C13ADE"/>
    <w:rsid w:val="00C503CB"/>
    <w:rsid w:val="00CD5C45"/>
    <w:rsid w:val="00DE7CC9"/>
    <w:rsid w:val="00DF0C2E"/>
    <w:rsid w:val="00ED0C4A"/>
    <w:rsid w:val="00EF5406"/>
    <w:rsid w:val="00F40A8D"/>
    <w:rsid w:val="00F56B18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C9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1F2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40A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0A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F22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em89536@gmail.com</cp:lastModifiedBy>
  <cp:revision>2</cp:revision>
  <cp:lastPrinted>2023-06-19T17:59:00Z</cp:lastPrinted>
  <dcterms:created xsi:type="dcterms:W3CDTF">2024-06-04T22:49:00Z</dcterms:created>
  <dcterms:modified xsi:type="dcterms:W3CDTF">2024-06-04T22:49:00Z</dcterms:modified>
</cp:coreProperties>
</file>