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A GAMIFICAÇÃO APLICADA NO ENSINO DA GEOGRAFIA </w:t>
      </w:r>
    </w:p>
    <w:p w:rsidR="00000000" w:rsidDel="00000000" w:rsidP="00000000" w:rsidRDefault="00000000" w:rsidRPr="00000000" w14:paraId="00000003">
      <w:pPr>
        <w:spacing w:after="20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Antônio Henrique Bernardo de Souza e SILVA </w:t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Rayssa Crislayne Silva do NASCIMENTO </w:t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Wanderson Paulo Melo da SILVA 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Orientadora: Ptofa. Dra. Helena Paula de Barros Silva 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antonio.bernardosouza@upe.br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rayssa.nascimento@upe.br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wanderson.paulo@upe.br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helena.silva@upe.br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 SIMPLES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:A integração da gamificação como estratégia pedagógica no âmbito do PIBID tem se revelado uma abordagem promissora para enriquecer a experiência educacional dos alunos, e estimular o aprendizado. Neste contexto, este estudo tem como foco a aplicação da gamificação em uma perspectiva que se ancora no patrimônio histórico da cidade de Nazaré da Mata. Ao unir a ludicidade dos jogos com o contexto cultural e histórico local. Desse modo, busca-se não apenas educar os alunos, mas também incitar o pensamento crítico e a criatividade, ao mesmo tempo em que os estimula a preservar o patrimônio histórico e cultural de Nazaré da Mata.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meio desta estratégia pedagógica os alunos do Colégio Dom Mota desenvolveram um conhecimento superior ao qual apresentaram no início do projeto, essa melhoria no desempenho educacional reflete o poder da gamificação como uma ferramenta eficaz para o ensino e aprendizado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para que esta aplicação fosse possível, nós utilizamos os conceitos dos “Serious Games”, que faz uso de jogos como ferramenta de ensino. Podemos usar como exemplo o jogo Army Battlezone, que foi usado para treinar soldados. Dessa forma, a gamificação, ao empregar elementos típicos de jogos, como desafios, recompensas e trabalho em equipe, torna o processo de aprendizado mais envolvente. Além disso, a gamificação permite que os alunos desenvolvam habilidades de resolução de problemas, tomada de decisões e pensamento crítico de forma lúdica e divertida.  Em nossa primeira aula prática, introduzimos com blocos de montar com o intuito de estimular a construção de estruturas históricas que eles têm conhecimento que existam no município de Nazaré da Mata. Usamos mil peças na primeira aula, para que os alunos fizessem as construções. A partir de instruções que fornecemos para os alunos, eles construíram algumas estruturas da sua cidade, algumas delas são: a Estação Ferroviária, o prédio do Parque dos Lanceiros, a Catedral de Nazaré da Mata e a praça Dr. Herculano Bandeira. Além dos blocos de montar, confeccionamos com os alunos a produção de mapas sociais, prática que usamos para elucidar os elementos que produzimos anteriormente. Isso levou os alunos a fazerem mapas sociais de ambientes que eles mesmos construíram com os blocos de montar, como por exemplo, a praça Dr. Herculano Bandeira, que eles a representaram em uma folha de cartolina. Com a dinâmica da gamificação, buscamos incentivar os alunos a competir de forma saudável, e trabalhar de forma coletiva e harmônica.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Palavras-Chave: Gamificação, Patrimônio Histórico, Aprendizado.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133" w:right="11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jc w:val="center"/>
      <w:rPr/>
    </w:pPr>
    <w:r w:rsidDel="00000000" w:rsidR="00000000" w:rsidRPr="00000000">
      <w:rPr/>
      <w:drawing>
        <wp:inline distB="0" distT="0" distL="0" distR="0">
          <wp:extent cx="4595514" cy="2064393"/>
          <wp:effectExtent b="0" l="0" r="0" t="0"/>
          <wp:docPr id="165955259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95514" cy="206439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D213B5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213B5"/>
  </w:style>
  <w:style w:type="paragraph" w:styleId="Rodap">
    <w:name w:val="footer"/>
    <w:basedOn w:val="Normal"/>
    <w:link w:val="RodapChar"/>
    <w:uiPriority w:val="99"/>
    <w:unhideWhenUsed w:val="1"/>
    <w:rsid w:val="00D213B5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213B5"/>
  </w:style>
  <w:style w:type="character" w:styleId="Refdecomentrio">
    <w:name w:val="annotation reference"/>
    <w:basedOn w:val="Fontepargpadro"/>
    <w:uiPriority w:val="99"/>
    <w:semiHidden w:val="1"/>
    <w:unhideWhenUsed w:val="1"/>
    <w:rsid w:val="00DD51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DD5175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DD51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DD5175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DD5175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2/0oDIzS7/Acu9VsGSaJZsIvpA==">CgMxLjA4AHIhMXU0WVZTWG1fc1VYRnRRWkZDekpjNGVjMGJLMHYtZ2d2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2023-10-20T22:05:00Z</dcterms:created>
</cp:coreProperties>
</file>