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CCFE6" w14:textId="77777777" w:rsidR="00172207" w:rsidRDefault="00172207">
      <w:pPr>
        <w:spacing w:before="240"/>
        <w:jc w:val="center"/>
        <w:rPr>
          <w:b/>
          <w:sz w:val="24"/>
          <w:szCs w:val="24"/>
        </w:rPr>
      </w:pPr>
    </w:p>
    <w:p w14:paraId="66B067EB" w14:textId="77777777" w:rsidR="00172207" w:rsidRDefault="00172207">
      <w:pPr>
        <w:spacing w:before="240"/>
        <w:jc w:val="center"/>
        <w:rPr>
          <w:b/>
          <w:sz w:val="24"/>
          <w:szCs w:val="24"/>
        </w:rPr>
      </w:pPr>
    </w:p>
    <w:p w14:paraId="645A714E" w14:textId="77777777" w:rsidR="002A7A65" w:rsidRDefault="002A7A65" w:rsidP="002A7A65">
      <w:pPr>
        <w:spacing w:before="240"/>
        <w:jc w:val="center"/>
        <w:rPr>
          <w:b/>
          <w:sz w:val="24"/>
          <w:szCs w:val="24"/>
        </w:rPr>
      </w:pPr>
    </w:p>
    <w:p w14:paraId="7CB9A170" w14:textId="77777777" w:rsidR="002A7A65" w:rsidRDefault="002A7A65" w:rsidP="002A7A65">
      <w:pPr>
        <w:spacing w:before="240"/>
        <w:jc w:val="center"/>
        <w:rPr>
          <w:b/>
          <w:sz w:val="24"/>
          <w:szCs w:val="24"/>
        </w:rPr>
      </w:pPr>
    </w:p>
    <w:p w14:paraId="524B7E1C" w14:textId="77777777" w:rsidR="006E4E50" w:rsidRDefault="006E4E50" w:rsidP="006E4E50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 (IN) EFICIÊNCIA DA HOLDING FAMILIAR COMO PLANEJAMENTO SUCESSÓRIO: VANTAGENS E DESVANTAGES</w:t>
      </w:r>
    </w:p>
    <w:p w14:paraId="776A234C" w14:textId="77777777" w:rsidR="002A7A65" w:rsidRDefault="002A7A65" w:rsidP="002A7A65">
      <w:pPr>
        <w:spacing w:line="240" w:lineRule="auto"/>
        <w:jc w:val="center"/>
        <w:rPr>
          <w:sz w:val="24"/>
          <w:szCs w:val="24"/>
        </w:rPr>
      </w:pPr>
    </w:p>
    <w:p w14:paraId="3DD92334" w14:textId="77777777" w:rsidR="002A7A65" w:rsidRDefault="002A7A65" w:rsidP="002A7A65">
      <w:pPr>
        <w:spacing w:line="240" w:lineRule="auto"/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</w:rPr>
        <w:t>Elda Regina Micheletto de Medeiros Breunig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, Rodrigo Fernando Lopes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.</w:t>
      </w:r>
    </w:p>
    <w:p w14:paraId="4E2860D3" w14:textId="77777777" w:rsidR="002A7A65" w:rsidRDefault="002A7A65" w:rsidP="002A7A65">
      <w:pPr>
        <w:spacing w:line="240" w:lineRule="auto"/>
        <w:jc w:val="center"/>
        <w:rPr>
          <w:sz w:val="24"/>
          <w:szCs w:val="24"/>
        </w:rPr>
      </w:pPr>
    </w:p>
    <w:p w14:paraId="7E175DCF" w14:textId="77777777" w:rsidR="002A7A65" w:rsidRDefault="002A7A65" w:rsidP="002A7A65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E-mail: </w:t>
      </w:r>
      <w:proofErr w:type="spellStart"/>
      <w:proofErr w:type="gramStart"/>
      <w:r>
        <w:rPr>
          <w:sz w:val="24"/>
          <w:szCs w:val="24"/>
        </w:rPr>
        <w:t>do.autor</w:t>
      </w:r>
      <w:proofErr w:type="spellEnd"/>
      <w:proofErr w:type="gramEnd"/>
      <w:r>
        <w:rPr>
          <w:sz w:val="24"/>
          <w:szCs w:val="24"/>
        </w:rPr>
        <w:t xml:space="preserve"> :eldabreunig@hotmail.com</w:t>
      </w:r>
    </w:p>
    <w:p w14:paraId="6176C243" w14:textId="77777777" w:rsidR="002A7A65" w:rsidRDefault="002A7A65" w:rsidP="002A7A65">
      <w:pPr>
        <w:spacing w:line="240" w:lineRule="auto"/>
        <w:jc w:val="both"/>
        <w:rPr>
          <w:sz w:val="24"/>
          <w:szCs w:val="24"/>
        </w:rPr>
      </w:pPr>
    </w:p>
    <w:p w14:paraId="24076C1E" w14:textId="77777777" w:rsidR="002A7A65" w:rsidRDefault="002A7A65" w:rsidP="002A7A65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  <w:vertAlign w:val="superscript"/>
        </w:rPr>
        <w:t xml:space="preserve">1 </w:t>
      </w:r>
      <w:r>
        <w:rPr>
          <w:sz w:val="20"/>
          <w:szCs w:val="20"/>
        </w:rPr>
        <w:t xml:space="preserve">Discente, UNICERP, Direito, Patrocínio-MG, Brasil; </w:t>
      </w:r>
      <w:r>
        <w:rPr>
          <w:sz w:val="20"/>
          <w:szCs w:val="20"/>
          <w:vertAlign w:val="superscript"/>
        </w:rPr>
        <w:t xml:space="preserve">2 </w:t>
      </w:r>
      <w:r>
        <w:rPr>
          <w:sz w:val="20"/>
          <w:szCs w:val="20"/>
          <w:shd w:val="clear" w:color="auto" w:fill="FFFFFF"/>
        </w:rPr>
        <w:t>Mestre em Direito das Relações Econômico Empresariais</w:t>
      </w:r>
      <w:r>
        <w:rPr>
          <w:sz w:val="20"/>
          <w:szCs w:val="20"/>
        </w:rPr>
        <w:t xml:space="preserve">, Universidade de Franca, </w:t>
      </w:r>
      <w:proofErr w:type="gramStart"/>
      <w:r>
        <w:rPr>
          <w:sz w:val="20"/>
          <w:szCs w:val="20"/>
        </w:rPr>
        <w:t>Direito ,</w:t>
      </w:r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Franca-SP</w:t>
      </w:r>
      <w:proofErr w:type="spellEnd"/>
      <w:r>
        <w:rPr>
          <w:sz w:val="20"/>
          <w:szCs w:val="20"/>
        </w:rPr>
        <w:t>, Brasil.</w:t>
      </w:r>
    </w:p>
    <w:p w14:paraId="4BCB8454" w14:textId="77777777" w:rsidR="002A7A65" w:rsidRDefault="002A7A65" w:rsidP="002A7A65">
      <w:pPr>
        <w:spacing w:line="240" w:lineRule="auto"/>
        <w:jc w:val="both"/>
        <w:rPr>
          <w:sz w:val="24"/>
          <w:szCs w:val="24"/>
        </w:rPr>
      </w:pPr>
    </w:p>
    <w:p w14:paraId="59A064A7" w14:textId="27A102A4" w:rsidR="002A7A65" w:rsidRDefault="002A7A65" w:rsidP="002A7A65">
      <w:pPr>
        <w:tabs>
          <w:tab w:val="right" w:leader="dot" w:pos="9072"/>
        </w:tabs>
        <w:spacing w:line="240" w:lineRule="auto"/>
        <w:jc w:val="both"/>
      </w:pPr>
      <w:r>
        <w:rPr>
          <w:rFonts w:eastAsia="Calibri"/>
          <w:b/>
          <w:sz w:val="24"/>
          <w:szCs w:val="24"/>
        </w:rPr>
        <w:t>Introdução:</w:t>
      </w:r>
      <w:r>
        <w:rPr>
          <w:rFonts w:eastAsia="Calibri"/>
          <w:sz w:val="24"/>
          <w:szCs w:val="24"/>
        </w:rPr>
        <w:t xml:space="preserve"> </w:t>
      </w:r>
      <w:r w:rsidR="00663EF3">
        <w:rPr>
          <w:rFonts w:eastAsia="Calibri"/>
          <w:sz w:val="24"/>
          <w:szCs w:val="24"/>
        </w:rPr>
        <w:t xml:space="preserve">A </w:t>
      </w:r>
      <w:r w:rsidR="00663EF3">
        <w:rPr>
          <w:sz w:val="24"/>
          <w:szCs w:val="24"/>
        </w:rPr>
        <w:t xml:space="preserve">holding é definida como uma pessoa jurídica que constituída para se tornar titular de direitos e deveres em substituição a pessoas naturais (pessoas físicas </w:t>
      </w:r>
      <w:r>
        <w:rPr>
          <w:sz w:val="24"/>
          <w:szCs w:val="24"/>
        </w:rPr>
        <w:t xml:space="preserve">Existem diferentes tipos de holding que pode se adequar à necessidade de cada grupo empresarial, como no caso da holding familiar que tem como objetivo garantir a manutenção do patrimônio conquistado por seus membros, incluindo o sucesso de eventuais empresas pertencentes à família, perpassando a geração atual. Um dos principais objetivos das famílias que adotam a holding é proteger o patrimônio de ações externas que possam desestabilizar o que já até então foi construído. Tal blindagem que é possível pelo instituto holding, visa proporcionar estabilidade de negócios além de tornar os patrimônios integrados invulneráveis aos riscos negociais e até pessoais dos sócios e sucessores. </w:t>
      </w:r>
      <w:r>
        <w:rPr>
          <w:rFonts w:eastAsia="Calibri"/>
          <w:b/>
          <w:sz w:val="24"/>
          <w:szCs w:val="24"/>
        </w:rPr>
        <w:t>Objetivo:</w:t>
      </w:r>
      <w:r>
        <w:rPr>
          <w:rFonts w:eastAsia="Calibri"/>
          <w:sz w:val="24"/>
          <w:szCs w:val="24"/>
        </w:rPr>
        <w:t xml:space="preserve"> C</w:t>
      </w:r>
      <w:r>
        <w:rPr>
          <w:sz w:val="24"/>
          <w:szCs w:val="24"/>
        </w:rPr>
        <w:t xml:space="preserve">onceber as vantagens e as desvantagens da Holding como planejamento sucessório familiar a fim de perquirir sua (in) eficiência. </w:t>
      </w:r>
      <w:r>
        <w:rPr>
          <w:rFonts w:eastAsia="Calibri"/>
          <w:sz w:val="24"/>
          <w:szCs w:val="24"/>
        </w:rPr>
        <w:t xml:space="preserve"> </w:t>
      </w:r>
      <w:r>
        <w:rPr>
          <w:rFonts w:eastAsia="Calibri"/>
          <w:b/>
          <w:sz w:val="24"/>
          <w:szCs w:val="24"/>
        </w:rPr>
        <w:t>Metodologia:</w:t>
      </w:r>
      <w:r>
        <w:rPr>
          <w:rFonts w:eastAsia="Calibri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 presente pesquisa está sendo realizada a partir de um levantamento bibliográfico compreendendo</w:t>
      </w:r>
      <w:r>
        <w:rPr>
          <w:sz w:val="24"/>
          <w:szCs w:val="24"/>
        </w:rPr>
        <w:t xml:space="preserve"> os objetivos específicos listados para nortear o estudo a partir dos termos “Holding familiar” e “Planejamento Sucessório”</w:t>
      </w:r>
      <w:r>
        <w:rPr>
          <w:rFonts w:eastAsia="Calibri"/>
          <w:sz w:val="24"/>
          <w:szCs w:val="24"/>
        </w:rPr>
        <w:t xml:space="preserve">. </w:t>
      </w:r>
      <w:r>
        <w:rPr>
          <w:rFonts w:eastAsia="Calibri"/>
          <w:b/>
          <w:sz w:val="24"/>
          <w:szCs w:val="24"/>
        </w:rPr>
        <w:t>Resultados:</w:t>
      </w:r>
      <w:r>
        <w:rPr>
          <w:rFonts w:eastAsia="Calibri"/>
          <w:sz w:val="24"/>
          <w:szCs w:val="24"/>
        </w:rPr>
        <w:t xml:space="preserve"> Como Vantagens da holding familiar podem ser citadas maior simplicidade, menor onerosidade, redução de conflitos familiares, disposição sobre a administração de bens a serem sucedidos, proteção dos bens do seio familiar e a possível redução de carga tributária. Como desvantagens podem ser citadas a possibilidade de causar perda do controle dos bens por parte dos transmitentes, caso o planejamento não seja bem conduzido e ainda o possível aumento de conflitos, custos e tributos se mal conduzido. </w:t>
      </w:r>
      <w:r>
        <w:rPr>
          <w:rFonts w:eastAsia="Calibri"/>
          <w:b/>
          <w:sz w:val="24"/>
          <w:szCs w:val="24"/>
        </w:rPr>
        <w:t>Conclusão: O</w:t>
      </w:r>
      <w:r>
        <w:rPr>
          <w:sz w:val="24"/>
          <w:szCs w:val="24"/>
        </w:rPr>
        <w:t xml:space="preserve"> planejamento sucessório no contexto das holdings, não se encerra na transferência desses bens para a empresa, mas na apuração dessa prestar ao seu fim: proteger o patrimônio</w:t>
      </w:r>
      <w:r w:rsidR="00A9155F">
        <w:rPr>
          <w:sz w:val="24"/>
          <w:szCs w:val="24"/>
        </w:rPr>
        <w:t xml:space="preserve"> familiar</w:t>
      </w:r>
      <w:r>
        <w:rPr>
          <w:sz w:val="24"/>
          <w:szCs w:val="24"/>
        </w:rPr>
        <w:t>. A dissolução da empresa não importa na direta ineficiência dessa na proteção do patrimônio, mas é necessária a manutenção da coerência entre o caso concreto, suas possibilidades de constituição e a viabilidade de sua manutenção.</w:t>
      </w:r>
    </w:p>
    <w:p w14:paraId="79424836" w14:textId="77777777" w:rsidR="002A7A65" w:rsidRDefault="002A7A65" w:rsidP="002A7A65">
      <w:pPr>
        <w:pStyle w:val="Default"/>
        <w:jc w:val="both"/>
        <w:rPr>
          <w:rFonts w:eastAsia="Calibri"/>
        </w:rPr>
      </w:pPr>
    </w:p>
    <w:p w14:paraId="7ED92EE2" w14:textId="77777777" w:rsidR="002A7A65" w:rsidRDefault="002A7A65" w:rsidP="002A7A65">
      <w:pPr>
        <w:pStyle w:val="Default"/>
        <w:jc w:val="both"/>
        <w:rPr>
          <w:rFonts w:eastAsia="Calibri"/>
        </w:rPr>
      </w:pPr>
    </w:p>
    <w:p w14:paraId="6CE88A43" w14:textId="77777777" w:rsidR="002A7A65" w:rsidRDefault="002A7A65" w:rsidP="002A7A65">
      <w:pPr>
        <w:spacing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Palavras-chave:</w:t>
      </w:r>
      <w:r>
        <w:rPr>
          <w:sz w:val="24"/>
          <w:szCs w:val="24"/>
        </w:rPr>
        <w:t xml:space="preserve"> Bens. Família. Patrimônio. Sucessão.</w:t>
      </w:r>
    </w:p>
    <w:p w14:paraId="300D176A" w14:textId="77777777" w:rsidR="002A7A65" w:rsidRDefault="002A7A65" w:rsidP="002A7A65">
      <w:pPr>
        <w:spacing w:line="240" w:lineRule="auto"/>
        <w:jc w:val="both"/>
        <w:rPr>
          <w:sz w:val="24"/>
          <w:szCs w:val="24"/>
        </w:rPr>
      </w:pPr>
    </w:p>
    <w:p w14:paraId="014806B8" w14:textId="77777777" w:rsidR="002A7A65" w:rsidRDefault="002A7A65" w:rsidP="002A7A65"/>
    <w:p w14:paraId="5800E2B9" w14:textId="77777777" w:rsidR="00172207" w:rsidRDefault="00172207" w:rsidP="002620CA">
      <w:pPr>
        <w:spacing w:line="240" w:lineRule="auto"/>
        <w:jc w:val="center"/>
        <w:rPr>
          <w:sz w:val="24"/>
          <w:szCs w:val="24"/>
        </w:rPr>
      </w:pPr>
    </w:p>
    <w:p w14:paraId="3506AC86" w14:textId="77777777" w:rsidR="00172207" w:rsidRDefault="00F3440E" w:rsidP="002620CA">
      <w:pPr>
        <w:spacing w:line="240" w:lineRule="auto"/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</w:rPr>
        <w:t>Elda Regina Micheletto</w:t>
      </w:r>
      <w:r w:rsidR="00F0090C">
        <w:rPr>
          <w:sz w:val="24"/>
          <w:szCs w:val="24"/>
        </w:rPr>
        <w:t xml:space="preserve"> de Medeiros</w:t>
      </w:r>
      <w:r>
        <w:rPr>
          <w:sz w:val="24"/>
          <w:szCs w:val="24"/>
        </w:rPr>
        <w:t xml:space="preserve"> Breunig</w:t>
      </w:r>
      <w:r w:rsidR="00A12BB1">
        <w:rPr>
          <w:sz w:val="24"/>
          <w:szCs w:val="24"/>
          <w:vertAlign w:val="superscript"/>
        </w:rPr>
        <w:t>1</w:t>
      </w:r>
      <w:r w:rsidR="00A12BB1">
        <w:rPr>
          <w:sz w:val="24"/>
          <w:szCs w:val="24"/>
        </w:rPr>
        <w:t xml:space="preserve">, </w:t>
      </w:r>
      <w:r>
        <w:rPr>
          <w:sz w:val="24"/>
          <w:szCs w:val="24"/>
        </w:rPr>
        <w:t>Rodrigo Fernando Lopes</w:t>
      </w:r>
      <w:r w:rsidR="00A12BB1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.</w:t>
      </w:r>
    </w:p>
    <w:p w14:paraId="5C1557EF" w14:textId="77777777" w:rsidR="00172207" w:rsidRDefault="00172207" w:rsidP="002620CA">
      <w:pPr>
        <w:spacing w:line="240" w:lineRule="auto"/>
        <w:jc w:val="center"/>
        <w:rPr>
          <w:sz w:val="24"/>
          <w:szCs w:val="24"/>
        </w:rPr>
      </w:pPr>
    </w:p>
    <w:p w14:paraId="39DB6210" w14:textId="1EFFB282" w:rsidR="00172207" w:rsidRDefault="00A12BB1" w:rsidP="002620CA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E-mail: </w:t>
      </w:r>
      <w:proofErr w:type="spellStart"/>
      <w:proofErr w:type="gramStart"/>
      <w:r>
        <w:rPr>
          <w:sz w:val="24"/>
          <w:szCs w:val="24"/>
        </w:rPr>
        <w:t>do.autor</w:t>
      </w:r>
      <w:proofErr w:type="spellEnd"/>
      <w:proofErr w:type="gramEnd"/>
      <w:r w:rsidR="00E16191">
        <w:rPr>
          <w:sz w:val="24"/>
          <w:szCs w:val="24"/>
        </w:rPr>
        <w:t xml:space="preserve"> :eldabreunig@hotmail.com</w:t>
      </w:r>
    </w:p>
    <w:p w14:paraId="304DCB6B" w14:textId="77777777" w:rsidR="00172207" w:rsidRDefault="00172207" w:rsidP="002620CA">
      <w:pPr>
        <w:spacing w:line="240" w:lineRule="auto"/>
        <w:jc w:val="both"/>
        <w:rPr>
          <w:sz w:val="24"/>
          <w:szCs w:val="24"/>
        </w:rPr>
      </w:pPr>
    </w:p>
    <w:p w14:paraId="338185EA" w14:textId="77777777" w:rsidR="00172207" w:rsidRPr="002620CA" w:rsidRDefault="00A12BB1" w:rsidP="002620CA">
      <w:pPr>
        <w:spacing w:line="240" w:lineRule="auto"/>
        <w:jc w:val="both"/>
        <w:rPr>
          <w:sz w:val="20"/>
          <w:szCs w:val="20"/>
        </w:rPr>
      </w:pPr>
      <w:r w:rsidRPr="002620CA">
        <w:rPr>
          <w:sz w:val="20"/>
          <w:szCs w:val="20"/>
          <w:vertAlign w:val="superscript"/>
        </w:rPr>
        <w:t xml:space="preserve">1 </w:t>
      </w:r>
      <w:r w:rsidR="00F3440E" w:rsidRPr="002620CA">
        <w:rPr>
          <w:sz w:val="20"/>
          <w:szCs w:val="20"/>
        </w:rPr>
        <w:t>Discente</w:t>
      </w:r>
      <w:r w:rsidRPr="002620CA">
        <w:rPr>
          <w:sz w:val="20"/>
          <w:szCs w:val="20"/>
        </w:rPr>
        <w:t xml:space="preserve">, </w:t>
      </w:r>
      <w:r w:rsidR="00F3440E" w:rsidRPr="002620CA">
        <w:rPr>
          <w:sz w:val="20"/>
          <w:szCs w:val="20"/>
        </w:rPr>
        <w:t>UNICERP</w:t>
      </w:r>
      <w:r w:rsidRPr="002620CA">
        <w:rPr>
          <w:sz w:val="20"/>
          <w:szCs w:val="20"/>
        </w:rPr>
        <w:t xml:space="preserve">, </w:t>
      </w:r>
      <w:r w:rsidR="00F3440E" w:rsidRPr="002620CA">
        <w:rPr>
          <w:sz w:val="20"/>
          <w:szCs w:val="20"/>
        </w:rPr>
        <w:t>Direito</w:t>
      </w:r>
      <w:r w:rsidRPr="002620CA">
        <w:rPr>
          <w:sz w:val="20"/>
          <w:szCs w:val="20"/>
        </w:rPr>
        <w:t xml:space="preserve">, </w:t>
      </w:r>
      <w:r w:rsidR="00F3440E" w:rsidRPr="002620CA">
        <w:rPr>
          <w:sz w:val="20"/>
          <w:szCs w:val="20"/>
        </w:rPr>
        <w:t>Patrocínio-MG</w:t>
      </w:r>
      <w:r w:rsidRPr="002620CA">
        <w:rPr>
          <w:sz w:val="20"/>
          <w:szCs w:val="20"/>
        </w:rPr>
        <w:t xml:space="preserve">, </w:t>
      </w:r>
      <w:r w:rsidR="00F3440E" w:rsidRPr="002620CA">
        <w:rPr>
          <w:sz w:val="20"/>
          <w:szCs w:val="20"/>
        </w:rPr>
        <w:t>Brasil</w:t>
      </w:r>
      <w:r w:rsidRPr="002620CA">
        <w:rPr>
          <w:sz w:val="20"/>
          <w:szCs w:val="20"/>
        </w:rPr>
        <w:t xml:space="preserve">; </w:t>
      </w:r>
      <w:r w:rsidRPr="002620CA">
        <w:rPr>
          <w:sz w:val="20"/>
          <w:szCs w:val="20"/>
          <w:vertAlign w:val="superscript"/>
        </w:rPr>
        <w:t xml:space="preserve">2 </w:t>
      </w:r>
      <w:r w:rsidR="002620CA" w:rsidRPr="002620CA">
        <w:rPr>
          <w:sz w:val="20"/>
          <w:szCs w:val="20"/>
          <w:shd w:val="clear" w:color="auto" w:fill="FFFFFF"/>
        </w:rPr>
        <w:t>Mestre em Direito das Relações Econômico Empresariais</w:t>
      </w:r>
      <w:r w:rsidRPr="002620CA">
        <w:rPr>
          <w:sz w:val="20"/>
          <w:szCs w:val="20"/>
        </w:rPr>
        <w:t xml:space="preserve">, </w:t>
      </w:r>
      <w:r w:rsidR="002620CA" w:rsidRPr="002620CA">
        <w:rPr>
          <w:sz w:val="20"/>
          <w:szCs w:val="20"/>
        </w:rPr>
        <w:t>Universidade de Franca</w:t>
      </w:r>
      <w:r w:rsidRPr="002620CA">
        <w:rPr>
          <w:sz w:val="20"/>
          <w:szCs w:val="20"/>
        </w:rPr>
        <w:t>,</w:t>
      </w:r>
      <w:r w:rsidR="002620CA" w:rsidRPr="002620CA">
        <w:rPr>
          <w:sz w:val="20"/>
          <w:szCs w:val="20"/>
        </w:rPr>
        <w:t xml:space="preserve"> </w:t>
      </w:r>
      <w:proofErr w:type="gramStart"/>
      <w:r w:rsidR="002620CA" w:rsidRPr="002620CA">
        <w:rPr>
          <w:sz w:val="20"/>
          <w:szCs w:val="20"/>
        </w:rPr>
        <w:t xml:space="preserve">Direito </w:t>
      </w:r>
      <w:r w:rsidRPr="002620CA">
        <w:rPr>
          <w:sz w:val="20"/>
          <w:szCs w:val="20"/>
        </w:rPr>
        <w:t>,</w:t>
      </w:r>
      <w:proofErr w:type="gramEnd"/>
      <w:r w:rsidRPr="002620CA">
        <w:rPr>
          <w:sz w:val="20"/>
          <w:szCs w:val="20"/>
        </w:rPr>
        <w:t xml:space="preserve"> </w:t>
      </w:r>
      <w:proofErr w:type="spellStart"/>
      <w:r w:rsidR="002620CA" w:rsidRPr="002620CA">
        <w:rPr>
          <w:sz w:val="20"/>
          <w:szCs w:val="20"/>
        </w:rPr>
        <w:t>Franca-SP</w:t>
      </w:r>
      <w:proofErr w:type="spellEnd"/>
      <w:r w:rsidR="002620CA" w:rsidRPr="002620CA">
        <w:rPr>
          <w:sz w:val="20"/>
          <w:szCs w:val="20"/>
        </w:rPr>
        <w:t>, Brasil.</w:t>
      </w:r>
    </w:p>
    <w:p w14:paraId="0AFB24C6" w14:textId="77777777" w:rsidR="00172207" w:rsidRDefault="00172207" w:rsidP="002620CA">
      <w:pPr>
        <w:spacing w:line="240" w:lineRule="auto"/>
        <w:jc w:val="both"/>
        <w:rPr>
          <w:sz w:val="24"/>
          <w:szCs w:val="24"/>
        </w:rPr>
      </w:pPr>
    </w:p>
    <w:p w14:paraId="5FBE6D56" w14:textId="1BA1E2ED" w:rsidR="00172207" w:rsidRDefault="00A12BB1" w:rsidP="004E5F76">
      <w:pPr>
        <w:tabs>
          <w:tab w:val="right" w:leader="dot" w:pos="9072"/>
        </w:tabs>
        <w:spacing w:line="240" w:lineRule="auto"/>
        <w:jc w:val="both"/>
      </w:pPr>
      <w:r w:rsidRPr="004E5F76">
        <w:rPr>
          <w:rFonts w:eastAsia="Calibri"/>
          <w:b/>
          <w:sz w:val="24"/>
          <w:szCs w:val="24"/>
        </w:rPr>
        <w:t>Introdução:</w:t>
      </w:r>
      <w:r w:rsidRPr="004E5F76">
        <w:rPr>
          <w:rFonts w:eastAsia="Calibri"/>
          <w:sz w:val="24"/>
          <w:szCs w:val="24"/>
        </w:rPr>
        <w:t xml:space="preserve"> </w:t>
      </w:r>
      <w:r w:rsidR="00F0090C">
        <w:rPr>
          <w:rFonts w:eastAsia="Calibri"/>
          <w:sz w:val="24"/>
          <w:szCs w:val="24"/>
        </w:rPr>
        <w:t xml:space="preserve">A </w:t>
      </w:r>
      <w:r w:rsidR="00F0090C" w:rsidRPr="00745BCE">
        <w:rPr>
          <w:sz w:val="24"/>
          <w:szCs w:val="24"/>
        </w:rPr>
        <w:t xml:space="preserve">holding </w:t>
      </w:r>
      <w:r w:rsidR="00F0090C">
        <w:rPr>
          <w:sz w:val="24"/>
          <w:szCs w:val="24"/>
        </w:rPr>
        <w:t xml:space="preserve">é definida </w:t>
      </w:r>
      <w:r w:rsidR="00F0090C" w:rsidRPr="00745BCE">
        <w:rPr>
          <w:sz w:val="24"/>
          <w:szCs w:val="24"/>
        </w:rPr>
        <w:t xml:space="preserve">como uma empresa que </w:t>
      </w:r>
      <w:r w:rsidR="00F0090C">
        <w:rPr>
          <w:sz w:val="24"/>
          <w:szCs w:val="24"/>
        </w:rPr>
        <w:t xml:space="preserve">é uma pessoa jurídica que </w:t>
      </w:r>
      <w:r w:rsidR="00F0090C" w:rsidRPr="00745BCE">
        <w:rPr>
          <w:sz w:val="24"/>
          <w:szCs w:val="24"/>
        </w:rPr>
        <w:t>constituída para se tornar titular de direitos e deveres em substituição a pessoas naturais (pessoas físicas).</w:t>
      </w:r>
      <w:r w:rsidR="00F0090C">
        <w:rPr>
          <w:sz w:val="24"/>
          <w:szCs w:val="24"/>
        </w:rPr>
        <w:t xml:space="preserve"> Existem diferentes tipos de holding que pode se adequar à necessidade de cada grupo empresarial, como no caso da holding familiar que </w:t>
      </w:r>
      <w:r w:rsidR="004E5F76">
        <w:rPr>
          <w:sz w:val="24"/>
          <w:szCs w:val="24"/>
        </w:rPr>
        <w:t>tem como objetivo garantir a manutenção do patrimônio conquistado por seus membros, incluindo o sucesso de eventuais empresas pertencentes à família, perpassando a geração atual. U</w:t>
      </w:r>
      <w:r w:rsidR="004E5F76" w:rsidRPr="00F460C0">
        <w:rPr>
          <w:sz w:val="24"/>
          <w:szCs w:val="24"/>
        </w:rPr>
        <w:t>m dos principais</w:t>
      </w:r>
      <w:r w:rsidR="004E5F76">
        <w:rPr>
          <w:sz w:val="24"/>
          <w:szCs w:val="24"/>
        </w:rPr>
        <w:t xml:space="preserve"> objetivos das famílias que adotam a holding é proteger o patrimônio de ações externas que possam desestabilizar o que já até então foi construído. Tal blindagem que é possível pelo instituto holding, visa proporcionar estabilidade de negócios além de tornar os patrimônios integrados invulneráveis aos riscos negociais e até pessoais dos sócios e sucessores. </w:t>
      </w:r>
      <w:r w:rsidRPr="004E5F76">
        <w:rPr>
          <w:rFonts w:eastAsia="Calibri"/>
          <w:b/>
          <w:sz w:val="24"/>
          <w:szCs w:val="24"/>
        </w:rPr>
        <w:t>Objetivo:</w:t>
      </w:r>
      <w:r w:rsidRPr="004E5F76">
        <w:rPr>
          <w:rFonts w:eastAsia="Calibri"/>
          <w:sz w:val="24"/>
          <w:szCs w:val="24"/>
        </w:rPr>
        <w:t xml:space="preserve"> </w:t>
      </w:r>
      <w:r w:rsidR="004E5F76">
        <w:rPr>
          <w:rFonts w:eastAsia="Calibri"/>
          <w:sz w:val="24"/>
          <w:szCs w:val="24"/>
        </w:rPr>
        <w:t>C</w:t>
      </w:r>
      <w:r w:rsidR="00F3440E" w:rsidRPr="004E5F76">
        <w:rPr>
          <w:sz w:val="24"/>
          <w:szCs w:val="24"/>
        </w:rPr>
        <w:t>onceber as vantagens e as desvantagens da Holding como planejamento sucessório familiar a fim de perquirir sua (in) eficiência.</w:t>
      </w:r>
      <w:r w:rsidR="004E5F76">
        <w:rPr>
          <w:sz w:val="24"/>
          <w:szCs w:val="24"/>
        </w:rPr>
        <w:t xml:space="preserve"> </w:t>
      </w:r>
      <w:r w:rsidRPr="004E5F76">
        <w:rPr>
          <w:rFonts w:eastAsia="Calibri"/>
          <w:sz w:val="24"/>
          <w:szCs w:val="24"/>
        </w:rPr>
        <w:t xml:space="preserve"> </w:t>
      </w:r>
      <w:r w:rsidRPr="004E5F76">
        <w:rPr>
          <w:rFonts w:eastAsia="Calibri"/>
          <w:b/>
          <w:sz w:val="24"/>
          <w:szCs w:val="24"/>
        </w:rPr>
        <w:t>Metodologia:</w:t>
      </w:r>
      <w:r w:rsidRPr="004E5F76">
        <w:rPr>
          <w:rFonts w:eastAsia="Calibri"/>
          <w:sz w:val="24"/>
          <w:szCs w:val="24"/>
        </w:rPr>
        <w:t xml:space="preserve"> </w:t>
      </w:r>
      <w:r w:rsidR="00F3440E" w:rsidRPr="004E5F76">
        <w:rPr>
          <w:color w:val="000000"/>
          <w:sz w:val="24"/>
          <w:szCs w:val="24"/>
        </w:rPr>
        <w:t xml:space="preserve">A presente pesquisa </w:t>
      </w:r>
      <w:r w:rsidR="00E16191">
        <w:rPr>
          <w:color w:val="000000"/>
          <w:sz w:val="24"/>
          <w:szCs w:val="24"/>
        </w:rPr>
        <w:t>está sendo</w:t>
      </w:r>
      <w:r w:rsidR="00F3440E" w:rsidRPr="004E5F76">
        <w:rPr>
          <w:color w:val="000000"/>
          <w:sz w:val="24"/>
          <w:szCs w:val="24"/>
        </w:rPr>
        <w:t xml:space="preserve"> realizada a partir de um levantamento bibliográfico compreendendo</w:t>
      </w:r>
      <w:r w:rsidR="00F3440E" w:rsidRPr="004E5F76">
        <w:rPr>
          <w:sz w:val="24"/>
          <w:szCs w:val="24"/>
        </w:rPr>
        <w:t xml:space="preserve"> os objetivos específicos listados para nortear o estudo a partir dos termos “Holding familiar” e “Planejamento Sucessório”</w:t>
      </w:r>
      <w:r w:rsidRPr="004E5F76">
        <w:rPr>
          <w:rFonts w:eastAsia="Calibri"/>
          <w:sz w:val="24"/>
          <w:szCs w:val="24"/>
        </w:rPr>
        <w:t xml:space="preserve">. </w:t>
      </w:r>
      <w:r w:rsidRPr="004E5F76">
        <w:rPr>
          <w:rFonts w:eastAsia="Calibri"/>
          <w:b/>
          <w:sz w:val="24"/>
          <w:szCs w:val="24"/>
        </w:rPr>
        <w:t>Resultados:</w:t>
      </w:r>
      <w:r w:rsidRPr="004E5F76">
        <w:rPr>
          <w:rFonts w:eastAsia="Calibri"/>
          <w:sz w:val="24"/>
          <w:szCs w:val="24"/>
        </w:rPr>
        <w:t xml:space="preserve"> </w:t>
      </w:r>
      <w:r w:rsidR="00F3440E" w:rsidRPr="004E5F76">
        <w:rPr>
          <w:rFonts w:eastAsia="Calibri"/>
          <w:sz w:val="24"/>
          <w:szCs w:val="24"/>
        </w:rPr>
        <w:t>Como Vantagens da holding familiar podem ser citadas maior simplicidade, menor onerosidade, redução de conflitos familiares, disposição sobre a administração de bens a serem sucedidos, proteção dos bens do seio familiar e a possível redução de carga tributária. Co</w:t>
      </w:r>
      <w:r w:rsidR="004E5F76">
        <w:rPr>
          <w:rFonts w:eastAsia="Calibri"/>
          <w:sz w:val="24"/>
          <w:szCs w:val="24"/>
        </w:rPr>
        <w:t>mo desvantagens podem ser citada</w:t>
      </w:r>
      <w:r w:rsidR="00F3440E" w:rsidRPr="004E5F76">
        <w:rPr>
          <w:rFonts w:eastAsia="Calibri"/>
          <w:sz w:val="24"/>
          <w:szCs w:val="24"/>
        </w:rPr>
        <w:t>s a possibilidade de causar perda do controle dos bens por parte dos transmitentes, caso o planejamento não seja bem conduzido e ainda o possível aumento de conflitos, custos e tributos se mal conduzido.</w:t>
      </w:r>
      <w:r w:rsidRPr="004E5F76">
        <w:rPr>
          <w:rFonts w:eastAsia="Calibri"/>
          <w:sz w:val="24"/>
          <w:szCs w:val="24"/>
        </w:rPr>
        <w:t xml:space="preserve"> </w:t>
      </w:r>
      <w:r w:rsidRPr="004E5F76">
        <w:rPr>
          <w:rFonts w:eastAsia="Calibri"/>
          <w:b/>
          <w:sz w:val="24"/>
          <w:szCs w:val="24"/>
        </w:rPr>
        <w:t>Conclusão:</w:t>
      </w:r>
      <w:r w:rsidR="004E5F76" w:rsidRPr="004E5F76">
        <w:rPr>
          <w:rFonts w:eastAsia="Calibri"/>
          <w:b/>
          <w:sz w:val="24"/>
          <w:szCs w:val="24"/>
        </w:rPr>
        <w:t xml:space="preserve"> O</w:t>
      </w:r>
      <w:r w:rsidR="004E5F76" w:rsidRPr="004E5F76">
        <w:rPr>
          <w:sz w:val="24"/>
          <w:szCs w:val="24"/>
        </w:rPr>
        <w:t xml:space="preserve"> planejamento sucessório no contexto das holdings, não se encerra na transferência desses bens para a empresa, mas na apuração dessa prestar ao seu fim: proteger o patrimônio. A dissolução da empresa não importa na direta ineficiência dessa na proteção do patrimônio, mas </w:t>
      </w:r>
      <w:r w:rsidR="00F0090C">
        <w:rPr>
          <w:sz w:val="24"/>
          <w:szCs w:val="24"/>
        </w:rPr>
        <w:t xml:space="preserve">é </w:t>
      </w:r>
      <w:r w:rsidR="004E5F76" w:rsidRPr="004E5F76">
        <w:rPr>
          <w:sz w:val="24"/>
          <w:szCs w:val="24"/>
        </w:rPr>
        <w:t>necessária a manutenção da coerência entre o caso concreto, suas possibilidades de constituição e a viabilidade de sua manutenção.</w:t>
      </w:r>
    </w:p>
    <w:p w14:paraId="277558EE" w14:textId="77777777" w:rsidR="004E5F76" w:rsidRDefault="004E5F76" w:rsidP="004E5F76">
      <w:pPr>
        <w:pStyle w:val="Default"/>
        <w:jc w:val="both"/>
        <w:rPr>
          <w:rFonts w:eastAsia="Calibri"/>
        </w:rPr>
      </w:pPr>
    </w:p>
    <w:p w14:paraId="5BE17063" w14:textId="77777777" w:rsidR="00F0090C" w:rsidRPr="004E5F76" w:rsidRDefault="00F0090C" w:rsidP="004E5F76">
      <w:pPr>
        <w:pStyle w:val="Default"/>
        <w:jc w:val="both"/>
        <w:rPr>
          <w:rFonts w:eastAsia="Calibri"/>
        </w:rPr>
      </w:pPr>
    </w:p>
    <w:p w14:paraId="72A15C34" w14:textId="77777777" w:rsidR="00172207" w:rsidRPr="004E5F76" w:rsidRDefault="00A12BB1" w:rsidP="004E5F76">
      <w:pPr>
        <w:spacing w:line="240" w:lineRule="auto"/>
        <w:jc w:val="both"/>
        <w:rPr>
          <w:sz w:val="24"/>
          <w:szCs w:val="24"/>
        </w:rPr>
      </w:pPr>
      <w:r w:rsidRPr="004E5F76">
        <w:rPr>
          <w:b/>
          <w:sz w:val="24"/>
          <w:szCs w:val="24"/>
        </w:rPr>
        <w:t>Palavras-chave:</w:t>
      </w:r>
      <w:r w:rsidRPr="004E5F76">
        <w:rPr>
          <w:sz w:val="24"/>
          <w:szCs w:val="24"/>
        </w:rPr>
        <w:t xml:space="preserve"> </w:t>
      </w:r>
      <w:r w:rsidR="004E5F76">
        <w:rPr>
          <w:sz w:val="24"/>
          <w:szCs w:val="24"/>
        </w:rPr>
        <w:t>Bens. Família. Patrimônio. Sucessão.</w:t>
      </w:r>
    </w:p>
    <w:p w14:paraId="335B39B7" w14:textId="77777777" w:rsidR="00172207" w:rsidRPr="004E5F76" w:rsidRDefault="00172207" w:rsidP="004E5F76">
      <w:pPr>
        <w:spacing w:line="240" w:lineRule="auto"/>
        <w:jc w:val="both"/>
        <w:rPr>
          <w:sz w:val="24"/>
          <w:szCs w:val="24"/>
        </w:rPr>
      </w:pPr>
    </w:p>
    <w:p w14:paraId="4DC20103" w14:textId="77777777" w:rsidR="00172207" w:rsidRDefault="00172207"/>
    <w:sectPr w:rsidR="00172207" w:rsidSect="00FF52E2">
      <w:headerReference w:type="default" r:id="rId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63D0E4" w14:textId="77777777" w:rsidR="009D1C5A" w:rsidRDefault="009D1C5A">
      <w:pPr>
        <w:spacing w:line="240" w:lineRule="auto"/>
      </w:pPr>
      <w:r>
        <w:separator/>
      </w:r>
    </w:p>
  </w:endnote>
  <w:endnote w:type="continuationSeparator" w:id="0">
    <w:p w14:paraId="2DDBEE2E" w14:textId="77777777" w:rsidR="009D1C5A" w:rsidRDefault="009D1C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BD4C13" w14:textId="77777777" w:rsidR="009D1C5A" w:rsidRDefault="009D1C5A">
      <w:pPr>
        <w:spacing w:line="240" w:lineRule="auto"/>
      </w:pPr>
      <w:r>
        <w:separator/>
      </w:r>
    </w:p>
  </w:footnote>
  <w:footnote w:type="continuationSeparator" w:id="0">
    <w:p w14:paraId="1D8C8F1C" w14:textId="77777777" w:rsidR="009D1C5A" w:rsidRDefault="009D1C5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BD9BC" w14:textId="77777777" w:rsidR="00172207" w:rsidRDefault="005E5594">
    <w:r>
      <w:pict w14:anchorId="4DB92E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595.85pt;height:840.2pt;z-index:-251658752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207"/>
    <w:rsid w:val="000270D0"/>
    <w:rsid w:val="00172207"/>
    <w:rsid w:val="002620CA"/>
    <w:rsid w:val="002A7A65"/>
    <w:rsid w:val="003C7694"/>
    <w:rsid w:val="004E5F76"/>
    <w:rsid w:val="005E5594"/>
    <w:rsid w:val="00663EF3"/>
    <w:rsid w:val="006E4E50"/>
    <w:rsid w:val="00775536"/>
    <w:rsid w:val="00910982"/>
    <w:rsid w:val="009D1C5A"/>
    <w:rsid w:val="00A12BB1"/>
    <w:rsid w:val="00A9155F"/>
    <w:rsid w:val="00C678EE"/>
    <w:rsid w:val="00CC122E"/>
    <w:rsid w:val="00E16191"/>
    <w:rsid w:val="00F0090C"/>
    <w:rsid w:val="00F30429"/>
    <w:rsid w:val="00F3440E"/>
    <w:rsid w:val="00FF52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4931F5"/>
  <w15:docId w15:val="{6D622CE5-ED89-4B1D-8E6A-51511D02F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52E2"/>
  </w:style>
  <w:style w:type="paragraph" w:styleId="Ttulo1">
    <w:name w:val="heading 1"/>
    <w:basedOn w:val="Normal"/>
    <w:next w:val="Normal"/>
    <w:uiPriority w:val="9"/>
    <w:qFormat/>
    <w:rsid w:val="00FF52E2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FF52E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FF52E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FF52E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FF52E2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FF52E2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FF52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FF52E2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FF52E2"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Default">
    <w:name w:val="Default"/>
    <w:rsid w:val="004E5F76"/>
    <w:pPr>
      <w:autoSpaceDE w:val="0"/>
      <w:autoSpaceDN w:val="0"/>
      <w:adjustRightInd w:val="0"/>
      <w:spacing w:line="240" w:lineRule="auto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33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800</Words>
  <Characters>4325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Elda Breunig</dc:creator>
  <cp:lastModifiedBy>Elda Breunig</cp:lastModifiedBy>
  <cp:revision>2</cp:revision>
  <cp:lastPrinted>2023-10-31T12:33:00Z</cp:lastPrinted>
  <dcterms:created xsi:type="dcterms:W3CDTF">2023-11-12T20:48:00Z</dcterms:created>
  <dcterms:modified xsi:type="dcterms:W3CDTF">2023-11-12T20:48:00Z</dcterms:modified>
</cp:coreProperties>
</file>