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tabs>
          <w:tab w:val="left" w:leader="none" w:pos="2500"/>
        </w:tabs>
        <w:spacing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EFEITO BACTERICIDA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ÁLCOOL A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70%: PERFIL DE SUSCETIBILIDADE DE BACTÉRIAS ISOLADAS DE BANHEIRO DE UMA UNIVERSIDADE PÚBLICA </w:t>
      </w:r>
    </w:p>
    <w:p w:rsidR="00000000" w:rsidDel="00000000" w:rsidP="00000000" w:rsidRDefault="00000000" w:rsidRPr="00000000" w14:paraId="00000003">
      <w:pPr>
        <w:shd w:fill="ffffff" w:val="clear"/>
        <w:tabs>
          <w:tab w:val="left" w:leader="none" w:pos="2500"/>
        </w:tabs>
        <w:spacing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leader="none" w:pos="2500"/>
        </w:tabs>
        <w:spacing w:line="360" w:lineRule="auto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Esheley dos Santos Gonzaga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; Camilla Mariane Moura de Souza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; Eweny Rayane Palheta Correa³; Maria Victoria da Silva Gomes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; Paulo Henrique Vaz Silva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; Waldecleia Queiroz da Costa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; Suellen Emilliany Feitosa Machado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005">
      <w:pPr>
        <w:shd w:fill="ffffff" w:val="clear"/>
        <w:tabs>
          <w:tab w:val="left" w:leader="none" w:pos="2500"/>
        </w:tabs>
        <w:spacing w:after="240" w:lineRule="auto"/>
        <w:rPr>
          <w:color w:val="0070c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tabs>
          <w:tab w:val="left" w:leader="none" w:pos="2500"/>
        </w:tabs>
        <w:spacing w:after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1 </w:t>
      </w:r>
      <w:r w:rsidDel="00000000" w:rsidR="00000000" w:rsidRPr="00000000">
        <w:rPr>
          <w:sz w:val="20"/>
          <w:szCs w:val="20"/>
          <w:rtl w:val="0"/>
        </w:rPr>
        <w:t xml:space="preserve">Graduanda em Engenharia de Bioprocessos, Universidade Federal do Pará (UFPA), esheley.gonzaga@icb.ufpa.br</w:t>
      </w:r>
    </w:p>
    <w:p w:rsidR="00000000" w:rsidDel="00000000" w:rsidP="00000000" w:rsidRDefault="00000000" w:rsidRPr="00000000" w14:paraId="00000007">
      <w:pPr>
        <w:shd w:fill="ffffff" w:val="clear"/>
        <w:tabs>
          <w:tab w:val="left" w:leader="none" w:pos="2500"/>
        </w:tabs>
        <w:spacing w:after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2 </w:t>
      </w:r>
      <w:r w:rsidDel="00000000" w:rsidR="00000000" w:rsidRPr="00000000">
        <w:rPr>
          <w:sz w:val="20"/>
          <w:szCs w:val="20"/>
          <w:rtl w:val="0"/>
        </w:rPr>
        <w:t xml:space="preserve">Graduanda em Engenharia de Bioprocessos, Universidade Federal do Pará (UFPA), camilla.souza@icb.ufpa.br</w:t>
      </w:r>
    </w:p>
    <w:p w:rsidR="00000000" w:rsidDel="00000000" w:rsidP="00000000" w:rsidRDefault="00000000" w:rsidRPr="00000000" w14:paraId="00000008">
      <w:pPr>
        <w:shd w:fill="ffffff" w:val="clear"/>
        <w:tabs>
          <w:tab w:val="left" w:leader="none" w:pos="2500"/>
        </w:tabs>
        <w:spacing w:after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³Graduanda em Engenharia de Bioprocessos, Universidade Federal do Pará (UFPA), eweny.correa@icb.ufpa.br</w:t>
      </w:r>
    </w:p>
    <w:p w:rsidR="00000000" w:rsidDel="00000000" w:rsidP="00000000" w:rsidRDefault="00000000" w:rsidRPr="00000000" w14:paraId="00000009">
      <w:pPr>
        <w:shd w:fill="ffffff" w:val="clear"/>
        <w:tabs>
          <w:tab w:val="left" w:leader="none" w:pos="2500"/>
        </w:tabs>
        <w:spacing w:after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Graduanda em Engenharia de Bioprocessos, Universidade Federal do Pará (UFPA), maria.gomes@icb.ufpa.br</w:t>
      </w:r>
    </w:p>
    <w:p w:rsidR="00000000" w:rsidDel="00000000" w:rsidP="00000000" w:rsidRDefault="00000000" w:rsidRPr="00000000" w14:paraId="0000000A">
      <w:pPr>
        <w:shd w:fill="ffffff" w:val="clear"/>
        <w:tabs>
          <w:tab w:val="left" w:leader="none" w:pos="2500"/>
        </w:tabs>
        <w:spacing w:after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Graduando em Engenharia de Bioprocessos, Universidade Federal do Pará (UFPA), paulo.vaz.silva@icb.ufpa.br</w:t>
      </w:r>
    </w:p>
    <w:p w:rsidR="00000000" w:rsidDel="00000000" w:rsidP="00000000" w:rsidRDefault="00000000" w:rsidRPr="00000000" w14:paraId="0000000B">
      <w:pPr>
        <w:shd w:fill="ffffff" w:val="clear"/>
        <w:tabs>
          <w:tab w:val="left" w:leader="none" w:pos="2500"/>
        </w:tabs>
        <w:spacing w:after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6 </w:t>
      </w:r>
      <w:r w:rsidDel="00000000" w:rsidR="00000000" w:rsidRPr="00000000">
        <w:rPr>
          <w:sz w:val="20"/>
          <w:szCs w:val="20"/>
          <w:rtl w:val="0"/>
        </w:rPr>
        <w:t xml:space="preserve">Graduanda em Engenharia de Bioprocessos, Universidade Federal do Pará (UFPA), waldecleia.costa@icb.ufpa.br</w:t>
      </w:r>
    </w:p>
    <w:p w:rsidR="00000000" w:rsidDel="00000000" w:rsidP="00000000" w:rsidRDefault="00000000" w:rsidRPr="00000000" w14:paraId="0000000C">
      <w:pPr>
        <w:shd w:fill="ffffff" w:val="clear"/>
        <w:tabs>
          <w:tab w:val="left" w:leader="none" w:pos="2500"/>
        </w:tabs>
        <w:spacing w:after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7</w:t>
      </w:r>
      <w:r w:rsidDel="00000000" w:rsidR="00000000" w:rsidRPr="00000000">
        <w:rPr>
          <w:sz w:val="20"/>
          <w:szCs w:val="20"/>
          <w:rtl w:val="0"/>
        </w:rPr>
        <w:t xml:space="preserve">Doutora em Ciências Farmacêuticas, Universidade Federal do Pará (UFPA),  suellenfeitosa@ufpa.br</w:t>
      </w:r>
    </w:p>
    <w:p w:rsidR="00000000" w:rsidDel="00000000" w:rsidP="00000000" w:rsidRDefault="00000000" w:rsidRPr="00000000" w14:paraId="0000000D">
      <w:pPr>
        <w:shd w:fill="ffffff" w:val="clear"/>
        <w:tabs>
          <w:tab w:val="left" w:leader="none" w:pos="2500"/>
        </w:tabs>
        <w:spacing w:after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E">
      <w:pPr>
        <w:shd w:fill="ffffff" w:val="clear"/>
        <w:tabs>
          <w:tab w:val="left" w:leader="none" w:pos="0"/>
        </w:tabs>
        <w:spacing w:after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Introdução:</w:t>
      </w:r>
      <w:r w:rsidDel="00000000" w:rsidR="00000000" w:rsidRPr="00000000">
        <w:rPr>
          <w:sz w:val="24"/>
          <w:szCs w:val="24"/>
          <w:rtl w:val="0"/>
        </w:rPr>
        <w:t xml:space="preserve"> Compreender a eficácia dos </w:t>
      </w:r>
      <w:r w:rsidDel="00000000" w:rsidR="00000000" w:rsidRPr="00000000">
        <w:rPr>
          <w:sz w:val="24"/>
          <w:szCs w:val="24"/>
          <w:rtl w:val="0"/>
        </w:rPr>
        <w:t xml:space="preserve">antissépticos</w:t>
      </w:r>
      <w:r w:rsidDel="00000000" w:rsidR="00000000" w:rsidRPr="00000000">
        <w:rPr>
          <w:sz w:val="24"/>
          <w:szCs w:val="24"/>
          <w:rtl w:val="0"/>
        </w:rPr>
        <w:t xml:space="preserve"> e desinfetantes frente a microrganismos é fundamentalmente importante, especialmente para guiar o uso responsável desses produtos. A desinfecção, pautada na destruição de microrganismos nocivos na forma vegetativa em objetos inanimados e superfícies, emerge como peça-chave na promoção de ambientes livres de contaminação. Já a antissepsia, termo definido como a destruição de patógenos em estado vegetativo em tecidos vivos, normalmente é realizada utilizando substâncias químicas - os antissépticos. Dentre eles, destaca-se o álcool a 70%, cujo uso tornou-se mais intenso durante e após a pandemia da COVID-19. </w:t>
      </w:r>
      <w:r w:rsidDel="00000000" w:rsidR="00000000" w:rsidRPr="00000000">
        <w:rPr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sz w:val="24"/>
          <w:szCs w:val="24"/>
          <w:rtl w:val="0"/>
        </w:rPr>
        <w:t xml:space="preserve"> Este estudo teve como objetivo avaliar a eficácia do álcool a 70% na destruição de microrganismos presentes em uma torneira localizada em um banheiro da Universidade Federal do Pará (Belém-PA), bem como investigar a suscetibilidade das cepas isoladas a produtos químicos diversos. </w:t>
      </w:r>
      <w:r w:rsidDel="00000000" w:rsidR="00000000" w:rsidRPr="00000000">
        <w:rPr>
          <w:b w:val="1"/>
          <w:sz w:val="24"/>
          <w:szCs w:val="24"/>
          <w:rtl w:val="0"/>
        </w:rPr>
        <w:t xml:space="preserve">Metodologia: </w:t>
      </w:r>
      <w:r w:rsidDel="00000000" w:rsidR="00000000" w:rsidRPr="00000000">
        <w:rPr>
          <w:sz w:val="24"/>
          <w:szCs w:val="24"/>
          <w:rtl w:val="0"/>
        </w:rPr>
        <w:t xml:space="preserve">A primeira coleta foi conduzida utilizando um swab estéril embebido em solução salina a 0,9% (SS), passando-o na superfície da torneira. O material coletado foi inoculado em uma placa de Petri contendo Ágar Nutriente (AN). Em seguida, a mesma superfície foi desinfectada com álcool a 70% por 1 minuto. Uma nova coleta foi realizada com outro swab embebido com SS, e o material foi inoculado em outra placa de AN. As placas foram incubadas a 37°C durante 24 horas e, decorrido este tempo, procedeu-se às análises macroscópica e microscópica, realizando-se a coloração de Gram das colônias isoladas com características morfológicas distintas. Avaliou-se, também, o perfil de suscetibilidade por disco difusão. As suspensões bacterianas foram padronizadas (tubo 0,5 da escala de MacFarland) e semeadas em ágar Mueller Hinton. Discos de papel contendo 10 μL de clorexidina a 0,12% (CL), hipoclorito de sódio a 2,5% (HS), álcool a 70% (A) e Lysoform</w:t>
      </w:r>
      <w:r w:rsidDel="00000000" w:rsidR="00000000" w:rsidRPr="00000000">
        <w:rPr>
          <w:rFonts w:ascii="Arial" w:cs="Arial" w:eastAsia="Arial" w:hAnsi="Arial"/>
          <w:color w:val="202124"/>
          <w:sz w:val="30"/>
          <w:szCs w:val="30"/>
          <w:highlight w:val="white"/>
          <w:rtl w:val="0"/>
        </w:rPr>
        <w:t xml:space="preserve">® </w:t>
      </w:r>
      <w:r w:rsidDel="00000000" w:rsidR="00000000" w:rsidRPr="00000000">
        <w:rPr>
          <w:sz w:val="24"/>
          <w:szCs w:val="24"/>
          <w:rtl w:val="0"/>
        </w:rPr>
        <w:t xml:space="preserve">(L), além de um disco de eritromicina (E), foram dispostos sobre as placas, as quais foram incubadas a 37°C/24 horas, sendo os halos de inibição mensurados e registrados.</w:t>
      </w:r>
      <w:r w:rsidDel="00000000" w:rsidR="00000000" w:rsidRPr="00000000">
        <w:rPr>
          <w:b w:val="1"/>
          <w:sz w:val="24"/>
          <w:szCs w:val="24"/>
          <w:rtl w:val="0"/>
        </w:rPr>
        <w:t xml:space="preserve"> Resultados e Discussão: </w:t>
      </w:r>
      <w:r w:rsidDel="00000000" w:rsidR="00000000" w:rsidRPr="00000000">
        <w:rPr>
          <w:sz w:val="24"/>
          <w:szCs w:val="24"/>
          <w:rtl w:val="0"/>
        </w:rPr>
        <w:t xml:space="preserve">Nas condições testadas, observou-se uma diminuição na quantidade de Unidades Formadoras de Colônia (UFC) após a desinfecção com álcool a 70%. Cinco colônias morfologicamente distintas (C1-C5) da placa de antes da desinfecção foram analisadas: C1, C2, C3 e C5 são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cocos Gram positivos, dispostos em cachos e cadeias e C4 é bacilo Gram negativo. Nas condições testadas, CL proporcionou halos de inibição contra todas as bactérias, variando de 6mm (C4 e C5) a 25mm (C3). </w:t>
      </w: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sz w:val="24"/>
          <w:szCs w:val="24"/>
          <w:rtl w:val="0"/>
        </w:rPr>
        <w:t xml:space="preserve"> formou halos para quase todas as cepas, menos para C4, e os halos variaram de 7mm (C1) a 16mm (C3). HS proporcionou formação de halos apenas para C2 (4mm) e C4 (6mm). Nenhuma das cepas foi sensível a E, sendo este um dado preocupante (C1 e C5: intermediário. C2-C4: resistentes). A não inibiu nenhuma das cepas, pois pode ter volatilizado dos discos.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Conclusão:</w:t>
      </w:r>
      <w:r w:rsidDel="00000000" w:rsidR="00000000" w:rsidRPr="00000000">
        <w:rPr>
          <w:sz w:val="24"/>
          <w:szCs w:val="24"/>
          <w:rtl w:val="0"/>
        </w:rPr>
        <w:t xml:space="preserve"> A partir dos resultados obtidos, pode-se concluir que a torneira possui uma grande variedade microbiana. Nas condições testadas, todos os isolados apresentaram resistência ao álcool e ao antibiótico eritromicina, dado preocupante no que tange à disseminação de microrganismos resistentes a agentes antimicrobianos.</w:t>
      </w:r>
    </w:p>
    <w:p w:rsidR="00000000" w:rsidDel="00000000" w:rsidP="00000000" w:rsidRDefault="00000000" w:rsidRPr="00000000" w14:paraId="0000000F">
      <w:pPr>
        <w:shd w:fill="ffffff" w:val="clear"/>
        <w:tabs>
          <w:tab w:val="left" w:leader="none" w:pos="2500"/>
        </w:tabs>
        <w:spacing w:after="240" w:line="36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sz w:val="24"/>
          <w:szCs w:val="24"/>
          <w:rtl w:val="0"/>
        </w:rPr>
        <w:t xml:space="preserve">Desinfecção; desinfetantes comerciais; resistência bacteriana.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left" w:leader="none" w:pos="2500"/>
        </w:tabs>
        <w:spacing w:line="36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Área de Temática do Evento</w:t>
      </w:r>
      <w:r w:rsidDel="00000000" w:rsidR="00000000" w:rsidRPr="00000000">
        <w:rPr>
          <w:sz w:val="24"/>
          <w:szCs w:val="24"/>
          <w:rtl w:val="0"/>
        </w:rPr>
        <w:t xml:space="preserve">: Bacteriologia e Microbiologia </w:t>
      </w:r>
    </w:p>
    <w:p w:rsidR="00000000" w:rsidDel="00000000" w:rsidP="00000000" w:rsidRDefault="00000000" w:rsidRPr="00000000" w14:paraId="00000011">
      <w:pPr>
        <w:shd w:fill="ffffff" w:val="clear"/>
        <w:tabs>
          <w:tab w:val="left" w:leader="none" w:pos="2500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tabs>
          <w:tab w:val="left" w:leader="none" w:pos="2500"/>
        </w:tabs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REFERÊNCIAS:</w:t>
      </w:r>
    </w:p>
    <w:p w:rsidR="00000000" w:rsidDel="00000000" w:rsidP="00000000" w:rsidRDefault="00000000" w:rsidRPr="00000000" w14:paraId="00000013">
      <w:pPr>
        <w:shd w:fill="ffffff" w:val="clear"/>
        <w:tabs>
          <w:tab w:val="left" w:leader="none" w:pos="250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ARAÚJO, L. F.; MELO, T.N.L.; FORTUNA, J.L. AVALIAÇÃO DA EFICÁCIA DO ÁLCOOL COMERCIAL PARA DESINFECÇÃO DE SUPERFÍCIES.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Revista Científica do ITPAC</w:t>
      </w:r>
      <w:r w:rsidDel="00000000" w:rsidR="00000000" w:rsidRPr="00000000">
        <w:rPr>
          <w:sz w:val="24"/>
          <w:szCs w:val="24"/>
          <w:rtl w:val="0"/>
        </w:rPr>
        <w:t xml:space="preserve">, v.12, n.2, p.66-71, 2019.</w:t>
      </w:r>
    </w:p>
    <w:p w:rsidR="00000000" w:rsidDel="00000000" w:rsidP="00000000" w:rsidRDefault="00000000" w:rsidRPr="00000000" w14:paraId="00000014">
      <w:pPr>
        <w:shd w:fill="ffffff" w:val="clear"/>
        <w:tabs>
          <w:tab w:val="left" w:leader="none" w:pos="250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GRAZIANO, M.U.; GRAZIANO, K.U.; PINTO, P.M.G. et al. Effectiveness of disinfection with alcohol 70% (w/v) of contaminated surfaces not previously cleaned. </w:t>
      </w:r>
      <w:r w:rsidDel="00000000" w:rsidR="00000000" w:rsidRPr="00000000">
        <w:rPr>
          <w:b w:val="1"/>
          <w:sz w:val="24"/>
          <w:szCs w:val="24"/>
          <w:rtl w:val="0"/>
        </w:rPr>
        <w:t xml:space="preserve">Revista Latino-Americana de Enfermagem</w:t>
      </w:r>
      <w:r w:rsidDel="00000000" w:rsidR="00000000" w:rsidRPr="00000000">
        <w:rPr>
          <w:sz w:val="24"/>
          <w:szCs w:val="24"/>
          <w:rtl w:val="0"/>
        </w:rPr>
        <w:t xml:space="preserve">, v.21, n.2, p. 618–623, 2013.</w:t>
      </w:r>
    </w:p>
    <w:p w:rsidR="00000000" w:rsidDel="00000000" w:rsidP="00000000" w:rsidRDefault="00000000" w:rsidRPr="00000000" w14:paraId="00000015">
      <w:pPr>
        <w:shd w:fill="ffffff" w:val="clear"/>
        <w:tabs>
          <w:tab w:val="left" w:leader="none" w:pos="250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MAHL, S.; ROSSI, E. M. Susceptibilidade antimicrobiana de bactérias isoladas de colchões hospitalares.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Revista Brasileira de Análises Clínicas</w:t>
      </w:r>
      <w:r w:rsidDel="00000000" w:rsidR="00000000" w:rsidRPr="00000000">
        <w:rPr>
          <w:sz w:val="24"/>
          <w:szCs w:val="24"/>
          <w:rtl w:val="0"/>
        </w:rPr>
        <w:t xml:space="preserve">, v.49, n.4, p. 371-375, 2017.</w:t>
      </w:r>
    </w:p>
    <w:p w:rsidR="00000000" w:rsidDel="00000000" w:rsidP="00000000" w:rsidRDefault="00000000" w:rsidRPr="00000000" w14:paraId="00000016">
      <w:pPr>
        <w:shd w:fill="ffffff" w:val="clear"/>
        <w:tabs>
          <w:tab w:val="left" w:leader="none" w:pos="2500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left" w:leader="none" w:pos="2500"/>
        </w:tabs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tabs>
          <w:tab w:val="left" w:leader="none" w:pos="2500"/>
        </w:tabs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tabs>
          <w:tab w:val="left" w:leader="none" w:pos="2500"/>
        </w:tabs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tabs>
          <w:tab w:val="left" w:leader="none" w:pos="25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50800</wp:posOffset>
              </wp:positionV>
              <wp:extent cx="1017270" cy="3238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46890" y="3627600"/>
                        <a:ext cx="9982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385623"/>
                              <w:sz w:val="22"/>
                              <w:vertAlign w:val="baseline"/>
                            </w:rPr>
                            <w:t xml:space="preserve">Realização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50800</wp:posOffset>
              </wp:positionV>
              <wp:extent cx="1017270" cy="32385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7270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4330700</wp:posOffset>
              </wp:positionH>
              <wp:positionV relativeFrom="paragraph">
                <wp:posOffset>38100</wp:posOffset>
              </wp:positionV>
              <wp:extent cx="948690" cy="3238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1180" y="3627600"/>
                        <a:ext cx="929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385623"/>
                              <w:sz w:val="22"/>
                              <w:vertAlign w:val="baseline"/>
                            </w:rPr>
                            <w:t xml:space="preserve">Apoio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4330700</wp:posOffset>
              </wp:positionH>
              <wp:positionV relativeFrom="paragraph">
                <wp:posOffset>38100</wp:posOffset>
              </wp:positionV>
              <wp:extent cx="948690" cy="32385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8690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-188593</wp:posOffset>
          </wp:positionH>
          <wp:positionV relativeFrom="paragraph">
            <wp:posOffset>181610</wp:posOffset>
          </wp:positionV>
          <wp:extent cx="687463" cy="628285"/>
          <wp:effectExtent b="0" l="0" r="0" t="0"/>
          <wp:wrapNone/>
          <wp:docPr descr="Diagrama&#10;&#10;Descrição gerada automaticamente" id="7" name="image4.png"/>
          <a:graphic>
            <a:graphicData uri="http://schemas.openxmlformats.org/drawingml/2006/picture">
              <pic:pic>
                <pic:nvPicPr>
                  <pic:cNvPr descr="Diagrama&#10;&#10;Descrição gerada automaticamente" id="0" name="image4.png"/>
                  <pic:cNvPicPr preferRelativeResize="0"/>
                </pic:nvPicPr>
                <pic:blipFill>
                  <a:blip r:embed="rId3"/>
                  <a:srcRect b="9289" l="33442" r="31984" t="13156"/>
                  <a:stretch>
                    <a:fillRect/>
                  </a:stretch>
                </pic:blipFill>
                <pic:spPr>
                  <a:xfrm>
                    <a:off x="0" y="0"/>
                    <a:ext cx="687463" cy="628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b="0" l="0" r="0" t="0"/>
          <wp:wrapNone/>
          <wp:docPr id="5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-83818</wp:posOffset>
          </wp:positionH>
          <wp:positionV relativeFrom="paragraph">
            <wp:posOffset>137160</wp:posOffset>
          </wp:positionV>
          <wp:extent cx="998220" cy="460375"/>
          <wp:effectExtent b="0" l="0" r="0" t="0"/>
          <wp:wrapNone/>
          <wp:docPr descr="Logotipo, nome da empresa&#10;&#10;Descrição gerada automaticamente" id="3" name="image5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5.png"/>
                  <pic:cNvPicPr preferRelativeResize="0"/>
                </pic:nvPicPr>
                <pic:blipFill>
                  <a:blip r:embed="rId5"/>
                  <a:srcRect b="27537" l="20038" r="23378" t="30040"/>
                  <a:stretch>
                    <a:fillRect/>
                  </a:stretch>
                </pic:blipFill>
                <pic:spPr>
                  <a:xfrm>
                    <a:off x="0" y="0"/>
                    <a:ext cx="998220" cy="460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b="0" l="0" r="0" t="0"/>
          <wp:wrapNone/>
          <wp:docPr descr="Uma imagem contendo quarto&#10;&#10;Descrição gerada automaticamente" id="4" name="image2.png"/>
          <a:graphic>
            <a:graphicData uri="http://schemas.openxmlformats.org/drawingml/2006/picture">
              <pic:pic>
                <pic:nvPicPr>
                  <pic:cNvPr descr="Uma imagem contendo quarto&#10;&#10;Descrição gerada automaticamente" id="0" name="image2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3766184</wp:posOffset>
          </wp:positionH>
          <wp:positionV relativeFrom="paragraph">
            <wp:posOffset>44450</wp:posOffset>
          </wp:positionV>
          <wp:extent cx="640080" cy="664845"/>
          <wp:effectExtent b="0" l="0" r="0" t="0"/>
          <wp:wrapNone/>
          <wp:docPr descr="Logotipo, Ícone&#10;&#10;Descrição gerada automaticamente" id="8" name="image3.png"/>
          <a:graphic>
            <a:graphicData uri="http://schemas.openxmlformats.org/drawingml/2006/picture">
              <pic:pic>
                <pic:nvPicPr>
                  <pic:cNvPr descr="Logotipo, Ícone&#10;&#10;Descrição gerada automaticamente" id="0" name="image3.png"/>
                  <pic:cNvPicPr preferRelativeResize="0"/>
                </pic:nvPicPr>
                <pic:blipFill>
                  <a:blip r:embed="rId7"/>
                  <a:srcRect b="0" l="14418" r="14336" t="0"/>
                  <a:stretch>
                    <a:fillRect/>
                  </a:stretch>
                </pic:blipFill>
                <pic:spPr>
                  <a:xfrm>
                    <a:off x="0" y="0"/>
                    <a:ext cx="640080" cy="6648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000000"/>
        <w:sz w:val="24"/>
        <w:szCs w:val="24"/>
      </w:rPr>
      <w:drawing>
        <wp:inline distB="0" distT="0" distL="0" distR="0">
          <wp:extent cx="2860065" cy="1202395"/>
          <wp:effectExtent b="0" l="0" r="0" t="0"/>
          <wp:docPr descr="Logotipo, nome da empresa&#10;&#10;Descrição gerada automaticamente" id="6" name="image1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1.png"/>
                  <pic:cNvPicPr preferRelativeResize="0"/>
                </pic:nvPicPr>
                <pic:blipFill>
                  <a:blip r:embed="rId1"/>
                  <a:srcRect b="13680" l="1321" r="1443" t="13641"/>
                  <a:stretch>
                    <a:fillRect/>
                  </a:stretch>
                </pic:blipFill>
                <pic:spPr>
                  <a:xfrm>
                    <a:off x="0" y="0"/>
                    <a:ext cx="2860065" cy="12023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Relationship Id="rId3" Type="http://schemas.openxmlformats.org/officeDocument/2006/relationships/image" Target="media/image4.png"/><Relationship Id="rId4" Type="http://schemas.openxmlformats.org/officeDocument/2006/relationships/image" Target="media/image8.jpg"/><Relationship Id="rId5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