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2500"/>
        </w:tabs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EFEITO BACTERICIDA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ÁLCOOL 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70%: PERFIL DE SUSCETIBILIDADE DE BACTÉRIAS ISOLADAS DE BANHEIRO DE UMA UNIVERSIDADE PÚBLICA 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2500"/>
        </w:tabs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500"/>
        </w:tabs>
        <w:spacing w:line="36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Esheley dos Santos Gonzaga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Camilla Mariane Moura de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Eweny Rayane Palheta Correa³; Maria Victoria da Silva Gomes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Paulo Henrique Vaz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Waldecleia Queiroz da Costa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Suellen Emilliany Feitosa Machado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500"/>
        </w:tabs>
        <w:spacing w:after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sz w:val="20"/>
          <w:szCs w:val="20"/>
          <w:rtl w:val="0"/>
        </w:rPr>
        <w:t xml:space="preserve">Graduanda em Engenharia de Bioprocessos, Universidade Federal do Pará (UFPA), esheley.gonzaga@icb.ufpa.br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Graduanda em Engenharia de Bioprocessos, Universidade Federal do Pará (UFPA), camilla.souza@icb.ufpa.br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³Graduanda em Engenharia de Bioprocessos, Universidade Federal do Pará (UFPA), eweny.correa@icb.ufpa.br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Graduanda em Engenharia de Bioprocessos, Universidade Federal do Pará (UFPA), maria.gomes@icb.ufpa.br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Graduando em Engenharia de Bioprocessos, Universidade Federal do Pará (UFPA), paulo.vaz.silva@icb.ufpa.br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sz w:val="20"/>
          <w:szCs w:val="20"/>
          <w:rtl w:val="0"/>
        </w:rPr>
        <w:t xml:space="preserve">Graduanda em Engenharia de Bioprocessos, Universidade Federal do Pará (UFPA), waldecleia.costa@icb.ufpa.br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Doutora em Ciências Farmacêuticas, Universidade Federal do Pará (UFPA),  suellenfeitosa@ufpa.br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500"/>
        </w:tabs>
        <w:spacing w:after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0"/>
        </w:tabs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Compreender a eficácia dos </w:t>
      </w:r>
      <w:r w:rsidDel="00000000" w:rsidR="00000000" w:rsidRPr="00000000">
        <w:rPr>
          <w:sz w:val="24"/>
          <w:szCs w:val="24"/>
          <w:rtl w:val="0"/>
        </w:rPr>
        <w:t xml:space="preserve">antissépticos</w:t>
      </w:r>
      <w:r w:rsidDel="00000000" w:rsidR="00000000" w:rsidRPr="00000000">
        <w:rPr>
          <w:sz w:val="24"/>
          <w:szCs w:val="24"/>
          <w:rtl w:val="0"/>
        </w:rPr>
        <w:t xml:space="preserve"> e desinfetantes frente a microrganismos é fundamentalmente importante, especialmente para guiar o uso responsável desses produtos. A desinfecção, pautada na destruição de microrganismos nocivos na forma vegetativa em objetos inanimados e superfícies, emerge como peça-chave na promoção de ambientes livres de contaminação. Já a antissepsia, termo definido como a destruição de patógenos em estado vegetativo em tecidos vivos, normalmente é realizada utilizando substâncias químicas - os antissépticos. Dentre eles, destaca-se o álcool a 70%, cujo uso tornou-se mais intenso durante e após a pandemia da COVID-19.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Este estudo teve como objetivo avaliar a eficácia do álcool a 70% na destruição de microrganismos presentes em uma torneira localizada em um banheiro da Universidade Federal do Pará (Belém-PA), bem como investigar a suscetibilidade das cepas isoladas a produtos químicos diversos.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primeira coleta foi conduzida utilizando um swab estéril embebido em solução salina a 0,9% (SS), passando-o na superfície da torneira. O material coletado foi inoculado em uma placa de Petri contendo Ágar Nutriente (AN). Em seguida, a mesma superfície foi desinfectada com álcool a 70% por 1 minuto. Uma nova coleta foi realizada com outro swab embebido com SS, e o material foi inoculado em outra placa de AN. As placas foram incubadas a 37°C durante 24 horas e, decorrido este tempo, procedeu-se às análises macroscópica e microscópica, realizando-se a coloração de Gram das colônias isoladas com características morfológicas distintas. Avaliou-se, também, o perfil de suscetibilidade por disco difusão. As suspensões bacterianas foram padronizadas (tubo 0,5 da escala de MacFarland) e semeadas em ágar Mueller Hinton. Discos de papel contendo 10 μL de clorexidina a 0,12% (CL), hipoclorito de sódio a 2,5% (HS), álcool a 70% (A) e Lysoform</w:t>
      </w:r>
      <w:r w:rsidDel="00000000" w:rsidR="00000000" w:rsidRPr="00000000">
        <w:rPr>
          <w:rFonts w:ascii="Arial" w:cs="Arial" w:eastAsia="Arial" w:hAnsi="Arial"/>
          <w:color w:val="202124"/>
          <w:sz w:val="30"/>
          <w:szCs w:val="30"/>
          <w:highlight w:val="white"/>
          <w:rtl w:val="0"/>
        </w:rPr>
        <w:t xml:space="preserve">® </w:t>
      </w:r>
      <w:r w:rsidDel="00000000" w:rsidR="00000000" w:rsidRPr="00000000">
        <w:rPr>
          <w:sz w:val="24"/>
          <w:szCs w:val="24"/>
          <w:rtl w:val="0"/>
        </w:rPr>
        <w:t xml:space="preserve">(L), além de um disco de eritromicina (E), foram dispostos sobre as placas, as quais foram incubadas a 37°C/24 horas, sendo os halos de inibição mensurados e registrados.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 e Discussão: </w:t>
      </w:r>
      <w:r w:rsidDel="00000000" w:rsidR="00000000" w:rsidRPr="00000000">
        <w:rPr>
          <w:sz w:val="24"/>
          <w:szCs w:val="24"/>
          <w:rtl w:val="0"/>
        </w:rPr>
        <w:t xml:space="preserve">Nas condições testadas, observou-se uma diminuição na quantidade de Unidades Formadoras de Colônia (UFC) após a desinfecção com álcool a 70%. Cinco colônias morfologicamente distintas (C1-C5) da placa de antes da desinfecção foram analisadas: C1, C2, C3 e C5 são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cocos Gram positivos, dispostos em cachos e cadeias e C4 é bacilo Gram negativo. Nas condições testadas, CL proporcionou halos de inibição contra todas as bactérias, variando de 6mm (C4 e C5) a 25mm (C3).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 formou halos para quase todas as cepas, menos para C4, e os halos variaram de 7mm (C1) a 16mm (C3). HS proporcionou formação de halos apenas para C2 (4mm) e C4 (6mm). Nenhuma das cepas foi sensível a E, sendo este um dado preocupante (C1 e C5: intermediário. C2-C4: resistentes). A não inibiu nenhuma das cepas, pois pode ter volatilizado dos discos.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 partir dos resultados obtidos, pode-se concluir que a torneira possui uma grande variedade microbiana. Nas condições testadas, todos os isolados apresentaram resistência ao álcool e ao antibiótico eritromicina, dado preocupante no que tange à disseminação de microrganismos resistentes a agentes antimicrobianos.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2500"/>
        </w:tabs>
        <w:spacing w:after="24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Desinfecção; desinfetantes comerciais; resistência bacteriana.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Área de Temática do Evento</w:t>
      </w:r>
      <w:r w:rsidDel="00000000" w:rsidR="00000000" w:rsidRPr="00000000">
        <w:rPr>
          <w:sz w:val="24"/>
          <w:szCs w:val="24"/>
          <w:rtl w:val="0"/>
        </w:rPr>
        <w:t xml:space="preserve">: Bacteriologia e Microbiologia 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ARAÚJO, L. F.; MELO, T.N.L.; FORTUNA, J.L. AVALIAÇÃO DA EFICÁCIA DO ÁLCOOL COMERCIAL PARA DESINFECÇÃO DE SUPERFÍCIES.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Científica do ITPAC</w:t>
      </w:r>
      <w:r w:rsidDel="00000000" w:rsidR="00000000" w:rsidRPr="00000000">
        <w:rPr>
          <w:sz w:val="24"/>
          <w:szCs w:val="24"/>
          <w:rtl w:val="0"/>
        </w:rPr>
        <w:t xml:space="preserve">, v.12, n.2, p.66-71, 2019.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GRAZIANO, M.U.; GRAZIANO, K.U.; PINTO, P.M.G. et al. Effectiveness of disinfection with alcohol 70% (w/v) of contaminated surfaces not previously cleaned.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Latino-Americana de Enfermagem</w:t>
      </w:r>
      <w:r w:rsidDel="00000000" w:rsidR="00000000" w:rsidRPr="00000000">
        <w:rPr>
          <w:sz w:val="24"/>
          <w:szCs w:val="24"/>
          <w:rtl w:val="0"/>
        </w:rPr>
        <w:t xml:space="preserve">, v.21, n.2, p. 618–623, 2013.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MAHL, S.; ROSSI, E. M. Susceptibilidade antimicrobiana de bactérias isoladas de colchões hospitalares.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Brasileira de Análises Clínicas</w:t>
      </w:r>
      <w:r w:rsidDel="00000000" w:rsidR="00000000" w:rsidRPr="00000000">
        <w:rPr>
          <w:sz w:val="24"/>
          <w:szCs w:val="24"/>
          <w:rtl w:val="0"/>
        </w:rPr>
        <w:t xml:space="preserve">, v.49, n.4, p. 371-375, 2017.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2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50800</wp:posOffset>
              </wp:positionV>
              <wp:extent cx="1017270" cy="3238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6890" y="362760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385623"/>
                              <w:sz w:val="22"/>
                              <w:vertAlign w:val="baseline"/>
                            </w:rPr>
                            <w:t xml:space="preserve">Realização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50800</wp:posOffset>
              </wp:positionV>
              <wp:extent cx="1017270" cy="32385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727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38100</wp:posOffset>
              </wp:positionV>
              <wp:extent cx="948690" cy="323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1180" y="362760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385623"/>
                              <w:sz w:val="22"/>
                              <w:vertAlign w:val="baseline"/>
                            </w:rPr>
                            <w:t xml:space="preserve">Apoio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38100</wp:posOffset>
              </wp:positionV>
              <wp:extent cx="948690" cy="32385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869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-188593</wp:posOffset>
          </wp:positionH>
          <wp:positionV relativeFrom="paragraph">
            <wp:posOffset>181610</wp:posOffset>
          </wp:positionV>
          <wp:extent cx="687463" cy="628285"/>
          <wp:effectExtent b="0" l="0" r="0" t="0"/>
          <wp:wrapNone/>
          <wp:docPr descr="Diagrama&#10;&#10;Descrição gerada automaticamente" id="7" name="image4.png"/>
          <a:graphic>
            <a:graphicData uri="http://schemas.openxmlformats.org/drawingml/2006/picture">
              <pic:pic>
                <pic:nvPicPr>
                  <pic:cNvPr descr="Diagrama&#10;&#10;Descrição gerada automaticamente" id="0" name="image4.png"/>
                  <pic:cNvPicPr preferRelativeResize="0"/>
                </pic:nvPicPr>
                <pic:blipFill>
                  <a:blip r:embed="rId3"/>
                  <a:srcRect b="9289" l="33442" r="31984" t="13156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b="0" l="0" r="0" t="0"/>
          <wp:wrapNone/>
          <wp:docPr id="5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-83818</wp:posOffset>
          </wp:positionH>
          <wp:positionV relativeFrom="paragraph">
            <wp:posOffset>137160</wp:posOffset>
          </wp:positionV>
          <wp:extent cx="998220" cy="460375"/>
          <wp:effectExtent b="0" l="0" r="0" t="0"/>
          <wp:wrapNone/>
          <wp:docPr descr="Logotipo, nome da empresa&#10;&#10;Descrição gerada automaticamente" id="3" name="image5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5.png"/>
                  <pic:cNvPicPr preferRelativeResize="0"/>
                </pic:nvPicPr>
                <pic:blipFill>
                  <a:blip r:embed="rId5"/>
                  <a:srcRect b="27537" l="20038" r="23378" t="30040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b="0" l="0" r="0" t="0"/>
          <wp:wrapNone/>
          <wp:docPr descr="Uma imagem contendo quarto&#10;&#10;Descrição gerada automaticamente" id="4" name="image2.png"/>
          <a:graphic>
            <a:graphicData uri="http://schemas.openxmlformats.org/drawingml/2006/picture">
              <pic:pic>
                <pic:nvPicPr>
                  <pic:cNvPr descr="Uma imagem contendo quarto&#10;&#10;Descrição gerada automaticamente"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b="0" l="0" r="0" t="0"/>
          <wp:wrapNone/>
          <wp:docPr descr="Logotipo, Ícone&#10;&#10;Descrição gerada automaticamente" id="8" name="image3.png"/>
          <a:graphic>
            <a:graphicData uri="http://schemas.openxmlformats.org/drawingml/2006/picture">
              <pic:pic>
                <pic:nvPicPr>
                  <pic:cNvPr descr="Logotipo, Ícone&#10;&#10;Descrição gerada automaticamente" id="0" name="image3.png"/>
                  <pic:cNvPicPr preferRelativeResize="0"/>
                </pic:nvPicPr>
                <pic:blipFill>
                  <a:blip r:embed="rId7"/>
                  <a:srcRect b="0" l="14418" r="14336" t="0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drawing>
        <wp:inline distB="0" distT="0" distL="0" distR="0">
          <wp:extent cx="2860065" cy="1202395"/>
          <wp:effectExtent b="0" l="0" r="0" t="0"/>
          <wp:docPr descr="Logotipo, nome da empresa&#10;&#10;Descrição gerada automaticamente" id="6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13680" l="1321" r="1443" t="13641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8.jpg"/><Relationship Id="rId5" Type="http://schemas.openxmlformats.org/officeDocument/2006/relationships/image" Target="media/image5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