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0" distT="0" distL="0" distR="0">
            <wp:extent cx="2442769" cy="1400521"/>
            <wp:effectExtent b="0" l="0" r="0" t="0"/>
            <wp:docPr id="202622298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5416" l="0" r="0" t="5000"/>
                    <a:stretch>
                      <a:fillRect/>
                    </a:stretch>
                  </pic:blipFill>
                  <pic:spPr>
                    <a:xfrm>
                      <a:off x="0" y="0"/>
                      <a:ext cx="2442769" cy="14005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INTOXICAÇÃO POR CABERGOLINA DE USO HUMANO EM CANINO COM PSEUDOCIESE</w:t>
        <w:br w:type="textWrapping"/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AMARAL, Vinicius Daniel Cunha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; YOSHIMURA, Eloise Akemi Artner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; CARDOSO, Lana Caroline da Costa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; FERNÁNDEZ, Laura Carvalho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; ALCANTARA, Luiza Paula Araújo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; DE CARVALHO, Luyd Otávio Amaral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; PALHA, Saulo Autran Moura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; FREITAS, Isabela Catarina Paz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¹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Discentes de Medicina Veterinária da Universidade Federal Rural da Amazônia (UFRA) (</w:t>
      </w:r>
      <w:hyperlink r:id="rId8">
        <w:r w:rsidDel="00000000" w:rsidR="00000000" w:rsidRPr="00000000">
          <w:rPr>
            <w:rFonts w:ascii="Arial" w:cs="Arial" w:eastAsia="Arial" w:hAnsi="Arial"/>
            <w:color w:val="0563c1"/>
            <w:sz w:val="20"/>
            <w:szCs w:val="20"/>
            <w:u w:val="single"/>
            <w:rtl w:val="0"/>
          </w:rPr>
          <w:t xml:space="preserve">viniciusamaralmv@gmai.com</w:t>
        </w:r>
      </w:hyperlink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²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Residente do setor de Reprodução Animal do Hospital Veterinário Mário Dias Teixeira da Universidade Federal Rural da Amazônia (HOVET-UFRA)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Médica Veterinária autônoma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Pseudociese, também conhecida como pseudo-gestação é caracterizada como uma síndrome, em que cadelas não castradas apresentam sinais clássicos de peri e pós-parto. Os sinais clínicos vão desde alterações comportamentais, perda de apetite, perda de peso, vômito até o sinal mais evidente que é o aumento das glândulas mamárias e galactogênese. Nesse sentido, em alguns casos, com o intuito de tratar este quadro, é usada Metergolina de uso veterinário na posologia 0,1-0,2mg/kg para cães. Derivada da ergolina, esta é classificada como agonista dopaminérgico D2, com baixa afinidade pelos receptores serotoninérgicos 5HT tipo 2. Desta forma, a administração desse fármaco reduz a concentração de prolactina no plasma, modificando atividade folicular e gonadotrófica. A Carbegolina, que promove efeitos similares ao da Metergolina, porém de uso humano, é uma medicação de fácil acesso a tutores e sua posologia e apresentação tornam o uso deste fármaco extremamente inseguro para animais de pequeno porte. Posto isto, o presente trabalho tem como objetivo relatar um caso de intoxicação por Carbegolina em uma cadela.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Relato de Caso: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Um canino, fêmea, da raça Dachshund, de 5 anos, pesando 6,7kg, atendido por uma clínica veterinária particular em Ananindeua-PA, apresentou vômito excessivo, tremores, sialorréia, taquipneia, hipotermia e arritmia após administração via oral de 2 comprimidos de Cabergolina 0,5mg. Nesse cenário, após acesso venoso, foi realizada aplicação de Sulfato de Atropina via IV (0,044mg/kg) em diluição de 2mL de solução de NaCl 0,9%, sendo aplicado 0,5mL via IV e cerca de 1,7mL via SC. Após estabilização cardíaca, sialorréia, foi administrada terapia endovenosa à base de Sol. Ringer com Lactato 200mL, Bionew (1,4mL), Diazepam (0,5mL) para estabilização dos tremores, Cloridrato de Ondansetrona 1% (1mL) diluído solução de NaCl 0,9% lenta para cessar êmese. Após período de internação para terapia sintomática, o animal apresentou melhora clínica e recebeu prescrição de Metergolina 0,5mg na dose de 1 comprimido e meio a cada 12 horas durante 8 dias para interrupção da lactação. Por fim, os tutores foram informados quanto a gravidade da utilização da Cabergolina e indicados a realizar exames complementares para avaliação do quadro geral e as sequelas que o paciente obteve pela intoxicação,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uma vez que a dose ultrapassou 29,85 vezes a recomendação de bula para cães.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Palavras-chave: Pseudogestação; Metergolina; Lactação; Dachshund; Secreção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F21A7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Rodap">
    <w:name w:val="footer"/>
    <w:basedOn w:val="Normal"/>
    <w:link w:val="RodapChar"/>
    <w:uiPriority w:val="99"/>
    <w:unhideWhenUsed w:val="1"/>
    <w:rsid w:val="000F21A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F21A7"/>
    <w:rPr>
      <w:rFonts w:ascii="Calibri" w:cs="Calibri" w:eastAsia="Calibri" w:hAnsi="Calibri"/>
      <w:kern w:val="0"/>
      <w:lang w:eastAsia="pt-BR"/>
    </w:rPr>
  </w:style>
  <w:style w:type="character" w:styleId="Hyperlink">
    <w:name w:val="Hyperlink"/>
    <w:basedOn w:val="Fontepargpadro"/>
    <w:uiPriority w:val="99"/>
    <w:unhideWhenUsed w:val="1"/>
    <w:rsid w:val="000F21A7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8A153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viniciusamaralmv@gmai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Aw0yO0NFtr50lBj/s47N/Qigxg==">AMUW2mWP2kLHQ1r+UtiG5IxW5v89/B33D+zFAu51hpsq/FIvcgD6id99AWdm9SZtiYhhlap4+9kEsIIRxy3XLV/eZ/49pEK/PI0RT+RLlVVlIMmKfRoM8D4=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2023-10-27T22:36:00Z</dcterms:created>
  <dc:creator>laura carvalho</dc:creator>
</cp:coreProperties>
</file>