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spacing w:line="259" w:lineRule="auto"/>
        <w:jc w:val="center"/>
        <w:rPr>
          <w:b w:val="1"/>
          <w:color w:val="000000"/>
          <w:sz w:val="28"/>
          <w:szCs w:val="28"/>
        </w:rPr>
      </w:pPr>
      <w:r w:rsidDel="00000000" w:rsidR="00000000" w:rsidRPr="00000000">
        <w:rPr>
          <w:b w:val="1"/>
          <w:color w:val="000000"/>
          <w:sz w:val="28"/>
          <w:szCs w:val="28"/>
          <w:rtl w:val="0"/>
        </w:rPr>
        <w:t xml:space="preserve">PREVALÊNCIA DOS CASOS DE TUBERCULOSE </w:t>
      </w:r>
      <w:r w:rsidDel="00000000" w:rsidR="00000000" w:rsidRPr="00000000">
        <w:rPr>
          <w:b w:val="1"/>
          <w:sz w:val="28"/>
          <w:szCs w:val="28"/>
          <w:rtl w:val="0"/>
        </w:rPr>
        <w:t xml:space="preserve">RELACIONADA A </w:t>
      </w:r>
      <w:r w:rsidDel="00000000" w:rsidR="00000000" w:rsidRPr="00000000">
        <w:rPr>
          <w:b w:val="1"/>
          <w:color w:val="000000"/>
          <w:sz w:val="28"/>
          <w:szCs w:val="28"/>
          <w:rtl w:val="0"/>
        </w:rPr>
        <w:t xml:space="preserve">COVID-19 NO BRASIL (20</w:t>
      </w:r>
      <w:r w:rsidDel="00000000" w:rsidR="00000000" w:rsidRPr="00000000">
        <w:rPr>
          <w:b w:val="1"/>
          <w:sz w:val="28"/>
          <w:szCs w:val="28"/>
          <w:rtl w:val="0"/>
        </w:rPr>
        <w:t xml:space="preserve">18</w:t>
      </w:r>
      <w:r w:rsidDel="00000000" w:rsidR="00000000" w:rsidRPr="00000000">
        <w:rPr>
          <w:b w:val="1"/>
          <w:color w:val="000000"/>
          <w:sz w:val="28"/>
          <w:szCs w:val="28"/>
          <w:rtl w:val="0"/>
        </w:rPr>
        <w:t xml:space="preserve"> - 2023)</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Adrya Cristine Souto Alcala de Oliveira ¹, Rodrigo Rosa Miranda da Silva ², Lygia Maria Freire de Lima ³, Kelly Emi Hirai ⁴.</w:t>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Estudante de Biomedicina, UNAMA, e-mail:</w:t>
      </w:r>
      <w:hyperlink r:id="rId6">
        <w:r w:rsidDel="00000000" w:rsidR="00000000" w:rsidRPr="00000000">
          <w:rPr>
            <w:sz w:val="20"/>
            <w:szCs w:val="20"/>
            <w:u w:val="single"/>
            <w:rtl w:val="0"/>
          </w:rPr>
          <w:t xml:space="preserve">adryasouto132@gmail.com</w:t>
        </w:r>
      </w:hyperlink>
      <w:r w:rsidDel="00000000" w:rsidR="00000000" w:rsidRPr="00000000">
        <w:rPr>
          <w:sz w:val="20"/>
          <w:szCs w:val="20"/>
          <w:rtl w:val="0"/>
        </w:rPr>
        <w:t xml:space="preserve"> ¹,</w:t>
      </w:r>
      <w:r w:rsidDel="00000000" w:rsidR="00000000" w:rsidRPr="00000000">
        <w:rPr>
          <w:rtl w:val="0"/>
        </w:rPr>
      </w:r>
    </w:p>
    <w:p w:rsidR="00000000" w:rsidDel="00000000" w:rsidP="00000000" w:rsidRDefault="00000000" w:rsidRPr="00000000" w14:paraId="00000005">
      <w:pPr>
        <w:jc w:val="center"/>
        <w:rPr>
          <w:sz w:val="20"/>
          <w:szCs w:val="20"/>
        </w:rPr>
      </w:pPr>
      <w:r w:rsidDel="00000000" w:rsidR="00000000" w:rsidRPr="00000000">
        <w:rPr>
          <w:sz w:val="20"/>
          <w:szCs w:val="20"/>
          <w:rtl w:val="0"/>
        </w:rPr>
        <w:t xml:space="preserve">Estudante de Biomedicina, UNAMA, e-mail:</w:t>
      </w:r>
      <w:hyperlink r:id="rId7">
        <w:r w:rsidDel="00000000" w:rsidR="00000000" w:rsidRPr="00000000">
          <w:rPr>
            <w:sz w:val="20"/>
            <w:szCs w:val="20"/>
            <w:u w:val="single"/>
            <w:rtl w:val="0"/>
          </w:rPr>
          <w:t xml:space="preserve">rodrigorosacursos@gmail.com</w:t>
        </w:r>
      </w:hyperlink>
      <w:r w:rsidDel="00000000" w:rsidR="00000000" w:rsidRPr="00000000">
        <w:rPr>
          <w:sz w:val="20"/>
          <w:szCs w:val="20"/>
          <w:rtl w:val="0"/>
        </w:rPr>
        <w:t xml:space="preserve"> ²,</w:t>
      </w:r>
      <w:r w:rsidDel="00000000" w:rsidR="00000000" w:rsidRPr="00000000">
        <w:rPr>
          <w:rtl w:val="0"/>
        </w:rPr>
      </w:r>
    </w:p>
    <w:p w:rsidR="00000000" w:rsidDel="00000000" w:rsidP="00000000" w:rsidRDefault="00000000" w:rsidRPr="00000000" w14:paraId="00000006">
      <w:pPr>
        <w:jc w:val="center"/>
        <w:rPr>
          <w:sz w:val="20"/>
          <w:szCs w:val="20"/>
        </w:rPr>
      </w:pPr>
      <w:r w:rsidDel="00000000" w:rsidR="00000000" w:rsidRPr="00000000">
        <w:rPr>
          <w:sz w:val="20"/>
          <w:szCs w:val="20"/>
          <w:rtl w:val="0"/>
        </w:rPr>
        <w:t xml:space="preserve">Estudante de Biomedicina, UNAMA, e-mail:</w:t>
      </w:r>
      <w:hyperlink r:id="rId8">
        <w:r w:rsidDel="00000000" w:rsidR="00000000" w:rsidRPr="00000000">
          <w:rPr>
            <w:sz w:val="20"/>
            <w:szCs w:val="20"/>
            <w:u w:val="single"/>
            <w:rtl w:val="0"/>
          </w:rPr>
          <w:t xml:space="preserve">lygiamlima@icloud.com</w:t>
        </w:r>
      </w:hyperlink>
      <w:r w:rsidDel="00000000" w:rsidR="00000000" w:rsidRPr="00000000">
        <w:rPr>
          <w:sz w:val="20"/>
          <w:szCs w:val="20"/>
          <w:rtl w:val="0"/>
        </w:rPr>
        <w:t xml:space="preserve"> ³,</w:t>
      </w:r>
      <w:r w:rsidDel="00000000" w:rsidR="00000000" w:rsidRPr="00000000">
        <w:rPr>
          <w:sz w:val="20"/>
          <w:szCs w:val="20"/>
          <w:rtl w:val="0"/>
        </w:rPr>
        <w:t xml:space="preserve"> </w:t>
      </w:r>
    </w:p>
    <w:p w:rsidR="00000000" w:rsidDel="00000000" w:rsidP="00000000" w:rsidRDefault="00000000" w:rsidRPr="00000000" w14:paraId="00000007">
      <w:pPr>
        <w:jc w:val="center"/>
        <w:rPr>
          <w:sz w:val="20"/>
          <w:szCs w:val="20"/>
        </w:rPr>
      </w:pPr>
      <w:r w:rsidDel="00000000" w:rsidR="00000000" w:rsidRPr="00000000">
        <w:rPr>
          <w:sz w:val="20"/>
          <w:szCs w:val="20"/>
          <w:rtl w:val="0"/>
        </w:rPr>
        <w:t xml:space="preserve">Doutora em Biologia Parasitária na Amazônia (UEPA/IEC), Docente do curso de Biomedicina UNAMA, e-mail: </w:t>
      </w:r>
      <w:hyperlink r:id="rId9">
        <w:r w:rsidDel="00000000" w:rsidR="00000000" w:rsidRPr="00000000">
          <w:rPr>
            <w:sz w:val="20"/>
            <w:szCs w:val="20"/>
            <w:u w:val="single"/>
            <w:rtl w:val="0"/>
          </w:rPr>
          <w:t xml:space="preserve">kellyemihirai@gmail.com</w:t>
        </w:r>
      </w:hyperlink>
      <w:r w:rsidDel="00000000" w:rsidR="00000000" w:rsidRPr="00000000">
        <w:rPr>
          <w:sz w:val="24"/>
          <w:szCs w:val="24"/>
          <w:rtl w:val="0"/>
        </w:rPr>
        <w:t xml:space="preserve"> </w:t>
      </w:r>
      <w:r w:rsidDel="00000000" w:rsidR="00000000" w:rsidRPr="00000000">
        <w:rPr>
          <w:sz w:val="20"/>
          <w:szCs w:val="20"/>
          <w:rtl w:val="0"/>
        </w:rPr>
        <w:t xml:space="preserve">⁴.</w:t>
      </w:r>
      <w:r w:rsidDel="00000000" w:rsidR="00000000" w:rsidRPr="00000000">
        <w:rPr>
          <w:rtl w:val="0"/>
        </w:rPr>
      </w:r>
    </w:p>
    <w:p w:rsidR="00000000" w:rsidDel="00000000" w:rsidP="00000000" w:rsidRDefault="00000000" w:rsidRPr="00000000" w14:paraId="00000008">
      <w:pPr>
        <w:spacing w:line="259" w:lineRule="auto"/>
        <w:jc w:val="center"/>
        <w:rPr>
          <w:b w:val="1"/>
          <w:color w:val="000000"/>
          <w:sz w:val="12"/>
          <w:szCs w:val="12"/>
        </w:rPr>
      </w:pPr>
      <w:r w:rsidDel="00000000" w:rsidR="00000000" w:rsidRPr="00000000">
        <w:rPr>
          <w:rtl w:val="0"/>
        </w:rPr>
      </w:r>
    </w:p>
    <w:p w:rsidR="00000000" w:rsidDel="00000000" w:rsidP="00000000" w:rsidRDefault="00000000" w:rsidRPr="00000000" w14:paraId="00000009">
      <w:pPr>
        <w:spacing w:after="0" w:before="0" w:line="360" w:lineRule="auto"/>
        <w:ind w:left="0" w:right="0" w:firstLine="0"/>
        <w:jc w:val="both"/>
        <w:rPr>
          <w:color w:val="000000"/>
          <w:sz w:val="24"/>
          <w:szCs w:val="24"/>
        </w:rPr>
      </w:pPr>
      <w:bookmarkStart w:colFirst="0" w:colLast="0" w:name="_gjdgxs" w:id="0"/>
      <w:bookmarkEnd w:id="0"/>
      <w:r w:rsidDel="00000000" w:rsidR="00000000" w:rsidRPr="00000000">
        <w:rPr>
          <w:b w:val="1"/>
          <w:color w:val="000000"/>
          <w:sz w:val="24"/>
          <w:szCs w:val="24"/>
          <w:rtl w:val="0"/>
        </w:rPr>
        <w:t xml:space="preserve">Introdução</w:t>
      </w:r>
      <w:r w:rsidDel="00000000" w:rsidR="00000000" w:rsidRPr="00000000">
        <w:rPr>
          <w:color w:val="000000"/>
          <w:sz w:val="24"/>
          <w:szCs w:val="24"/>
          <w:rtl w:val="0"/>
        </w:rPr>
        <w:t xml:space="preserve">: A pandemia da COVID-19 teve um grande impacto mundial. Com a pandemia no ápice, muitas doenças que eram prioridades de diagnóstico ficaram esquecidas, como a Pneumonia, Lúpus, HIV e inclusive a Tuberculose (TB). A TB é causada pela bactéria </w:t>
      </w:r>
      <w:r w:rsidDel="00000000" w:rsidR="00000000" w:rsidRPr="00000000">
        <w:rPr>
          <w:i w:val="1"/>
          <w:color w:val="000000"/>
          <w:sz w:val="24"/>
          <w:szCs w:val="24"/>
          <w:rtl w:val="0"/>
        </w:rPr>
        <w:t xml:space="preserve">Mycobacterium Tuberculosis</w:t>
      </w:r>
      <w:r w:rsidDel="00000000" w:rsidR="00000000" w:rsidRPr="00000000">
        <w:rPr>
          <w:color w:val="000000"/>
          <w:sz w:val="24"/>
          <w:szCs w:val="24"/>
          <w:rtl w:val="0"/>
        </w:rPr>
        <w:t xml:space="preserve"> e pode afetar principalmente os pulmões, podendo </w:t>
      </w:r>
      <w:r w:rsidDel="00000000" w:rsidR="00000000" w:rsidRPr="00000000">
        <w:rPr>
          <w:sz w:val="24"/>
          <w:szCs w:val="24"/>
          <w:rtl w:val="0"/>
        </w:rPr>
        <w:t xml:space="preserve">igualmente</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acometer outros órgãos, além de ser conhecida</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por ser uma das patologias mais mortais no mundo. A doença manifesta sintomas como quaisquer outras infecções transmitidas pelas vias aéreas, semelhantes ao coronavírus. O impedimento em acessar serviços essenciais para tuberculose durante a pandemia fizeram com que muitos diagnósticos não fossem </w:t>
      </w:r>
      <w:r w:rsidDel="00000000" w:rsidR="00000000" w:rsidRPr="00000000">
        <w:rPr>
          <w:sz w:val="24"/>
          <w:szCs w:val="24"/>
          <w:rtl w:val="0"/>
        </w:rPr>
        <w:t xml:space="preserve">revelados</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e consequentemente prejudicando os infectados de buscarem tratamentos. </w:t>
      </w:r>
      <w:r w:rsidDel="00000000" w:rsidR="00000000" w:rsidRPr="00000000">
        <w:rPr>
          <w:b w:val="1"/>
          <w:color w:val="000000"/>
          <w:sz w:val="24"/>
          <w:szCs w:val="24"/>
          <w:rtl w:val="0"/>
        </w:rPr>
        <w:t xml:space="preserve">Objetivo</w:t>
      </w:r>
      <w:r w:rsidDel="00000000" w:rsidR="00000000" w:rsidRPr="00000000">
        <w:rPr>
          <w:color w:val="000000"/>
          <w:sz w:val="24"/>
          <w:szCs w:val="24"/>
          <w:rtl w:val="0"/>
        </w:rPr>
        <w:t xml:space="preserve">: O objetivo deste resumo é </w:t>
      </w:r>
      <w:r w:rsidDel="00000000" w:rsidR="00000000" w:rsidRPr="00000000">
        <w:rPr>
          <w:sz w:val="24"/>
          <w:szCs w:val="24"/>
          <w:rtl w:val="0"/>
        </w:rPr>
        <w:t xml:space="preserve">descrever a prevalência</w:t>
      </w:r>
      <w:r w:rsidDel="00000000" w:rsidR="00000000" w:rsidRPr="00000000">
        <w:rPr>
          <w:color w:val="000000"/>
          <w:sz w:val="24"/>
          <w:szCs w:val="24"/>
          <w:rtl w:val="0"/>
        </w:rPr>
        <w:t xml:space="preserve"> de casos notificados de tuberculose durante a pandemia do coronavírus nos anos de 2020 a 2023 </w:t>
      </w:r>
      <w:r w:rsidDel="00000000" w:rsidR="00000000" w:rsidRPr="00000000">
        <w:rPr>
          <w:sz w:val="24"/>
          <w:szCs w:val="24"/>
          <w:rtl w:val="0"/>
        </w:rPr>
        <w:t xml:space="preserve">correlacionando </w:t>
      </w:r>
      <w:r w:rsidDel="00000000" w:rsidR="00000000" w:rsidRPr="00000000">
        <w:rPr>
          <w:color w:val="000000"/>
          <w:sz w:val="24"/>
          <w:szCs w:val="24"/>
          <w:rtl w:val="0"/>
        </w:rPr>
        <w:t xml:space="preserve">com os casos em 2018 a 2019 pré-pandemia. </w:t>
      </w:r>
      <w:r w:rsidDel="00000000" w:rsidR="00000000" w:rsidRPr="00000000">
        <w:rPr>
          <w:b w:val="1"/>
          <w:color w:val="000000"/>
          <w:sz w:val="24"/>
          <w:szCs w:val="24"/>
          <w:rtl w:val="0"/>
        </w:rPr>
        <w:t xml:space="preserve">Metodologia</w:t>
      </w:r>
      <w:r w:rsidDel="00000000" w:rsidR="00000000" w:rsidRPr="00000000">
        <w:rPr>
          <w:color w:val="000000"/>
          <w:sz w:val="24"/>
          <w:szCs w:val="24"/>
          <w:rtl w:val="0"/>
        </w:rPr>
        <w:t xml:space="preserve">: </w:t>
      </w:r>
      <w:r w:rsidDel="00000000" w:rsidR="00000000" w:rsidRPr="00000000">
        <w:rPr>
          <w:sz w:val="24"/>
          <w:szCs w:val="24"/>
          <w:rtl w:val="0"/>
        </w:rPr>
        <w:t xml:space="preserve">Este resumo é um estudo Descritivo Transversal, E os dados estatísticos utilizados para a formação deste resumo foram retirados do Sistema de Informação de Agravos de Notificação (SINAN) presente no banco de dados do Departamento de Informática do Sistema Único de Saúde (DATASUS), foram usados neste resumo os casos confirmados entre 2018 a 2023, assim correlacionando a prevalência de casos confirmados na pré-pandemia, durante e pós-pandemia. </w:t>
      </w:r>
      <w:r w:rsidDel="00000000" w:rsidR="00000000" w:rsidRPr="00000000">
        <w:rPr>
          <w:b w:val="1"/>
          <w:color w:val="000000"/>
          <w:sz w:val="24"/>
          <w:szCs w:val="24"/>
          <w:rtl w:val="0"/>
        </w:rPr>
        <w:t xml:space="preserve">Resultados e Discussão</w:t>
      </w:r>
      <w:r w:rsidDel="00000000" w:rsidR="00000000" w:rsidRPr="00000000">
        <w:rPr>
          <w:color w:val="000000"/>
          <w:sz w:val="24"/>
          <w:szCs w:val="24"/>
          <w:rtl w:val="0"/>
        </w:rPr>
        <w:t xml:space="preserve">: Percebeu-se um crescimento relevante no percentual de diagnósticos de TB na análise detalhada dos dados obtidos em cada região brasileira em relação a pré-pandemia e durante a pandemia da COVID-19. </w:t>
      </w:r>
      <w:r w:rsidDel="00000000" w:rsidR="00000000" w:rsidRPr="00000000">
        <w:rPr>
          <w:sz w:val="24"/>
          <w:szCs w:val="24"/>
          <w:rtl w:val="0"/>
        </w:rPr>
        <w:t xml:space="preserve">O</w:t>
      </w:r>
      <w:r w:rsidDel="00000000" w:rsidR="00000000" w:rsidRPr="00000000">
        <w:rPr>
          <w:color w:val="000000"/>
          <w:sz w:val="24"/>
          <w:szCs w:val="24"/>
          <w:rtl w:val="0"/>
        </w:rPr>
        <w:t xml:space="preserve"> ano de 2018 </w:t>
      </w:r>
      <w:r w:rsidDel="00000000" w:rsidR="00000000" w:rsidRPr="00000000">
        <w:rPr>
          <w:sz w:val="24"/>
          <w:szCs w:val="24"/>
          <w:rtl w:val="0"/>
        </w:rPr>
        <w:t xml:space="preserve">possuiu</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mais de 94.735 casos e em 2019 teve 96.184, um aumento de cerca 1,52% e também houve redução de casos de TB no ano de 2020 comparado ao ano de 2019, no qual </w:t>
      </w:r>
      <w:r w:rsidDel="00000000" w:rsidR="00000000" w:rsidRPr="00000000">
        <w:rPr>
          <w:sz w:val="24"/>
          <w:szCs w:val="24"/>
          <w:rtl w:val="0"/>
        </w:rPr>
        <w:t xml:space="preserve">obteve</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o maior número de casos pré-pandemia, na qual</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de 96,184 foi para 86,414, (-10,15%), essa diminuição se deve pela medida adotada de lockdown para conter a propagação da COVID-19. Constata-se que tais medidas postas para a prevenção</w:t>
      </w:r>
      <w:r w:rsidDel="00000000" w:rsidR="00000000" w:rsidRPr="00000000">
        <w:rPr>
          <w:strike w:val="1"/>
          <w:color w:val="000000"/>
          <w:sz w:val="24"/>
          <w:szCs w:val="24"/>
          <w:rtl w:val="0"/>
        </w:rPr>
        <w:t xml:space="preserve">,</w:t>
      </w:r>
      <w:r w:rsidDel="00000000" w:rsidR="00000000" w:rsidRPr="00000000">
        <w:rPr>
          <w:color w:val="000000"/>
          <w:sz w:val="24"/>
          <w:szCs w:val="24"/>
          <w:rtl w:val="0"/>
        </w:rPr>
        <w:t xml:space="preserve"> impediram que as pessoas infectadas pela TB fossem procurar tratamento específico em postos de saúde,  consequentemente o número de não diagnosticados e não tratados aumentou, contribuindo para uma maior disseminação da bactéria nas comunidades, aumentando o percentual de casos de tuberculose, na qual ocorreu nos anos seguintes, em 2021 e 2022 tiveram somado</w:t>
      </w:r>
      <w:r w:rsidDel="00000000" w:rsidR="00000000" w:rsidRPr="00000000">
        <w:rPr>
          <w:sz w:val="24"/>
          <w:szCs w:val="24"/>
          <w:rtl w:val="0"/>
        </w:rPr>
        <w:t xml:space="preserve">s</w:t>
      </w:r>
      <w:r w:rsidDel="00000000" w:rsidR="00000000" w:rsidRPr="00000000">
        <w:rPr>
          <w:color w:val="000000"/>
          <w:sz w:val="24"/>
          <w:szCs w:val="24"/>
          <w:rtl w:val="0"/>
        </w:rPr>
        <w:t xml:space="preserve"> mais de 193,582 casos confirmados de TB (+124,01%), e em 2023 houve uma redução e normalização dos casos tendo apenas 16.8</w:t>
      </w:r>
      <w:r w:rsidDel="00000000" w:rsidR="00000000" w:rsidRPr="00000000">
        <w:rPr>
          <w:sz w:val="24"/>
          <w:szCs w:val="24"/>
          <w:rtl w:val="0"/>
        </w:rPr>
        <w:t xml:space="preserve">53, devido à maioria da população estar totalmente vacinada contra o coronavírus. </w:t>
      </w:r>
      <w:r w:rsidDel="00000000" w:rsidR="00000000" w:rsidRPr="00000000">
        <w:rPr>
          <w:b w:val="1"/>
          <w:color w:val="000000"/>
          <w:sz w:val="24"/>
          <w:szCs w:val="24"/>
          <w:rtl w:val="0"/>
        </w:rPr>
        <w:t xml:space="preserve">Conclusão</w:t>
      </w:r>
      <w:r w:rsidDel="00000000" w:rsidR="00000000" w:rsidRPr="00000000">
        <w:rPr>
          <w:color w:val="000000"/>
          <w:sz w:val="24"/>
          <w:szCs w:val="24"/>
          <w:rtl w:val="0"/>
        </w:rPr>
        <w:t xml:space="preserve">: A redução de tratamento e diagnósticos confirmados de TB durante a pandemia são altamente preocupantes e com o coronavírus atualmente mais controlado, o Ministério da Saúde deve voltar a sua prioridade de conter a disseminação da TB na população, diminuindo o número de disseminação e infecções nas comunidades brasileiras e aumentando o número de tratados.</w:t>
      </w:r>
    </w:p>
    <w:p w:rsidR="00000000" w:rsidDel="00000000" w:rsidP="00000000" w:rsidRDefault="00000000" w:rsidRPr="00000000" w14:paraId="0000000A">
      <w:pPr>
        <w:spacing w:line="360" w:lineRule="auto"/>
        <w:jc w:val="both"/>
        <w:rPr>
          <w:color w:val="000000"/>
          <w:sz w:val="24"/>
          <w:szCs w:val="24"/>
        </w:rPr>
      </w:pPr>
      <w:r w:rsidDel="00000000" w:rsidR="00000000" w:rsidRPr="00000000">
        <w:rPr>
          <w:b w:val="1"/>
          <w:color w:val="000000"/>
          <w:sz w:val="24"/>
          <w:szCs w:val="24"/>
          <w:rtl w:val="0"/>
        </w:rPr>
        <w:t xml:space="preserve">Palavras chaves</w:t>
      </w:r>
      <w:r w:rsidDel="00000000" w:rsidR="00000000" w:rsidRPr="00000000">
        <w:rPr>
          <w:color w:val="000000"/>
          <w:sz w:val="24"/>
          <w:szCs w:val="24"/>
          <w:rtl w:val="0"/>
        </w:rPr>
        <w:t xml:space="preserve">: Tuberculose; Covid-19; Brasil; SUS.</w:t>
      </w:r>
    </w:p>
    <w:p w:rsidR="00000000" w:rsidDel="00000000" w:rsidP="00000000" w:rsidRDefault="00000000" w:rsidRPr="00000000" w14:paraId="0000000B">
      <w:pPr>
        <w:spacing w:line="360" w:lineRule="auto"/>
        <w:rPr>
          <w:color w:val="000000"/>
          <w:sz w:val="24"/>
          <w:szCs w:val="24"/>
        </w:rPr>
      </w:pPr>
      <w:r w:rsidDel="00000000" w:rsidR="00000000" w:rsidRPr="00000000">
        <w:rPr>
          <w:b w:val="1"/>
          <w:color w:val="000000"/>
          <w:sz w:val="24"/>
          <w:szCs w:val="24"/>
          <w:rtl w:val="0"/>
        </w:rPr>
        <w:t xml:space="preserve">Área de Temática do Evento</w:t>
      </w:r>
      <w:r w:rsidDel="00000000" w:rsidR="00000000" w:rsidRPr="00000000">
        <w:rPr>
          <w:color w:val="000000"/>
          <w:sz w:val="24"/>
          <w:szCs w:val="24"/>
          <w:rtl w:val="0"/>
        </w:rPr>
        <w:t xml:space="preserve">: Bacteriologia</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C">
      <w:pPr>
        <w:shd w:fill="ffffff" w:val="clear"/>
        <w:tabs>
          <w:tab w:val="left" w:leader="none" w:pos="2500"/>
        </w:tabs>
        <w:spacing w:line="360" w:lineRule="auto"/>
        <w:jc w:val="both"/>
        <w:rPr>
          <w:b w:val="1"/>
          <w:sz w:val="24"/>
          <w:szCs w:val="24"/>
        </w:rPr>
      </w:pPr>
      <w:r w:rsidDel="00000000" w:rsidR="00000000" w:rsidRPr="00000000">
        <w:rPr>
          <w:b w:val="1"/>
          <w:sz w:val="24"/>
          <w:szCs w:val="24"/>
          <w:rtl w:val="0"/>
        </w:rPr>
        <w:t xml:space="preserve">Referencias:</w:t>
      </w:r>
    </w:p>
    <w:p w:rsidR="00000000" w:rsidDel="00000000" w:rsidP="00000000" w:rsidRDefault="00000000" w:rsidRPr="00000000" w14:paraId="0000000D">
      <w:pPr>
        <w:tabs>
          <w:tab w:val="left" w:leader="none" w:pos="2500"/>
        </w:tabs>
        <w:rPr>
          <w:sz w:val="24"/>
          <w:szCs w:val="24"/>
        </w:rPr>
      </w:pPr>
      <w:r w:rsidDel="00000000" w:rsidR="00000000" w:rsidRPr="00000000">
        <w:rPr>
          <w:sz w:val="24"/>
          <w:szCs w:val="24"/>
          <w:rtl w:val="0"/>
        </w:rPr>
        <w:t xml:space="preserve">DATASUS. </w:t>
      </w:r>
      <w:r w:rsidDel="00000000" w:rsidR="00000000" w:rsidRPr="00000000">
        <w:rPr>
          <w:b w:val="1"/>
          <w:sz w:val="24"/>
          <w:szCs w:val="24"/>
          <w:rtl w:val="0"/>
        </w:rPr>
        <w:t xml:space="preserve">Casos de Tuberculose - Desde 2001 (SINAN)</w:t>
      </w:r>
      <w:r w:rsidDel="00000000" w:rsidR="00000000" w:rsidRPr="00000000">
        <w:rPr>
          <w:sz w:val="24"/>
          <w:szCs w:val="24"/>
          <w:rtl w:val="0"/>
        </w:rPr>
        <w:t xml:space="preserve">. Disponível em &lt;</w:t>
      </w:r>
      <w:hyperlink r:id="rId10">
        <w:r w:rsidDel="00000000" w:rsidR="00000000" w:rsidRPr="00000000">
          <w:rPr>
            <w:color w:val="0563c1"/>
            <w:sz w:val="24"/>
            <w:szCs w:val="24"/>
            <w:u w:val="single"/>
            <w:rtl w:val="0"/>
          </w:rPr>
          <w:t xml:space="preserve">https://datasus.saude.gov.br/informacoes-de-saude-tabnet</w:t>
        </w:r>
      </w:hyperlink>
      <w:r w:rsidDel="00000000" w:rsidR="00000000" w:rsidRPr="00000000">
        <w:rPr>
          <w:sz w:val="24"/>
          <w:szCs w:val="24"/>
          <w:rtl w:val="0"/>
        </w:rPr>
        <w:t xml:space="preserve">/&gt; Acesso em: 22 out. 2023</w:t>
      </w:r>
    </w:p>
    <w:p w:rsidR="00000000" w:rsidDel="00000000" w:rsidP="00000000" w:rsidRDefault="00000000" w:rsidRPr="00000000" w14:paraId="0000000E">
      <w:pPr>
        <w:tabs>
          <w:tab w:val="left" w:leader="none" w:pos="2500"/>
        </w:tabs>
        <w:rPr>
          <w:sz w:val="24"/>
          <w:szCs w:val="24"/>
        </w:rPr>
      </w:pPr>
      <w:r w:rsidDel="00000000" w:rsidR="00000000" w:rsidRPr="00000000">
        <w:rPr>
          <w:rtl w:val="0"/>
        </w:rPr>
      </w:r>
    </w:p>
    <w:p w:rsidR="00000000" w:rsidDel="00000000" w:rsidP="00000000" w:rsidRDefault="00000000" w:rsidRPr="00000000" w14:paraId="0000000F">
      <w:pPr>
        <w:tabs>
          <w:tab w:val="left" w:leader="none" w:pos="2500"/>
        </w:tabs>
        <w:rPr>
          <w:sz w:val="24"/>
          <w:szCs w:val="24"/>
        </w:rPr>
      </w:pPr>
      <w:bookmarkStart w:colFirst="0" w:colLast="0" w:name="_30j0zll" w:id="1"/>
      <w:bookmarkEnd w:id="1"/>
      <w:r w:rsidDel="00000000" w:rsidR="00000000" w:rsidRPr="00000000">
        <w:rPr>
          <w:sz w:val="24"/>
          <w:szCs w:val="24"/>
          <w:rtl w:val="0"/>
        </w:rPr>
        <w:t xml:space="preserve">Ministério da Saúde. Conselho Nacional de Saúde. </w:t>
      </w:r>
      <w:r w:rsidDel="00000000" w:rsidR="00000000" w:rsidRPr="00000000">
        <w:rPr>
          <w:b w:val="1"/>
          <w:sz w:val="24"/>
          <w:szCs w:val="24"/>
          <w:rtl w:val="0"/>
        </w:rPr>
        <w:t xml:space="preserve">Covid-19 provoca impacto negativo na vida das pessoas com doenças crônicas e patologias</w:t>
      </w:r>
      <w:r w:rsidDel="00000000" w:rsidR="00000000" w:rsidRPr="00000000">
        <w:rPr>
          <w:sz w:val="24"/>
          <w:szCs w:val="24"/>
          <w:rtl w:val="0"/>
        </w:rPr>
        <w:t xml:space="preserve">, 21 jul. 2020. Disponível em: </w:t>
      </w:r>
      <w:r w:rsidDel="00000000" w:rsidR="00000000" w:rsidRPr="00000000">
        <w:rPr>
          <w:color w:val="0563c1"/>
          <w:sz w:val="24"/>
          <w:szCs w:val="24"/>
          <w:u w:val="single"/>
          <w:rtl w:val="0"/>
        </w:rPr>
        <w:t xml:space="preserve">&lt;https://conselho.saude.gov.br/ultimas-noticias-cns/1278-covid-19-provoca-impacto-negativo-na-vida-das-pessoas-com-doencas-cronicas-e-patologias&gt;</w:t>
      </w:r>
      <w:r w:rsidDel="00000000" w:rsidR="00000000" w:rsidRPr="00000000">
        <w:rPr>
          <w:sz w:val="24"/>
          <w:szCs w:val="24"/>
          <w:rtl w:val="0"/>
        </w:rPr>
        <w:t xml:space="preserve">. Acesso em: 22 de outubro de 2023. </w:t>
      </w:r>
    </w:p>
    <w:p w:rsidR="00000000" w:rsidDel="00000000" w:rsidP="00000000" w:rsidRDefault="00000000" w:rsidRPr="00000000" w14:paraId="00000010">
      <w:pPr>
        <w:tabs>
          <w:tab w:val="left" w:leader="none" w:pos="2500"/>
        </w:tabs>
        <w:rPr>
          <w:sz w:val="24"/>
          <w:szCs w:val="24"/>
        </w:rPr>
      </w:pPr>
      <w:r w:rsidDel="00000000" w:rsidR="00000000" w:rsidRPr="00000000">
        <w:rPr>
          <w:rtl w:val="0"/>
        </w:rPr>
      </w:r>
    </w:p>
    <w:p w:rsidR="00000000" w:rsidDel="00000000" w:rsidP="00000000" w:rsidRDefault="00000000" w:rsidRPr="00000000" w14:paraId="00000011">
      <w:pPr>
        <w:tabs>
          <w:tab w:val="left" w:leader="none" w:pos="2500"/>
        </w:tabs>
        <w:rPr>
          <w:sz w:val="24"/>
          <w:szCs w:val="24"/>
        </w:rPr>
      </w:pPr>
      <w:r w:rsidDel="00000000" w:rsidR="00000000" w:rsidRPr="00000000">
        <w:rPr>
          <w:sz w:val="24"/>
          <w:szCs w:val="24"/>
          <w:rtl w:val="0"/>
        </w:rPr>
        <w:t xml:space="preserve">Organização Pan-Americana da Saúde. Organização Mundial da Saúde. </w:t>
      </w:r>
      <w:r w:rsidDel="00000000" w:rsidR="00000000" w:rsidRPr="00000000">
        <w:rPr>
          <w:b w:val="1"/>
          <w:sz w:val="24"/>
          <w:szCs w:val="24"/>
          <w:rtl w:val="0"/>
        </w:rPr>
        <w:t xml:space="preserve">Mortes e doenças por tuberculose aumentaram durante a pandemia da COVID-19</w:t>
      </w:r>
      <w:r w:rsidDel="00000000" w:rsidR="00000000" w:rsidRPr="00000000">
        <w:rPr>
          <w:sz w:val="24"/>
          <w:szCs w:val="24"/>
          <w:rtl w:val="0"/>
        </w:rPr>
        <w:t xml:space="preserve">. 27 out. 2022. Disponível em &lt;</w:t>
      </w:r>
      <w:hyperlink r:id="rId11">
        <w:r w:rsidDel="00000000" w:rsidR="00000000" w:rsidRPr="00000000">
          <w:rPr>
            <w:color w:val="0563c1"/>
            <w:sz w:val="24"/>
            <w:szCs w:val="24"/>
            <w:u w:val="single"/>
            <w:rtl w:val="0"/>
          </w:rPr>
          <w:t xml:space="preserve">https://www.paho.org/pt/noticias/27-10-2022-mortes-e-doencas-por-tuberculose-aumentaram-durante-pandemia-da-covid-19</w:t>
        </w:r>
      </w:hyperlink>
      <w:r w:rsidDel="00000000" w:rsidR="00000000" w:rsidRPr="00000000">
        <w:rPr>
          <w:sz w:val="24"/>
          <w:szCs w:val="24"/>
          <w:rtl w:val="0"/>
        </w:rPr>
        <w:t xml:space="preserve">&gt;. Acesso em: 22 out. 2023.</w:t>
      </w:r>
    </w:p>
    <w:p w:rsidR="00000000" w:rsidDel="00000000" w:rsidP="00000000" w:rsidRDefault="00000000" w:rsidRPr="00000000" w14:paraId="00000012">
      <w:pPr>
        <w:tabs>
          <w:tab w:val="left" w:leader="none" w:pos="2500"/>
        </w:tabs>
        <w:rPr>
          <w:sz w:val="24"/>
          <w:szCs w:val="24"/>
        </w:rPr>
      </w:pPr>
      <w:r w:rsidDel="00000000" w:rsidR="00000000" w:rsidRPr="00000000">
        <w:rPr>
          <w:rtl w:val="0"/>
        </w:rPr>
      </w:r>
    </w:p>
    <w:p w:rsidR="00000000" w:rsidDel="00000000" w:rsidP="00000000" w:rsidRDefault="00000000" w:rsidRPr="00000000" w14:paraId="00000013">
      <w:pPr>
        <w:tabs>
          <w:tab w:val="left" w:leader="none" w:pos="2500"/>
        </w:tabs>
        <w:rPr>
          <w:sz w:val="24"/>
          <w:szCs w:val="24"/>
        </w:rPr>
      </w:pPr>
      <w:r w:rsidDel="00000000" w:rsidR="00000000" w:rsidRPr="00000000">
        <w:rPr>
          <w:sz w:val="24"/>
          <w:szCs w:val="24"/>
          <w:rtl w:val="0"/>
        </w:rPr>
        <w:t xml:space="preserve">PARANÁ, GOVERNO DO ESTADO. Secretaria da saúde. </w:t>
      </w:r>
      <w:r w:rsidDel="00000000" w:rsidR="00000000" w:rsidRPr="00000000">
        <w:rPr>
          <w:b w:val="1"/>
          <w:sz w:val="24"/>
          <w:szCs w:val="24"/>
          <w:rtl w:val="0"/>
        </w:rPr>
        <w:t xml:space="preserve">Tuberculose</w:t>
      </w:r>
      <w:r w:rsidDel="00000000" w:rsidR="00000000" w:rsidRPr="00000000">
        <w:rPr>
          <w:sz w:val="24"/>
          <w:szCs w:val="24"/>
          <w:rtl w:val="0"/>
        </w:rPr>
        <w:t xml:space="preserve">. Disponível em: &lt;</w:t>
      </w:r>
      <w:hyperlink r:id="rId12">
        <w:r w:rsidDel="00000000" w:rsidR="00000000" w:rsidRPr="00000000">
          <w:rPr>
            <w:color w:val="0563c1"/>
            <w:sz w:val="24"/>
            <w:szCs w:val="24"/>
            <w:u w:val="single"/>
            <w:rtl w:val="0"/>
          </w:rPr>
          <w:t xml:space="preserve">https://www.saude.pr.gov.br/Pagina/Tuberculose</w:t>
        </w:r>
      </w:hyperlink>
      <w:r w:rsidDel="00000000" w:rsidR="00000000" w:rsidRPr="00000000">
        <w:rPr>
          <w:sz w:val="24"/>
          <w:szCs w:val="24"/>
          <w:rtl w:val="0"/>
        </w:rPr>
        <w:t xml:space="preserve">&gt; Acesso em: 22 out. 2023.</w:t>
      </w:r>
    </w:p>
    <w:p w:rsidR="00000000" w:rsidDel="00000000" w:rsidP="00000000" w:rsidRDefault="00000000" w:rsidRPr="00000000" w14:paraId="00000014">
      <w:pPr>
        <w:tabs>
          <w:tab w:val="left" w:leader="none" w:pos="2500"/>
        </w:tabs>
        <w:spacing w:line="360" w:lineRule="auto"/>
        <w:rPr>
          <w:sz w:val="24"/>
          <w:szCs w:val="24"/>
        </w:rPr>
      </w:pPr>
      <w:r w:rsidDel="00000000" w:rsidR="00000000" w:rsidRPr="00000000">
        <w:rPr>
          <w:rtl w:val="0"/>
        </w:rPr>
      </w:r>
    </w:p>
    <w:p w:rsidR="00000000" w:rsidDel="00000000" w:rsidP="00000000" w:rsidRDefault="00000000" w:rsidRPr="00000000" w14:paraId="00000015">
      <w:pPr>
        <w:tabs>
          <w:tab w:val="left" w:leader="none" w:pos="2500"/>
        </w:tabs>
        <w:rPr>
          <w:sz w:val="24"/>
          <w:szCs w:val="24"/>
        </w:rPr>
      </w:pPr>
      <w:r w:rsidDel="00000000" w:rsidR="00000000" w:rsidRPr="00000000">
        <w:rPr>
          <w:sz w:val="24"/>
          <w:szCs w:val="24"/>
          <w:rtl w:val="0"/>
        </w:rPr>
        <w:t xml:space="preserve">Repositório Institucional da Fiocruz. Arca. </w:t>
      </w:r>
      <w:r w:rsidDel="00000000" w:rsidR="00000000" w:rsidRPr="00000000">
        <w:rPr>
          <w:b w:val="1"/>
          <w:sz w:val="24"/>
          <w:szCs w:val="24"/>
          <w:rtl w:val="0"/>
        </w:rPr>
        <w:t xml:space="preserve">Tuberculose e Coronavírus: o que sabemos?</w:t>
      </w:r>
      <w:r w:rsidDel="00000000" w:rsidR="00000000" w:rsidRPr="00000000">
        <w:rPr>
          <w:sz w:val="24"/>
          <w:szCs w:val="24"/>
          <w:rtl w:val="0"/>
        </w:rPr>
        <w:t xml:space="preserve"> Disponível em &lt;</w:t>
      </w:r>
      <w:hyperlink r:id="rId13">
        <w:r w:rsidDel="00000000" w:rsidR="00000000" w:rsidRPr="00000000">
          <w:rPr>
            <w:color w:val="0563c1"/>
            <w:sz w:val="24"/>
            <w:szCs w:val="24"/>
            <w:u w:val="single"/>
            <w:rtl w:val="0"/>
          </w:rPr>
          <w:t xml:space="preserve">https://www.arca.fiocruz.br/handle/icict/40902</w:t>
        </w:r>
      </w:hyperlink>
      <w:r w:rsidDel="00000000" w:rsidR="00000000" w:rsidRPr="00000000">
        <w:rPr>
          <w:sz w:val="24"/>
          <w:szCs w:val="24"/>
          <w:rtl w:val="0"/>
        </w:rPr>
        <w:t xml:space="preserve">&gt; Acesso em: 22 out. 2023.</w:t>
      </w:r>
    </w:p>
    <w:p w:rsidR="00000000" w:rsidDel="00000000" w:rsidP="00000000" w:rsidRDefault="00000000" w:rsidRPr="00000000" w14:paraId="00000016">
      <w:pPr>
        <w:shd w:fill="ffffff" w:val="clear"/>
        <w:tabs>
          <w:tab w:val="left" w:leader="none" w:pos="2500"/>
        </w:tabs>
        <w:rPr>
          <w:color w:val="0070c0"/>
          <w:sz w:val="24"/>
          <w:szCs w:val="24"/>
        </w:rPr>
      </w:pPr>
      <w:r w:rsidDel="00000000" w:rsidR="00000000" w:rsidRPr="00000000">
        <w:rPr>
          <w:rtl w:val="0"/>
        </w:rPr>
      </w:r>
    </w:p>
    <w:p w:rsidR="00000000" w:rsidDel="00000000" w:rsidP="00000000" w:rsidRDefault="00000000" w:rsidRPr="00000000" w14:paraId="00000017">
      <w:pPr>
        <w:shd w:fill="ffffff" w:val="clear"/>
        <w:tabs>
          <w:tab w:val="left" w:leader="none" w:pos="2500"/>
        </w:tabs>
        <w:rPr/>
      </w:pPr>
      <w:r w:rsidDel="00000000" w:rsidR="00000000" w:rsidRPr="00000000">
        <w:rPr>
          <w:rtl w:val="0"/>
        </w:rPr>
      </w:r>
    </w:p>
    <w:p w:rsidR="00000000" w:rsidDel="00000000" w:rsidP="00000000" w:rsidRDefault="00000000" w:rsidRPr="00000000" w14:paraId="00000018">
      <w:pPr>
        <w:spacing w:line="360" w:lineRule="auto"/>
        <w:jc w:val="both"/>
        <w:rPr/>
      </w:pPr>
      <w:r w:rsidDel="00000000" w:rsidR="00000000" w:rsidRPr="00000000">
        <w:rPr>
          <w:rtl w:val="0"/>
        </w:rPr>
      </w:r>
    </w:p>
    <w:sectPr>
      <w:headerReference r:id="rId14" w:type="default"/>
      <w:footerReference r:id="rId15"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tabs>
        <w:tab w:val="center" w:leader="none" w:pos="4252"/>
        <w:tab w:val="right" w:leader="none" w:pos="8504"/>
      </w:tabs>
      <w:rPr>
        <w:color w:val="000000"/>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62881</wp:posOffset>
              </wp:positionH>
              <wp:positionV relativeFrom="paragraph">
                <wp:posOffset>74930</wp:posOffset>
              </wp:positionV>
              <wp:extent cx="998220" cy="304800"/>
              <wp:effectExtent b="0" l="0" r="0" t="0"/>
              <wp:wrapNone/>
              <wp:docPr id="2" name=""/>
              <a:graphic>
                <a:graphicData uri="http://schemas.microsoft.com/office/word/2010/wordprocessingShape">
                  <wps:wsp>
                    <wps:cNvSpPr txBox="1"/>
                    <wps:spPr>
                      <a:xfrm>
                        <a:off x="0" y="0"/>
                        <a:ext cx="998220" cy="304800"/>
                      </a:xfrm>
                      <a:prstGeom prst="rect">
                        <a:avLst/>
                      </a:prstGeom>
                      <a:solidFill>
                        <a:schemeClr val="lt1"/>
                      </a:solidFill>
                      <a:ln w="6350">
                        <a:noFill/>
                      </a:ln>
                    </wps:spPr>
                    <wps:txbx>
                      <w:txbxContent>
                        <w:p w:rsidR="00645DE4" w:rsidDel="00000000" w:rsidP="00290F74" w:rsidRDefault="00000000" w:rsidRPr="00290F74" w14:paraId="61E6075A" w14:textId="77777777">
                          <w:pPr>
                            <w:jc w:val="center"/>
                            <w:rPr>
                              <w:b w:val="1"/>
                              <w:bCs w:val="1"/>
                              <w:color w:val="984806" w:themeColor="accent6" w:themeShade="000080"/>
                            </w:rPr>
                          </w:pPr>
                          <w:r w:rsidDel="00000000" w:rsidR="00000000" w:rsidRPr="00290F74">
                            <w:rPr>
                              <w:b w:val="1"/>
                              <w:bCs w:val="1"/>
                              <w:color w:val="984806" w:themeColor="accent6" w:themeShade="000080"/>
                            </w:rPr>
                            <w:t>Realização</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62881</wp:posOffset>
              </wp:positionH>
              <wp:positionV relativeFrom="paragraph">
                <wp:posOffset>74930</wp:posOffset>
              </wp:positionV>
              <wp:extent cx="998220" cy="304800"/>
              <wp:effectExtent b="0" l="0" r="0" t="0"/>
              <wp:wrapNone/>
              <wp:docPr id="2"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998220" cy="3048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4360545</wp:posOffset>
              </wp:positionH>
              <wp:positionV relativeFrom="paragraph">
                <wp:posOffset>64135</wp:posOffset>
              </wp:positionV>
              <wp:extent cx="929640" cy="304800"/>
              <wp:effectExtent b="0" l="0" r="3810" t="0"/>
              <wp:wrapNone/>
              <wp:docPr id="1" name=""/>
              <a:graphic>
                <a:graphicData uri="http://schemas.microsoft.com/office/word/2010/wordprocessingShape">
                  <wps:wsp>
                    <wps:cNvSpPr txBox="1"/>
                    <wps:spPr>
                      <a:xfrm>
                        <a:off x="0" y="0"/>
                        <a:ext cx="929640" cy="304800"/>
                      </a:xfrm>
                      <a:prstGeom prst="rect">
                        <a:avLst/>
                      </a:prstGeom>
                      <a:solidFill>
                        <a:schemeClr val="lt1"/>
                      </a:solidFill>
                      <a:ln w="6350">
                        <a:noFill/>
                      </a:ln>
                    </wps:spPr>
                    <wps:txbx>
                      <w:txbxContent>
                        <w:p w:rsidR="00645DE4" w:rsidDel="00000000" w:rsidP="00290F74" w:rsidRDefault="00000000" w:rsidRPr="00290F74" w14:paraId="47766858" w14:textId="77777777">
                          <w:pPr>
                            <w:jc w:val="center"/>
                            <w:rPr>
                              <w:b w:val="1"/>
                              <w:bCs w:val="1"/>
                              <w:color w:val="984806" w:themeColor="accent6" w:themeShade="000080"/>
                            </w:rPr>
                          </w:pPr>
                          <w:r w:rsidDel="00000000" w:rsidR="00000000" w:rsidRPr="00290F74">
                            <w:rPr>
                              <w:b w:val="1"/>
                              <w:bCs w:val="1"/>
                              <w:color w:val="984806" w:themeColor="accent6" w:themeShade="000080"/>
                            </w:rPr>
                            <w:t>Apoio</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4360545</wp:posOffset>
              </wp:positionH>
              <wp:positionV relativeFrom="paragraph">
                <wp:posOffset>64135</wp:posOffset>
              </wp:positionV>
              <wp:extent cx="933450" cy="304800"/>
              <wp:effectExtent b="0" l="0" r="0" t="0"/>
              <wp:wrapNone/>
              <wp:docPr id="1"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933450" cy="304800"/>
                      </a:xfrm>
                      <a:prstGeom prst="rect"/>
                      <a:ln/>
                    </pic:spPr>
                  </pic:pic>
                </a:graphicData>
              </a:graphic>
            </wp:anchor>
          </w:drawing>
        </mc:Fallback>
      </mc:AlternateContent>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tabs>
        <w:tab w:val="center" w:leader="none" w:pos="4252"/>
        <w:tab w:val="right" w:leader="none" w:pos="8504"/>
      </w:tabs>
      <w:rPr>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-188581</wp:posOffset>
          </wp:positionH>
          <wp:positionV relativeFrom="paragraph">
            <wp:posOffset>181610</wp:posOffset>
          </wp:positionV>
          <wp:extent cx="687463" cy="628285"/>
          <wp:effectExtent b="0" l="0" r="0" t="0"/>
          <wp:wrapNone/>
          <wp:docPr descr="Diagrama&#10;&#10;Descrição gerada automaticamente" id="4" name="image2.png"/>
          <a:graphic>
            <a:graphicData uri="http://schemas.openxmlformats.org/drawingml/2006/picture">
              <pic:pic>
                <pic:nvPicPr>
                  <pic:cNvPr descr="Diagrama&#10;&#10;Descrição gerada automaticamente" id="0" name="image2.png"/>
                  <pic:cNvPicPr preferRelativeResize="0"/>
                </pic:nvPicPr>
                <pic:blipFill>
                  <a:blip r:embed="rId3"/>
                  <a:srcRect b="9284" l="33442" r="31983" t="13155"/>
                  <a:stretch>
                    <a:fillRect/>
                  </a:stretch>
                </pic:blipFill>
                <pic:spPr>
                  <a:xfrm>
                    <a:off x="0" y="0"/>
                    <a:ext cx="687463" cy="6282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565785</wp:posOffset>
          </wp:positionH>
          <wp:positionV relativeFrom="paragraph">
            <wp:posOffset>166370</wp:posOffset>
          </wp:positionV>
          <wp:extent cx="655320" cy="655320"/>
          <wp:effectExtent b="0" l="0" r="0" t="0"/>
          <wp:wrapNone/>
          <wp:docPr id="3"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655320" cy="655320"/>
                  </a:xfrm>
                  <a:prstGeom prst="rect"/>
                  <a:ln/>
                </pic:spPr>
              </pic:pic>
            </a:graphicData>
          </a:graphic>
        </wp:anchor>
      </w:drawing>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tabs>
        <w:tab w:val="center" w:leader="none" w:pos="4252"/>
        <w:tab w:val="right" w:leader="none" w:pos="8504"/>
      </w:tabs>
      <w:rPr>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-83806</wp:posOffset>
          </wp:positionH>
          <wp:positionV relativeFrom="paragraph">
            <wp:posOffset>137160</wp:posOffset>
          </wp:positionV>
          <wp:extent cx="998220" cy="460375"/>
          <wp:effectExtent b="0" l="0" r="0" t="0"/>
          <wp:wrapNone/>
          <wp:docPr descr="Logotipo, nome da empresa&#10;&#10;Descrição gerada automaticamente" id="6" name="image4.png"/>
          <a:graphic>
            <a:graphicData uri="http://schemas.openxmlformats.org/drawingml/2006/picture">
              <pic:pic>
                <pic:nvPicPr>
                  <pic:cNvPr descr="Logotipo, nome da empresa&#10;&#10;Descrição gerada automaticamente" id="0" name="image4.png"/>
                  <pic:cNvPicPr preferRelativeResize="0"/>
                </pic:nvPicPr>
                <pic:blipFill>
                  <a:blip r:embed="rId5"/>
                  <a:srcRect b="27537" l="20038" r="23378" t="30040"/>
                  <a:stretch>
                    <a:fillRect/>
                  </a:stretch>
                </pic:blipFill>
                <pic:spPr>
                  <a:xfrm>
                    <a:off x="0" y="0"/>
                    <a:ext cx="998220" cy="4603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4505325</wp:posOffset>
          </wp:positionH>
          <wp:positionV relativeFrom="paragraph">
            <wp:posOffset>86360</wp:posOffset>
          </wp:positionV>
          <wp:extent cx="678180" cy="583565"/>
          <wp:effectExtent b="0" l="0" r="0" t="0"/>
          <wp:wrapNone/>
          <wp:docPr descr="Uma imagem contendo quarto&#10;&#10;Descrição gerada automaticamente" id="5" name="image3.png"/>
          <a:graphic>
            <a:graphicData uri="http://schemas.openxmlformats.org/drawingml/2006/picture">
              <pic:pic>
                <pic:nvPicPr>
                  <pic:cNvPr descr="Uma imagem contendo quarto&#10;&#10;Descrição gerada automaticamente" id="0" name="image3.png"/>
                  <pic:cNvPicPr preferRelativeResize="0"/>
                </pic:nvPicPr>
                <pic:blipFill>
                  <a:blip r:embed="rId6"/>
                  <a:srcRect b="0" l="0" r="0" t="0"/>
                  <a:stretch>
                    <a:fillRect/>
                  </a:stretch>
                </pic:blipFill>
                <pic:spPr>
                  <a:xfrm>
                    <a:off x="0" y="0"/>
                    <a:ext cx="678180" cy="5835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3766184</wp:posOffset>
          </wp:positionH>
          <wp:positionV relativeFrom="paragraph">
            <wp:posOffset>44450</wp:posOffset>
          </wp:positionV>
          <wp:extent cx="640080" cy="664845"/>
          <wp:effectExtent b="0" l="0" r="0" t="0"/>
          <wp:wrapNone/>
          <wp:docPr descr="Logotipo, Ícone&#10;&#10;Descrição gerada automaticamente" id="8" name="image8.png"/>
          <a:graphic>
            <a:graphicData uri="http://schemas.openxmlformats.org/drawingml/2006/picture">
              <pic:pic>
                <pic:nvPicPr>
                  <pic:cNvPr descr="Logotipo, Ícone&#10;&#10;Descrição gerada automaticamente" id="0" name="image8.png"/>
                  <pic:cNvPicPr preferRelativeResize="0"/>
                </pic:nvPicPr>
                <pic:blipFill>
                  <a:blip r:embed="rId7"/>
                  <a:srcRect b="0" l="14418" r="14336" t="0"/>
                  <a:stretch>
                    <a:fillRect/>
                  </a:stretch>
                </pic:blipFill>
                <pic:spPr>
                  <a:xfrm>
                    <a:off x="0" y="0"/>
                    <a:ext cx="640080" cy="664845"/>
                  </a:xfrm>
                  <a:prstGeom prst="rect"/>
                  <a:ln/>
                </pic:spPr>
              </pic:pic>
            </a:graphicData>
          </a:graphic>
        </wp:anchor>
      </w:drawing>
    </w:r>
  </w:p>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tabs>
        <w:tab w:val="center" w:leader="none" w:pos="4252"/>
        <w:tab w:val="right" w:leader="none" w:pos="8504"/>
      </w:tabs>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tabs>
        <w:tab w:val="center" w:leader="none" w:pos="4252"/>
        <w:tab w:val="right" w:leader="none" w:pos="8504"/>
      </w:tabs>
      <w:jc w:val="center"/>
      <w:rPr>
        <w:color w:val="000000"/>
        <w:sz w:val="24"/>
        <w:szCs w:val="24"/>
      </w:rPr>
    </w:pPr>
    <w:r w:rsidDel="00000000" w:rsidR="00000000" w:rsidRPr="00000000">
      <w:rPr>
        <w:rFonts w:ascii="Calibri" w:cs="Calibri" w:eastAsia="Calibri" w:hAnsi="Calibri"/>
        <w:color w:val="000000"/>
        <w:sz w:val="24"/>
        <w:szCs w:val="24"/>
      </w:rPr>
      <w:drawing>
        <wp:inline distB="0" distT="0" distL="0" distR="0">
          <wp:extent cx="2860065" cy="1202395"/>
          <wp:effectExtent b="0" l="0" r="0" t="0"/>
          <wp:docPr descr="Logotipo, nome da empresa&#10;&#10;Descrição gerada automaticamente" id="7" name="image7.png"/>
          <a:graphic>
            <a:graphicData uri="http://schemas.openxmlformats.org/drawingml/2006/picture">
              <pic:pic>
                <pic:nvPicPr>
                  <pic:cNvPr descr="Logotipo, nome da empresa&#10;&#10;Descrição gerada automaticamente" id="0" name="image7.png"/>
                  <pic:cNvPicPr preferRelativeResize="0"/>
                </pic:nvPicPr>
                <pic:blipFill>
                  <a:blip r:embed="rId1"/>
                  <a:srcRect b="13680" l="1320" r="1441" t="13641"/>
                  <a:stretch>
                    <a:fillRect/>
                  </a:stretch>
                </pic:blipFill>
                <pic:spPr>
                  <a:xfrm>
                    <a:off x="0" y="0"/>
                    <a:ext cx="2860065" cy="12023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aho.org/pt/noticias/27-10-2022-mortes-e-doencas-por-tuberculose-aumentaram-durante-pandemia-da-covid-19" TargetMode="External"/><Relationship Id="rId10" Type="http://schemas.openxmlformats.org/officeDocument/2006/relationships/hyperlink" Target="https://datasus.saude.gov.br/informacoes-de-saude-tabnet" TargetMode="External"/><Relationship Id="rId13" Type="http://schemas.openxmlformats.org/officeDocument/2006/relationships/hyperlink" Target="https://www.arca.fiocruz.br/handle/icict/40902" TargetMode="External"/><Relationship Id="rId12" Type="http://schemas.openxmlformats.org/officeDocument/2006/relationships/hyperlink" Target="https://www.saude.pr.gov.br/Pagina/Tuberculo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ellyemihirai@gmail.com4"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adryasouto132@gmail.com" TargetMode="External"/><Relationship Id="rId7" Type="http://schemas.openxmlformats.org/officeDocument/2006/relationships/hyperlink" Target="mailto:rodrigorosacursos@gmail.com" TargetMode="External"/><Relationship Id="rId8" Type="http://schemas.openxmlformats.org/officeDocument/2006/relationships/hyperlink" Target="mailto:lygiamlima@icloud.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png"/><Relationship Id="rId3" Type="http://schemas.openxmlformats.org/officeDocument/2006/relationships/image" Target="media/image2.png"/><Relationship Id="rId4" Type="http://schemas.openxmlformats.org/officeDocument/2006/relationships/image" Target="media/image1.png"/><Relationship Id="rId5" Type="http://schemas.openxmlformats.org/officeDocument/2006/relationships/image" Target="media/image4.png"/><Relationship Id="rId6" Type="http://schemas.openxmlformats.org/officeDocument/2006/relationships/image" Target="media/image3.png"/><Relationship Id="rId7"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