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76" w:lineRule="auto"/>
        <w:ind w:firstLine="258"/>
        <w:rPr>
          <w:i w:val="1"/>
        </w:rPr>
      </w:pPr>
      <w:r w:rsidDel="00000000" w:rsidR="00000000" w:rsidRPr="00000000">
        <w:rPr>
          <w:rtl w:val="0"/>
        </w:rPr>
        <w:t xml:space="preserve">OSTEOMIELITE MANDIBULAR ASSOCIADA A HIPERCRESCIMENTO DENTÁRIO EM FILHOTE DE COELHO DOMÉSTICO (</w:t>
      </w:r>
      <w:r w:rsidDel="00000000" w:rsidR="00000000" w:rsidRPr="00000000">
        <w:rPr>
          <w:i w:val="1"/>
          <w:rtl w:val="0"/>
        </w:rPr>
        <w:t xml:space="preserve">Oryctolagus</w:t>
      </w:r>
    </w:p>
    <w:p w:rsidR="00000000" w:rsidDel="00000000" w:rsidP="00000000" w:rsidRDefault="00000000" w:rsidRPr="00000000" w14:paraId="00000002">
      <w:pPr>
        <w:spacing w:before="0" w:lineRule="auto"/>
        <w:ind w:left="256" w:right="251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cuniculus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76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Araújo, D. F.¹; Macena, Y. C. R. F.¹; Rocha, C. M.¹; Casari, M. B.²; Merlo, D. N.²; Pereira, G. B. R.⁴; Santos, T. F. S.³; Domingues, S. F. S.⁵</w:t>
      </w:r>
    </w:p>
    <w:p w:rsidR="00000000" w:rsidDel="00000000" w:rsidP="00000000" w:rsidRDefault="00000000" w:rsidRPr="00000000" w14:paraId="00000005">
      <w:pPr>
        <w:widowControl w:val="1"/>
        <w:spacing w:line="276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Universidade Federal do Pará: Laboratório de Patologia Animal¹, Pós-graduação em Clínica Médica e Cirúrgica de Animais Silvestres², Programa de Pós-graduação em Saúde Animal na Amazônia³, Graduação em Medicina Veterinária⁴ e Programa de Graduação do curso de Medicina Veterinária⁵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5" w:lineRule="auto"/>
        <w:ind w:left="113" w:right="3735" w:firstLine="3430.3070866141725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(clyviayasmin@gmail.com)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5" w:lineRule="auto"/>
        <w:ind w:left="113" w:right="3735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Palavras-chave: periodontite, patologia, silvestres.</w:t>
      </w:r>
    </w:p>
    <w:p w:rsidR="00000000" w:rsidDel="00000000" w:rsidP="00000000" w:rsidRDefault="00000000" w:rsidRPr="00000000" w14:paraId="00000008">
      <w:pPr>
        <w:spacing w:before="0" w:line="197" w:lineRule="auto"/>
        <w:ind w:left="113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O coelho doméstico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Oryctolagus cuniculus</w:t>
      </w:r>
      <w:r w:rsidDel="00000000" w:rsidR="00000000" w:rsidRPr="00000000">
        <w:rPr>
          <w:sz w:val="20"/>
          <w:szCs w:val="20"/>
          <w:rtl w:val="0"/>
        </w:rPr>
        <w:t xml:space="preserve">) possui 28 dentes hipsodontes. O manejo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nutricional inadequado, a anorexia e a dor são </w:t>
      </w:r>
      <w:r w:rsidDel="00000000" w:rsidR="00000000" w:rsidRPr="00000000">
        <w:rPr>
          <w:sz w:val="20"/>
          <w:szCs w:val="20"/>
          <w:rtl w:val="0"/>
        </w:rPr>
        <w:t xml:space="preserve">importantes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causas de má-oclusão dentária, que frequentemente evolui à periodontite e osteomielite comum em adultos. Este resumo relata a rápida progressão d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hipercrescimento dentário à afecção mandibular em um coelho</w:t>
      </w:r>
      <w:r w:rsidDel="00000000" w:rsidR="00000000" w:rsidRPr="00000000">
        <w:rPr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fêmea</w:t>
      </w:r>
      <w:r w:rsidDel="00000000" w:rsidR="00000000" w:rsidRPr="00000000">
        <w:rPr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meses</w:t>
      </w:r>
      <w:r w:rsidDel="00000000" w:rsidR="00000000" w:rsidRPr="00000000">
        <w:rPr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0,5 kg) que chegou ao Setor de Animais Silvestres do Hospital Veterinário do Instituto de Medicina Veterinária (IMV) da Universidade Federal do Pará (UFPA), com clínica de disfagia, linfonodo submandibular direito aumentado e hipomotilidade em TGI. O paciente foi internado e seu crânio radiografado, confirmando o diagnóstico de hipercrescimento dentário generalizado com perda de oclusão e contato prematuro de molariformes, sem sugestão de abscessos ou processos inflamatórios/degenerativos em mandíbula </w:t>
      </w:r>
      <w:r w:rsidDel="00000000" w:rsidR="00000000" w:rsidRPr="00000000">
        <w:rPr>
          <w:sz w:val="20"/>
          <w:szCs w:val="20"/>
          <w:rtl w:val="0"/>
        </w:rPr>
        <w:t xml:space="preserve">ou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maxila. Foi </w:t>
      </w:r>
      <w:r w:rsidDel="00000000" w:rsidR="00000000" w:rsidRPr="00000000">
        <w:rPr>
          <w:sz w:val="20"/>
          <w:szCs w:val="20"/>
          <w:rtl w:val="0"/>
        </w:rPr>
        <w:t xml:space="preserve">feito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procedimento de desgaste sob anestesia geral sem intercorrências. Após 3 dias, o paciente </w:t>
      </w:r>
      <w:r w:rsidDel="00000000" w:rsidR="00000000" w:rsidRPr="00000000">
        <w:rPr>
          <w:sz w:val="20"/>
          <w:szCs w:val="20"/>
          <w:rtl w:val="0"/>
        </w:rPr>
        <w:t xml:space="preserve">voltou à i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nternação em anorexia, adipsia e perda de peso. Ao 9º dia</w:t>
      </w:r>
      <w:r w:rsidDel="00000000" w:rsidR="00000000" w:rsidRPr="00000000">
        <w:rPr>
          <w:sz w:val="20"/>
          <w:szCs w:val="20"/>
          <w:rtl w:val="0"/>
        </w:rPr>
        <w:t xml:space="preserve"> houve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novo quadro de hipercrescimento, agora com palpação de ramos mandibulares sugerindo alteração de conformação (sem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repetição d</w:t>
      </w:r>
      <w:r w:rsidDel="00000000" w:rsidR="00000000" w:rsidRPr="00000000">
        <w:rPr>
          <w:sz w:val="20"/>
          <w:szCs w:val="20"/>
          <w:rtl w:val="0"/>
        </w:rPr>
        <w:t xml:space="preserve">e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radiografia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sob antibioticoterapia). Ao 10º dia o animal evoluiu 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ób</w:t>
      </w:r>
      <w:r w:rsidDel="00000000" w:rsidR="00000000" w:rsidRPr="00000000">
        <w:rPr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e foi encaminhado para necropsia no Laboratório de Patologia Animal do IMV. Na macroscopia constatou-se acometimento mandibular com deformidade bilateral não-simétrica, superfície irregular e presença de abscessos caseosos, enviado para o exame microbiológico. O material da necropsia foi fixado em formol com posterior descalcificação da mandíbula. Em seguida o material foi processado para histopatologia e corado em HE. Na leitura em microscópio óptico os ossos mandibulares apresentaram extensa área do espaço periodontal preenchida de infiltrado purulento, margeados por tecido conjuntivo fibroso. Na matriz óssea notou-se intensa atividade osteoclástica, além de focos de supuração na musculatura adjacente ao osso. Na microbiologia houve crescimento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Pseudomonas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spp.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Serratia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spp. Com base nos achados, o diagnóstico foi de periodontite e osteomielite supurativa crônica extensas e acentuadas associadas aos microrganismos </w:t>
      </w:r>
      <w:r w:rsidDel="00000000" w:rsidR="00000000" w:rsidRPr="00000000">
        <w:rPr>
          <w:sz w:val="20"/>
          <w:szCs w:val="20"/>
          <w:rtl w:val="0"/>
        </w:rPr>
        <w:t xml:space="preserve">citados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O caso evidenci</w:t>
      </w:r>
      <w:r w:rsidDel="00000000" w:rsidR="00000000" w:rsidRPr="00000000">
        <w:rPr>
          <w:sz w:val="20"/>
          <w:szCs w:val="20"/>
          <w:rtl w:val="0"/>
        </w:rPr>
        <w:t xml:space="preserve">ou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manifestação atípica da afecção em um filhote que, de acordo com a literatura, extrapolou a taxa de crescimento dentário semanal, e estaria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iniciando a ingestão de feno (principal fator de desgaste natural). É necessário mais estudos acerca das possíveis causas</w:t>
      </w:r>
      <w:r w:rsidDel="00000000" w:rsidR="00000000" w:rsidRPr="00000000">
        <w:rPr>
          <w:sz w:val="20"/>
          <w:szCs w:val="20"/>
          <w:rtl w:val="0"/>
        </w:rPr>
        <w:t xml:space="preserve">, além da genética.</w:t>
      </w:r>
      <w:r w:rsidDel="00000000" w:rsidR="00000000" w:rsidRPr="00000000">
        <w:rPr>
          <w:rtl w:val="0"/>
        </w:rPr>
      </w:r>
    </w:p>
    <w:sectPr>
      <w:pgSz w:h="16840" w:w="11920" w:orient="portrait"/>
      <w:pgMar w:bottom="280" w:top="1060" w:left="1020" w:right="10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3" w:lineRule="auto"/>
      <w:ind w:left="258" w:right="25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pkzl9JniXE30uuahvUEOzJzqaw==">AMUW2mUH4v24y0T9PrXOg7GvvQGz2LpoGvBiE27nqIoc6WEIZg7F9dnkgYyqFdzBWplfwdEKC2rfxdlrKDbgble2yjtSeUotg9gbohEr6HufrN7JV4aUKTs=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