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FAC0" w14:textId="77777777" w:rsidR="00E466C0" w:rsidRDefault="00E466C0">
      <w:pPr>
        <w:rPr>
          <w:b/>
        </w:rPr>
      </w:pPr>
    </w:p>
    <w:p w14:paraId="405F6AD9" w14:textId="4A7A258A" w:rsidR="00E466C0" w:rsidRDefault="00000000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AVANÇOS E PERSPECTIVAS DOS BIOMARCADORES NA DETECÇÃO E MONITORAMENTO DO HTLV-1</w:t>
      </w:r>
      <w:r w:rsidR="0099775F">
        <w:rPr>
          <w:b/>
          <w:sz w:val="28"/>
          <w:szCs w:val="28"/>
        </w:rPr>
        <w:t xml:space="preserve"> E HAM/TSP</w:t>
      </w:r>
    </w:p>
    <w:p w14:paraId="432CD2B0" w14:textId="77777777" w:rsidR="00E466C0" w:rsidRDefault="00E466C0" w:rsidP="006717DC">
      <w:pPr>
        <w:shd w:val="clear" w:color="auto" w:fill="FFFFFF"/>
        <w:tabs>
          <w:tab w:val="left" w:pos="2500"/>
        </w:tabs>
        <w:rPr>
          <w:sz w:val="20"/>
          <w:szCs w:val="20"/>
        </w:rPr>
      </w:pPr>
    </w:p>
    <w:p w14:paraId="299B7731" w14:textId="77777777" w:rsidR="00E466C0" w:rsidRDefault="00000000">
      <w:pP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20D68BD5" w14:textId="77777777" w:rsidR="006717DC" w:rsidRPr="00CF383E" w:rsidRDefault="006717DC" w:rsidP="006717DC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Introdução:</w:t>
      </w:r>
      <w:r>
        <w:rPr>
          <w:sz w:val="24"/>
          <w:szCs w:val="24"/>
        </w:rPr>
        <w:t xml:space="preserve"> O vírus linfotrópico de células T humanas (HTLV) é um retrovírus de importância epidemiológica associado a doenças graves, como a Mielopatia Associada ao HTLV-1 (HAM-TSP). As variantes principais, HTLV-1 e HTLV-2, possuem diagnóstico desafiador devido ao longo período de latência viral. Diante disso,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 uso de biomarcadores desempenha papel crucial na detecção, estratificação de risco, avaliação da resposta ao tratamento e compreensão dos mecanismos patogênicos. </w:t>
      </w:r>
      <w:r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Realizar uma pesquisa bibliográfica para descrever os potenciais biomarcadores passíveis de aplicação no diagnóstico e monitoramento da infecção por HTLV-1 e na patologia associada HAM/TSP. </w:t>
      </w:r>
      <w:r>
        <w:rPr>
          <w:b/>
          <w:sz w:val="24"/>
          <w:szCs w:val="24"/>
        </w:rPr>
        <w:t>Métodos:</w:t>
      </w:r>
      <w:r>
        <w:rPr>
          <w:sz w:val="24"/>
          <w:szCs w:val="24"/>
        </w:rPr>
        <w:t xml:space="preserve"> Trata-se de</w:t>
      </w:r>
      <w:r w:rsidRPr="000D0E6E">
        <w:rPr>
          <w:sz w:val="24"/>
          <w:szCs w:val="24"/>
        </w:rPr>
        <w:t xml:space="preserve"> uma revisão integrativa</w:t>
      </w:r>
      <w:r>
        <w:rPr>
          <w:sz w:val="24"/>
          <w:szCs w:val="24"/>
        </w:rPr>
        <w:t xml:space="preserve"> de literatura cuja</w:t>
      </w:r>
      <w:r w:rsidRPr="000D0E6E">
        <w:rPr>
          <w:sz w:val="24"/>
          <w:szCs w:val="24"/>
        </w:rPr>
        <w:t xml:space="preserve"> investigação foi </w:t>
      </w:r>
      <w:r>
        <w:rPr>
          <w:sz w:val="24"/>
          <w:szCs w:val="24"/>
        </w:rPr>
        <w:t>realizada</w:t>
      </w:r>
      <w:r w:rsidRPr="000D0E6E">
        <w:rPr>
          <w:sz w:val="24"/>
          <w:szCs w:val="24"/>
        </w:rPr>
        <w:t xml:space="preserve"> no repositório </w:t>
      </w:r>
      <w:proofErr w:type="spellStart"/>
      <w:r w:rsidRPr="000D0E6E">
        <w:rPr>
          <w:i/>
          <w:iCs/>
          <w:sz w:val="24"/>
          <w:szCs w:val="24"/>
        </w:rPr>
        <w:t>PubMed</w:t>
      </w:r>
      <w:proofErr w:type="spellEnd"/>
      <w:r>
        <w:rPr>
          <w:i/>
          <w:iCs/>
          <w:sz w:val="24"/>
          <w:szCs w:val="24"/>
        </w:rPr>
        <w:t>®</w:t>
      </w:r>
      <w:r w:rsidRPr="000D0E6E">
        <w:rPr>
          <w:sz w:val="24"/>
          <w:szCs w:val="24"/>
        </w:rPr>
        <w:t>,</w:t>
      </w:r>
      <w:r>
        <w:rPr>
          <w:sz w:val="24"/>
          <w:szCs w:val="24"/>
        </w:rPr>
        <w:t xml:space="preserve"> a partir do uso dos Descritores em Ciências da Saúde (</w:t>
      </w:r>
      <w:proofErr w:type="spellStart"/>
      <w:r>
        <w:rPr>
          <w:sz w:val="24"/>
          <w:szCs w:val="24"/>
        </w:rPr>
        <w:t>DeCS</w:t>
      </w:r>
      <w:proofErr w:type="spellEnd"/>
      <w:r>
        <w:rPr>
          <w:sz w:val="24"/>
          <w:szCs w:val="24"/>
        </w:rPr>
        <w:t>): “HTLV-1”, “</w:t>
      </w:r>
      <w:proofErr w:type="spellStart"/>
      <w:r w:rsidRPr="00011BB1">
        <w:rPr>
          <w:i/>
          <w:iCs/>
          <w:sz w:val="24"/>
          <w:szCs w:val="24"/>
        </w:rPr>
        <w:t>Biomarkers</w:t>
      </w:r>
      <w:proofErr w:type="spellEnd"/>
      <w:r>
        <w:rPr>
          <w:sz w:val="24"/>
          <w:szCs w:val="24"/>
        </w:rPr>
        <w:t>” e “</w:t>
      </w:r>
      <w:proofErr w:type="spellStart"/>
      <w:r w:rsidRPr="000D0E6E">
        <w:rPr>
          <w:i/>
          <w:iCs/>
          <w:sz w:val="24"/>
          <w:szCs w:val="24"/>
        </w:rPr>
        <w:t>Neuroinflammatory</w:t>
      </w:r>
      <w:proofErr w:type="spellEnd"/>
      <w:r w:rsidRPr="000D0E6E">
        <w:rPr>
          <w:i/>
          <w:iCs/>
          <w:sz w:val="24"/>
          <w:szCs w:val="24"/>
        </w:rPr>
        <w:t xml:space="preserve"> </w:t>
      </w:r>
      <w:proofErr w:type="spellStart"/>
      <w:r w:rsidRPr="000D0E6E">
        <w:rPr>
          <w:i/>
          <w:iCs/>
          <w:sz w:val="24"/>
          <w:szCs w:val="24"/>
        </w:rPr>
        <w:t>diseases</w:t>
      </w:r>
      <w:proofErr w:type="spellEnd"/>
      <w:r w:rsidRPr="000D0E6E">
        <w:rPr>
          <w:sz w:val="24"/>
          <w:szCs w:val="24"/>
        </w:rPr>
        <w:t>"</w:t>
      </w:r>
      <w:r>
        <w:rPr>
          <w:sz w:val="24"/>
          <w:szCs w:val="24"/>
        </w:rPr>
        <w:t>, combinados com o operador booleano “AND”. A seleção dos manuscritos foi conduzida a partir dos seguintes critérios: foram selecionados</w:t>
      </w:r>
      <w:r w:rsidRPr="000D0E6E">
        <w:rPr>
          <w:sz w:val="24"/>
          <w:szCs w:val="24"/>
        </w:rPr>
        <w:t xml:space="preserve"> </w:t>
      </w:r>
      <w:r>
        <w:rPr>
          <w:sz w:val="24"/>
          <w:szCs w:val="24"/>
        </w:rPr>
        <w:t>artigos experimentais,</w:t>
      </w:r>
      <w:r w:rsidRPr="000D0E6E">
        <w:rPr>
          <w:sz w:val="24"/>
          <w:szCs w:val="24"/>
        </w:rPr>
        <w:t xml:space="preserve"> em língua inglesa</w:t>
      </w:r>
      <w:r>
        <w:rPr>
          <w:sz w:val="24"/>
          <w:szCs w:val="24"/>
        </w:rPr>
        <w:t>,</w:t>
      </w:r>
      <w:r w:rsidRPr="000D0E6E">
        <w:rPr>
          <w:sz w:val="24"/>
          <w:szCs w:val="24"/>
        </w:rPr>
        <w:t xml:space="preserve"> publicados entre</w:t>
      </w:r>
      <w:r>
        <w:rPr>
          <w:sz w:val="24"/>
          <w:szCs w:val="24"/>
        </w:rPr>
        <w:t xml:space="preserve"> junho de</w:t>
      </w:r>
      <w:r w:rsidRPr="000D0E6E">
        <w:rPr>
          <w:sz w:val="24"/>
          <w:szCs w:val="24"/>
        </w:rPr>
        <w:t xml:space="preserve"> 2017 </w:t>
      </w:r>
      <w:r>
        <w:rPr>
          <w:sz w:val="24"/>
          <w:szCs w:val="24"/>
        </w:rPr>
        <w:t>a</w:t>
      </w:r>
      <w:r w:rsidRPr="000D0E6E">
        <w:rPr>
          <w:sz w:val="24"/>
          <w:szCs w:val="24"/>
        </w:rPr>
        <w:t xml:space="preserve"> junho de 2023</w:t>
      </w:r>
      <w:r>
        <w:rPr>
          <w:sz w:val="24"/>
          <w:szCs w:val="24"/>
        </w:rPr>
        <w:t xml:space="preserve"> </w:t>
      </w:r>
      <w:r w:rsidRPr="00CF383E">
        <w:rPr>
          <w:rFonts w:eastAsia="Arial"/>
          <w:sz w:val="24"/>
          <w:szCs w:val="24"/>
        </w:rPr>
        <w:t>que aborda</w:t>
      </w:r>
      <w:r>
        <w:rPr>
          <w:rFonts w:eastAsia="Arial"/>
          <w:sz w:val="24"/>
          <w:szCs w:val="24"/>
        </w:rPr>
        <w:t>ra</w:t>
      </w:r>
      <w:r w:rsidRPr="00CF383E">
        <w:rPr>
          <w:rFonts w:eastAsia="Arial"/>
          <w:sz w:val="24"/>
          <w:szCs w:val="24"/>
        </w:rPr>
        <w:t>m sobre o HTLV-1 e uso de biomarcadores para o diagnóstico laboratorial,</w:t>
      </w:r>
      <w:r>
        <w:rPr>
          <w:sz w:val="24"/>
          <w:szCs w:val="24"/>
        </w:rPr>
        <w:t xml:space="preserve"> excluindo-se relatos de casos, revisões,</w:t>
      </w:r>
      <w:r>
        <w:rPr>
          <w:color w:val="FF0000"/>
          <w:sz w:val="24"/>
          <w:szCs w:val="24"/>
        </w:rPr>
        <w:t xml:space="preserve"> </w:t>
      </w:r>
      <w:r w:rsidRPr="00372979">
        <w:rPr>
          <w:sz w:val="24"/>
          <w:szCs w:val="24"/>
        </w:rPr>
        <w:t xml:space="preserve">artigos fora do tema </w:t>
      </w:r>
      <w:r>
        <w:rPr>
          <w:sz w:val="24"/>
          <w:szCs w:val="24"/>
        </w:rPr>
        <w:t xml:space="preserve">ou fora do período estipulado. Os artigos elegíveis foram lidos na íntegra.  </w:t>
      </w:r>
      <w:r>
        <w:rPr>
          <w:b/>
          <w:sz w:val="24"/>
          <w:szCs w:val="24"/>
        </w:rPr>
        <w:t>Resultados e discussão</w:t>
      </w:r>
      <w:r>
        <w:rPr>
          <w:sz w:val="24"/>
          <w:szCs w:val="24"/>
        </w:rPr>
        <w:t xml:space="preserve">: Foram encontrados 133 artigos, dos quais 23 atenderam aos critérios de inclusão. Os principais achados incluíram biomarcadores promissores para avaliação do desfecho clínico, como o diagnóstico de HTLV-1 e HAM-TSP. As pesquisas apresentaram marcadores como CXCL10, </w:t>
      </w:r>
      <w:proofErr w:type="spellStart"/>
      <w:r>
        <w:rPr>
          <w:sz w:val="24"/>
          <w:szCs w:val="24"/>
        </w:rPr>
        <w:t>neopterina</w:t>
      </w:r>
      <w:proofErr w:type="spellEnd"/>
      <w:r>
        <w:rPr>
          <w:sz w:val="24"/>
          <w:szCs w:val="24"/>
        </w:rPr>
        <w:t xml:space="preserve">, CHIT1, ANXA1 e polimorfismos genéticos. A elevação das </w:t>
      </w:r>
      <w:proofErr w:type="spellStart"/>
      <w:r>
        <w:rPr>
          <w:sz w:val="24"/>
          <w:szCs w:val="24"/>
        </w:rPr>
        <w:t>quimiocinas</w:t>
      </w:r>
      <w:proofErr w:type="spellEnd"/>
      <w:r>
        <w:rPr>
          <w:sz w:val="24"/>
          <w:szCs w:val="24"/>
        </w:rPr>
        <w:t xml:space="preserve"> CXCL10, 11 e 12 em pacientes com HAM/TSP sugere um processo inflamatório ativo, provavelmente relacionado à resposta imune exacerbada. Essas </w:t>
      </w:r>
      <w:proofErr w:type="spellStart"/>
      <w:r>
        <w:rPr>
          <w:sz w:val="24"/>
          <w:szCs w:val="24"/>
        </w:rPr>
        <w:t>quimiocinas</w:t>
      </w:r>
      <w:proofErr w:type="spellEnd"/>
      <w:r>
        <w:rPr>
          <w:sz w:val="24"/>
          <w:szCs w:val="24"/>
        </w:rPr>
        <w:t xml:space="preserve"> têm a capacidade de atrair leucócitos, contribuindo para a </w:t>
      </w:r>
      <w:proofErr w:type="spellStart"/>
      <w:r>
        <w:rPr>
          <w:sz w:val="24"/>
          <w:szCs w:val="24"/>
        </w:rPr>
        <w:t>neuroinflamação</w:t>
      </w:r>
      <w:proofErr w:type="spellEnd"/>
      <w:r>
        <w:rPr>
          <w:sz w:val="24"/>
          <w:szCs w:val="24"/>
        </w:rPr>
        <w:t xml:space="preserve"> degenerativa. A quantificação da </w:t>
      </w:r>
      <w:proofErr w:type="spellStart"/>
      <w:r>
        <w:rPr>
          <w:sz w:val="24"/>
          <w:szCs w:val="24"/>
        </w:rPr>
        <w:t>neopterina</w:t>
      </w:r>
      <w:proofErr w:type="spellEnd"/>
      <w:r>
        <w:rPr>
          <w:sz w:val="24"/>
          <w:szCs w:val="24"/>
        </w:rPr>
        <w:t xml:space="preserve">, que tende a ser elevada no líquido cefalorraquidiano (LCR) e no sangue </w:t>
      </w:r>
      <w:r>
        <w:rPr>
          <w:sz w:val="24"/>
          <w:szCs w:val="24"/>
        </w:rPr>
        <w:lastRenderedPageBreak/>
        <w:t xml:space="preserve">periférico em pacientes com infecção pelo HTLV-1 e HAM/TSP, pode ser utilizada como indicador de atividade da doença, refletindo o grau de ativação do sistema imunológico. </w:t>
      </w:r>
      <w:r w:rsidRPr="00372979">
        <w:rPr>
          <w:sz w:val="24"/>
          <w:szCs w:val="24"/>
        </w:rPr>
        <w:t>Quanto a</w:t>
      </w:r>
      <w:r w:rsidRPr="00B16A1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CHIT1, a presença elevada dessa enzima pode estar associada ao aumento da </w:t>
      </w:r>
      <w:proofErr w:type="spellStart"/>
      <w:r>
        <w:rPr>
          <w:sz w:val="24"/>
          <w:szCs w:val="24"/>
        </w:rPr>
        <w:t>neuroinflamação</w:t>
      </w:r>
      <w:proofErr w:type="spellEnd"/>
      <w:r>
        <w:rPr>
          <w:sz w:val="24"/>
          <w:szCs w:val="24"/>
        </w:rPr>
        <w:t xml:space="preserve"> devido seu papel no desencadeamento de respostas pró-inflamatórias. A ANXA1, possui potencial anti-inflamatório e pode sugerir uma tentativa do organismo de controlar a resposta inflamatória elevada na HAM/TSP. Além de seu potencial como biomarcador, a ANXA1 também pode ser considerada como um alvo terapêutico, dada sua capacidade de modular a resposta inflamatória. Os polimorfismos genéticos, especialmente aqueles relacionados ao receptor de </w:t>
      </w:r>
      <w:proofErr w:type="spellStart"/>
      <w:r>
        <w:rPr>
          <w:sz w:val="24"/>
          <w:szCs w:val="24"/>
        </w:rPr>
        <w:t>neurotrofina</w:t>
      </w:r>
      <w:proofErr w:type="spellEnd"/>
      <w:r>
        <w:rPr>
          <w:sz w:val="24"/>
          <w:szCs w:val="24"/>
        </w:rPr>
        <w:t xml:space="preserve"> p75, podem influenciar a resposta imune e o desenvolvimento de sintomas na HAM/TSP, identificar esses fatores genéticos pode contribuir para a previsão da progressão da doença e permitir a personalização dos tratamentos. </w:t>
      </w:r>
      <w:r>
        <w:rPr>
          <w:b/>
          <w:sz w:val="24"/>
          <w:szCs w:val="24"/>
        </w:rPr>
        <w:t>Conclusão:</w:t>
      </w:r>
      <w:r>
        <w:rPr>
          <w:sz w:val="24"/>
          <w:szCs w:val="24"/>
        </w:rPr>
        <w:t xml:space="preserve"> De maneira concisa, a pesquisa abordou uma ampla variedade de potenciais biomarcadores relacionados ao HTLV-1 e HAM/TSP, e</w:t>
      </w:r>
      <w:r w:rsidRPr="00313960">
        <w:rPr>
          <w:sz w:val="24"/>
          <w:szCs w:val="24"/>
        </w:rPr>
        <w:t xml:space="preserve">ssas descobertas destacam a complexidade da resposta imune na HAM/TSP </w:t>
      </w:r>
      <w:r>
        <w:rPr>
          <w:sz w:val="24"/>
          <w:szCs w:val="24"/>
        </w:rPr>
        <w:t>e demonstram a necessidade de</w:t>
      </w:r>
      <w:r w:rsidRPr="00313960">
        <w:rPr>
          <w:sz w:val="24"/>
          <w:szCs w:val="24"/>
        </w:rPr>
        <w:t xml:space="preserve"> uma abordagem integrada que leve em consideração tanto os aspectos imunológicos quanto os genéticos na compreensão des</w:t>
      </w:r>
      <w:r>
        <w:rPr>
          <w:sz w:val="24"/>
          <w:szCs w:val="24"/>
        </w:rPr>
        <w:t>t</w:t>
      </w:r>
      <w:r w:rsidRPr="00313960">
        <w:rPr>
          <w:sz w:val="24"/>
          <w:szCs w:val="24"/>
        </w:rPr>
        <w:t>a doença.</w:t>
      </w:r>
      <w:r>
        <w:rPr>
          <w:sz w:val="24"/>
          <w:szCs w:val="24"/>
        </w:rPr>
        <w:t xml:space="preserve"> Por isso, a continuidade de estudos é essencial para validar esses achados e aprimorar o manejo clínico destas condições.</w:t>
      </w:r>
    </w:p>
    <w:p w14:paraId="277C717E" w14:textId="32B77448" w:rsidR="00E466C0" w:rsidRDefault="00000000">
      <w:pPr>
        <w:shd w:val="clear" w:color="auto" w:fill="FFFFFF"/>
        <w:tabs>
          <w:tab w:val="left" w:pos="2500"/>
        </w:tabs>
        <w:spacing w:after="240" w:line="360" w:lineRule="auto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HTLV-1; Biomarcadores</w:t>
      </w:r>
      <w:r w:rsidR="001555F9">
        <w:rPr>
          <w:sz w:val="24"/>
          <w:szCs w:val="24"/>
        </w:rPr>
        <w:t>;</w:t>
      </w:r>
      <w:r>
        <w:rPr>
          <w:sz w:val="24"/>
          <w:szCs w:val="24"/>
        </w:rPr>
        <w:t xml:space="preserve"> Mielopatia Associada ao HTLV-I; Neuroinflamação.</w:t>
      </w:r>
    </w:p>
    <w:p w14:paraId="6C1AA46B" w14:textId="77777777" w:rsidR="00E466C0" w:rsidRDefault="00000000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  <w:bookmarkStart w:id="0" w:name="_heading=h.1fob9te" w:colFirst="0" w:colLast="0"/>
      <w:bookmarkEnd w:id="0"/>
      <w:r>
        <w:rPr>
          <w:b/>
          <w:sz w:val="24"/>
          <w:szCs w:val="24"/>
        </w:rPr>
        <w:t>Área temática do Evento</w:t>
      </w:r>
      <w:r>
        <w:rPr>
          <w:sz w:val="24"/>
          <w:szCs w:val="24"/>
        </w:rPr>
        <w:t>: Virologia.</w:t>
      </w:r>
    </w:p>
    <w:p w14:paraId="55229F2C" w14:textId="77777777" w:rsidR="00E466C0" w:rsidRDefault="00E466C0">
      <w:pPr>
        <w:shd w:val="clear" w:color="auto" w:fill="FFFFFF"/>
        <w:tabs>
          <w:tab w:val="left" w:pos="2500"/>
        </w:tabs>
        <w:spacing w:line="360" w:lineRule="auto"/>
        <w:jc w:val="both"/>
        <w:rPr>
          <w:sz w:val="24"/>
          <w:szCs w:val="24"/>
        </w:rPr>
      </w:pPr>
    </w:p>
    <w:p w14:paraId="2C413008" w14:textId="77777777" w:rsidR="00E466C0" w:rsidRDefault="00000000">
      <w:pPr>
        <w:shd w:val="clear" w:color="auto" w:fill="FFFFFF"/>
        <w:tabs>
          <w:tab w:val="left" w:pos="250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14:paraId="5BDC5C9A" w14:textId="77777777" w:rsidR="00E466C0" w:rsidRDefault="0000000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ASSIS, I. M. 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 xml:space="preserve">. Análise dos níveis de carga </w:t>
      </w:r>
      <w:proofErr w:type="spellStart"/>
      <w:r>
        <w:rPr>
          <w:color w:val="000000"/>
          <w:sz w:val="24"/>
          <w:szCs w:val="24"/>
        </w:rPr>
        <w:t>proviral</w:t>
      </w:r>
      <w:proofErr w:type="spellEnd"/>
      <w:r>
        <w:rPr>
          <w:color w:val="000000"/>
          <w:sz w:val="24"/>
          <w:szCs w:val="24"/>
        </w:rPr>
        <w:t xml:space="preserve"> em portadores de HTLV-1 com diferentes condições de comprometimento neurológico. </w:t>
      </w:r>
      <w:proofErr w:type="spellStart"/>
      <w:r>
        <w:rPr>
          <w:b/>
          <w:color w:val="000000"/>
          <w:sz w:val="24"/>
          <w:szCs w:val="24"/>
        </w:rPr>
        <w:t>Research</w:t>
      </w:r>
      <w:proofErr w:type="spellEnd"/>
      <w:r>
        <w:rPr>
          <w:b/>
          <w:color w:val="000000"/>
          <w:sz w:val="24"/>
          <w:szCs w:val="24"/>
        </w:rPr>
        <w:t xml:space="preserve">, Society </w:t>
      </w:r>
      <w:proofErr w:type="spellStart"/>
      <w:r>
        <w:rPr>
          <w:b/>
          <w:color w:val="000000"/>
          <w:sz w:val="24"/>
          <w:szCs w:val="24"/>
        </w:rPr>
        <w:t>and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Development</w:t>
      </w:r>
      <w:proofErr w:type="spellEnd"/>
      <w:r>
        <w:rPr>
          <w:color w:val="000000"/>
          <w:sz w:val="24"/>
          <w:szCs w:val="24"/>
        </w:rPr>
        <w:t xml:space="preserve">, v. 10, n. 3, p. e22310313264, 14 mar. 2021. </w:t>
      </w:r>
    </w:p>
    <w:p w14:paraId="2FD9548A" w14:textId="77777777" w:rsidR="00E466C0" w:rsidRDefault="00E466C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</w:p>
    <w:p w14:paraId="3F8D0EBF" w14:textId="77777777" w:rsidR="00E466C0" w:rsidRDefault="0000000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FLISTER, G. V. S. </w:t>
      </w:r>
      <w:r>
        <w:rPr>
          <w:i/>
          <w:color w:val="000000"/>
          <w:sz w:val="24"/>
          <w:szCs w:val="24"/>
        </w:rPr>
        <w:t>et al</w:t>
      </w:r>
      <w:r>
        <w:rPr>
          <w:color w:val="000000"/>
          <w:sz w:val="24"/>
          <w:szCs w:val="24"/>
        </w:rPr>
        <w:t xml:space="preserve">. Prevalência de casos de HTLV entre doadores de sangue no Brasil: uma revisão integrativa. </w:t>
      </w:r>
      <w:proofErr w:type="spellStart"/>
      <w:r>
        <w:rPr>
          <w:b/>
          <w:color w:val="000000"/>
          <w:sz w:val="24"/>
          <w:szCs w:val="24"/>
        </w:rPr>
        <w:t>Brazilian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Journal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of</w:t>
      </w:r>
      <w:proofErr w:type="spellEnd"/>
      <w:r>
        <w:rPr>
          <w:b/>
          <w:color w:val="000000"/>
          <w:sz w:val="24"/>
          <w:szCs w:val="24"/>
        </w:rPr>
        <w:t xml:space="preserve"> Health Review</w:t>
      </w:r>
      <w:r>
        <w:rPr>
          <w:color w:val="000000"/>
          <w:sz w:val="24"/>
          <w:szCs w:val="24"/>
        </w:rPr>
        <w:t>, v. 6, n. 3, p. 11999–12010, 6 jun. 2023.</w:t>
      </w:r>
    </w:p>
    <w:p w14:paraId="217B7C59" w14:textId="77777777" w:rsidR="00E466C0" w:rsidRDefault="00E466C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</w:p>
    <w:p w14:paraId="195E1656" w14:textId="77777777" w:rsidR="00E466C0" w:rsidRDefault="0000000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IBAÑEZ, V. R.; RODRÍGUEZ, D. A. V.; BENÍTEZ, Y. M. Basic </w:t>
      </w:r>
      <w:proofErr w:type="spellStart"/>
      <w:r>
        <w:rPr>
          <w:color w:val="000000"/>
          <w:sz w:val="24"/>
          <w:szCs w:val="24"/>
        </w:rPr>
        <w:t>zipper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protein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(HBZ): biomarcador diagnóstico y de </w:t>
      </w:r>
      <w:proofErr w:type="spellStart"/>
      <w:r>
        <w:rPr>
          <w:color w:val="000000"/>
          <w:sz w:val="24"/>
          <w:szCs w:val="24"/>
        </w:rPr>
        <w:t>seguimiento</w:t>
      </w:r>
      <w:proofErr w:type="spellEnd"/>
      <w:r>
        <w:rPr>
          <w:color w:val="000000"/>
          <w:sz w:val="24"/>
          <w:szCs w:val="24"/>
        </w:rPr>
        <w:t xml:space="preserve"> de leucemia/linfoma T </w:t>
      </w:r>
      <w:proofErr w:type="spellStart"/>
      <w:r>
        <w:rPr>
          <w:color w:val="000000"/>
          <w:sz w:val="24"/>
          <w:szCs w:val="24"/>
        </w:rPr>
        <w:t>del</w:t>
      </w:r>
      <w:proofErr w:type="spellEnd"/>
      <w:r>
        <w:rPr>
          <w:color w:val="000000"/>
          <w:sz w:val="24"/>
          <w:szCs w:val="24"/>
        </w:rPr>
        <w:t xml:space="preserve"> adulto. </w:t>
      </w:r>
      <w:r>
        <w:rPr>
          <w:b/>
          <w:color w:val="000000"/>
          <w:sz w:val="24"/>
          <w:szCs w:val="24"/>
        </w:rPr>
        <w:t xml:space="preserve">Revista Cubana de </w:t>
      </w:r>
      <w:proofErr w:type="spellStart"/>
      <w:r>
        <w:rPr>
          <w:b/>
          <w:color w:val="000000"/>
          <w:sz w:val="24"/>
          <w:szCs w:val="24"/>
        </w:rPr>
        <w:t>Hematología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Inmunología</w:t>
      </w:r>
      <w:proofErr w:type="spellEnd"/>
      <w:r>
        <w:rPr>
          <w:b/>
          <w:color w:val="000000"/>
          <w:sz w:val="24"/>
          <w:szCs w:val="24"/>
        </w:rPr>
        <w:t xml:space="preserve"> y Hemoterapia</w:t>
      </w:r>
      <w:r>
        <w:rPr>
          <w:color w:val="000000"/>
          <w:sz w:val="24"/>
          <w:szCs w:val="24"/>
        </w:rPr>
        <w:t xml:space="preserve">, v. 39, n. 1, 30 mar. 2023. </w:t>
      </w:r>
    </w:p>
    <w:p w14:paraId="498B96F7" w14:textId="77777777" w:rsidR="00E466C0" w:rsidRDefault="00E466C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</w:p>
    <w:p w14:paraId="0B2B64A4" w14:textId="77777777" w:rsidR="00E466C0" w:rsidRDefault="0000000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MOHANTY, S.; HARHAJ, E. W. </w:t>
      </w:r>
      <w:proofErr w:type="spellStart"/>
      <w:r>
        <w:rPr>
          <w:color w:val="000000"/>
          <w:sz w:val="24"/>
          <w:szCs w:val="24"/>
        </w:rPr>
        <w:t>Mechanisms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Oncogenesis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by</w:t>
      </w:r>
      <w:proofErr w:type="spellEnd"/>
      <w:r>
        <w:rPr>
          <w:color w:val="000000"/>
          <w:sz w:val="24"/>
          <w:szCs w:val="24"/>
        </w:rPr>
        <w:t xml:space="preserve"> HTLV-1 </w:t>
      </w:r>
      <w:proofErr w:type="spellStart"/>
      <w:r>
        <w:rPr>
          <w:color w:val="000000"/>
          <w:sz w:val="24"/>
          <w:szCs w:val="24"/>
        </w:rPr>
        <w:t>Tax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Pathogens</w:t>
      </w:r>
      <w:proofErr w:type="spellEnd"/>
      <w:r>
        <w:rPr>
          <w:color w:val="000000"/>
          <w:sz w:val="24"/>
          <w:szCs w:val="24"/>
        </w:rPr>
        <w:t xml:space="preserve">, v. 9, n. 7, p. 543, 7 jul. 2020. </w:t>
      </w:r>
    </w:p>
    <w:p w14:paraId="1AC09211" w14:textId="77777777" w:rsidR="00E466C0" w:rsidRDefault="00E466C0">
      <w:pPr>
        <w:shd w:val="clear" w:color="auto" w:fill="FFFFFF"/>
        <w:tabs>
          <w:tab w:val="left" w:pos="2500"/>
        </w:tabs>
        <w:rPr>
          <w:color w:val="000000"/>
          <w:sz w:val="24"/>
          <w:szCs w:val="24"/>
        </w:rPr>
      </w:pPr>
    </w:p>
    <w:sectPr w:rsidR="00E466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4105" w14:textId="77777777" w:rsidR="00E975D8" w:rsidRDefault="00E975D8">
      <w:r>
        <w:separator/>
      </w:r>
    </w:p>
  </w:endnote>
  <w:endnote w:type="continuationSeparator" w:id="0">
    <w:p w14:paraId="3FF5E33A" w14:textId="77777777" w:rsidR="00E975D8" w:rsidRDefault="00E9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080A" w14:textId="77777777" w:rsidR="00E466C0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32F6A1A" wp14:editId="1D062B68">
              <wp:simplePos x="0" y="0"/>
              <wp:positionH relativeFrom="column">
                <wp:posOffset>63501</wp:posOffset>
              </wp:positionH>
              <wp:positionV relativeFrom="paragraph">
                <wp:posOffset>63500</wp:posOffset>
              </wp:positionV>
              <wp:extent cx="1007745" cy="314325"/>
              <wp:effectExtent l="0" t="0" r="0" b="0"/>
              <wp:wrapNone/>
              <wp:docPr id="1772955729" name="Retângulo 17729557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6890" y="3627600"/>
                        <a:ext cx="99822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94D576" w14:textId="77777777" w:rsidR="00E466C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Realização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63500</wp:posOffset>
              </wp:positionV>
              <wp:extent cx="1007745" cy="314325"/>
              <wp:effectExtent b="0" l="0" r="0" t="0"/>
              <wp:wrapNone/>
              <wp:docPr id="177295572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74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0BC04F5" wp14:editId="1816EC1F">
              <wp:simplePos x="0" y="0"/>
              <wp:positionH relativeFrom="column">
                <wp:posOffset>3952875</wp:posOffset>
              </wp:positionH>
              <wp:positionV relativeFrom="paragraph">
                <wp:posOffset>71250</wp:posOffset>
              </wp:positionV>
              <wp:extent cx="939165" cy="314325"/>
              <wp:effectExtent l="0" t="0" r="0" b="0"/>
              <wp:wrapNone/>
              <wp:docPr id="1772955728" name="Retângulo 1772955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1180" y="3627600"/>
                        <a:ext cx="9296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D7011B" w14:textId="77777777" w:rsidR="00E466C0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385623"/>
                            </w:rPr>
                            <w:t>Apoio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3952875</wp:posOffset>
              </wp:positionH>
              <wp:positionV relativeFrom="paragraph">
                <wp:posOffset>71250</wp:posOffset>
              </wp:positionV>
              <wp:extent cx="939165" cy="314325"/>
              <wp:effectExtent b="0" l="0" r="0" t="0"/>
              <wp:wrapNone/>
              <wp:docPr id="177295572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16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E296AAE" w14:textId="77777777" w:rsidR="00E466C0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26D0ED1" wp14:editId="6CDE528C">
          <wp:simplePos x="0" y="0"/>
          <wp:positionH relativeFrom="column">
            <wp:posOffset>-188594</wp:posOffset>
          </wp:positionH>
          <wp:positionV relativeFrom="paragraph">
            <wp:posOffset>181610</wp:posOffset>
          </wp:positionV>
          <wp:extent cx="687463" cy="628285"/>
          <wp:effectExtent l="0" t="0" r="0" b="0"/>
          <wp:wrapNone/>
          <wp:docPr id="1772955734" name="image6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Diagrama&#10;&#10;Descrição gerada automaticamente"/>
                  <pic:cNvPicPr preferRelativeResize="0"/>
                </pic:nvPicPr>
                <pic:blipFill>
                  <a:blip r:embed="rId3"/>
                  <a:srcRect l="33443" t="13156" r="31984" b="9290"/>
                  <a:stretch>
                    <a:fillRect/>
                  </a:stretch>
                </pic:blipFill>
                <pic:spPr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811B0E8" wp14:editId="49BC8B6C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177295573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EE8994" w14:textId="7AB0BE60" w:rsidR="00E466C0" w:rsidRDefault="00BC5CFD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13D9196" wp14:editId="036B704E">
          <wp:simplePos x="0" y="0"/>
          <wp:positionH relativeFrom="column">
            <wp:posOffset>5288915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1772955733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5"/>
                  <a:srcRect l="20038" t="30040" r="23378" b="27537"/>
                  <a:stretch>
                    <a:fillRect/>
                  </a:stretch>
                </pic:blipFill>
                <pic:spPr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6B5F2E8" wp14:editId="6CD90027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0" b="0"/>
          <wp:wrapNone/>
          <wp:docPr id="1772955730" name="image3.png" descr="Uma imagem contendo quar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Uma imagem contendo quarto&#10;&#10;Descrição gerada automaticamente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62FAE312" wp14:editId="4DE613DD">
          <wp:simplePos x="0" y="0"/>
          <wp:positionH relativeFrom="column">
            <wp:posOffset>3766184</wp:posOffset>
          </wp:positionH>
          <wp:positionV relativeFrom="paragraph">
            <wp:posOffset>44450</wp:posOffset>
          </wp:positionV>
          <wp:extent cx="640080" cy="664845"/>
          <wp:effectExtent l="0" t="0" r="0" b="0"/>
          <wp:wrapNone/>
          <wp:docPr id="1772955735" name="image1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Ícone&#10;&#10;Descrição gerada automaticamente"/>
                  <pic:cNvPicPr preferRelativeResize="0"/>
                </pic:nvPicPr>
                <pic:blipFill>
                  <a:blip r:embed="rId7"/>
                  <a:srcRect l="14418" r="14337"/>
                  <a:stretch>
                    <a:fillRect/>
                  </a:stretch>
                </pic:blipFill>
                <pic:spPr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20A9AF" w14:textId="2AA44325" w:rsidR="00E466C0" w:rsidRDefault="00E466C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AC63" w14:textId="77777777" w:rsidR="00E975D8" w:rsidRDefault="00E975D8">
      <w:r>
        <w:separator/>
      </w:r>
    </w:p>
  </w:footnote>
  <w:footnote w:type="continuationSeparator" w:id="0">
    <w:p w14:paraId="7F87D320" w14:textId="77777777" w:rsidR="00E975D8" w:rsidRDefault="00E9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8176" w14:textId="77777777" w:rsidR="00E466C0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 wp14:anchorId="44815423" wp14:editId="3085AC4A">
          <wp:extent cx="2860065" cy="1202395"/>
          <wp:effectExtent l="0" t="0" r="0" b="0"/>
          <wp:docPr id="1772955732" name="image4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, nome da empresa&#10;&#10;Descrição gerada automaticamente"/>
                  <pic:cNvPicPr preferRelativeResize="0"/>
                </pic:nvPicPr>
                <pic:blipFill>
                  <a:blip r:embed="rId1"/>
                  <a:srcRect l="1322" t="13641" r="1443" b="13680"/>
                  <a:stretch>
                    <a:fillRect/>
                  </a:stretch>
                </pic:blipFill>
                <pic:spPr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C0"/>
    <w:rsid w:val="000D0E6E"/>
    <w:rsid w:val="001555F9"/>
    <w:rsid w:val="002D740E"/>
    <w:rsid w:val="002F6545"/>
    <w:rsid w:val="00372979"/>
    <w:rsid w:val="00422731"/>
    <w:rsid w:val="00477469"/>
    <w:rsid w:val="0049300F"/>
    <w:rsid w:val="004964EF"/>
    <w:rsid w:val="006017F0"/>
    <w:rsid w:val="006717DC"/>
    <w:rsid w:val="0099775F"/>
    <w:rsid w:val="00AA5283"/>
    <w:rsid w:val="00AD4596"/>
    <w:rsid w:val="00B16A16"/>
    <w:rsid w:val="00BC5CFD"/>
    <w:rsid w:val="00D219DC"/>
    <w:rsid w:val="00E466C0"/>
    <w:rsid w:val="00E975D8"/>
    <w:rsid w:val="00F34D1A"/>
    <w:rsid w:val="00F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1FE71"/>
  <w15:docId w15:val="{DCC6BF77-1ED2-4EFC-B56E-584C190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45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9D21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1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55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95569"/>
    <w:pPr>
      <w:widowControl/>
      <w:tabs>
        <w:tab w:val="center" w:pos="4252"/>
        <w:tab w:val="right" w:pos="8504"/>
      </w:tabs>
    </w:pPr>
    <w:rPr>
      <w:rFonts w:eastAsiaTheme="minorHAnsi" w:cstheme="minorBidi"/>
      <w:kern w:val="2"/>
      <w:sz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5569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22F1A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7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Eng2Jfca+tjECxQzpdnRgCEGg==">CgMxLjAyCGguZ2pkZ3hzMgloLjMwajB6bGwyCWguMWZvYjl0ZTgAciExU0k5Wmg0NnczRG1TZGF3bmhyckhHVWVVMThMRW55RDk=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Ferreira</dc:creator>
  <cp:lastModifiedBy>Túlio Vulcão Colares</cp:lastModifiedBy>
  <cp:revision>2</cp:revision>
  <dcterms:created xsi:type="dcterms:W3CDTF">2023-11-02T15:21:00Z</dcterms:created>
  <dcterms:modified xsi:type="dcterms:W3CDTF">2023-11-02T15:21:00Z</dcterms:modified>
</cp:coreProperties>
</file>