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929C" w14:textId="450CF27C" w:rsidR="00A942DD" w:rsidRPr="000B745E" w:rsidRDefault="00E46CC8">
      <w:pPr>
        <w:spacing w:line="240" w:lineRule="auto"/>
        <w:jc w:val="both"/>
        <w:rPr>
          <w:rFonts w:eastAsia="Times New Roman"/>
          <w:b/>
          <w:sz w:val="20"/>
          <w:szCs w:val="20"/>
          <w:highlight w:val="yellow"/>
          <w:lang w:val="pt-BR"/>
        </w:rPr>
      </w:pPr>
      <w:r w:rsidRPr="000B745E">
        <w:rPr>
          <w:rFonts w:eastAsia="Times New Roman"/>
          <w:b/>
          <w:sz w:val="20"/>
          <w:szCs w:val="20"/>
          <w:lang w:val="pt-BR"/>
        </w:rPr>
        <w:t>ARÉA TEMÁTICA:</w:t>
      </w:r>
      <w:r w:rsidR="00E42554" w:rsidRPr="000B745E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7A2916F1" w14:textId="3EE53269" w:rsidR="00A942DD" w:rsidRPr="00D555EE" w:rsidRDefault="00E46CC8" w:rsidP="00D555E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B745E">
        <w:rPr>
          <w:rFonts w:eastAsia="Times New Roman"/>
          <w:b/>
          <w:sz w:val="20"/>
          <w:szCs w:val="20"/>
          <w:lang w:val="pt-BR"/>
        </w:rPr>
        <w:t>SUBÁREA TEMÁTICA:</w:t>
      </w:r>
      <w:r w:rsidR="00E42554" w:rsidRPr="000B745E">
        <w:rPr>
          <w:rFonts w:eastAsia="Times New Roman"/>
          <w:b/>
          <w:sz w:val="20"/>
          <w:szCs w:val="20"/>
          <w:lang w:val="pt-BR"/>
        </w:rPr>
        <w:t xml:space="preserve"> Vertebrados</w:t>
      </w:r>
    </w:p>
    <w:p w14:paraId="15621D8E" w14:textId="01B2EC6D" w:rsidR="00A942DD" w:rsidRPr="004F6F60" w:rsidRDefault="00351665" w:rsidP="00D702AA">
      <w:pPr>
        <w:pStyle w:val="04xlpa"/>
        <w:ind w:firstLine="567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507BFB" w:rsidRPr="004F6F60">
        <w:rPr>
          <w:rFonts w:ascii="Arial" w:hAnsi="Arial" w:cs="Arial"/>
          <w:b/>
          <w:sz w:val="20"/>
          <w:szCs w:val="20"/>
        </w:rPr>
        <w:t xml:space="preserve">Análises de prevalências </w:t>
      </w:r>
      <w:r w:rsidR="004F6F60" w:rsidRPr="004F6F60">
        <w:rPr>
          <w:rFonts w:ascii="Arial" w:hAnsi="Arial" w:cs="Arial"/>
          <w:b/>
          <w:sz w:val="20"/>
          <w:szCs w:val="20"/>
        </w:rPr>
        <w:t xml:space="preserve">e frequência relativa </w:t>
      </w:r>
      <w:r w:rsidR="00507BFB" w:rsidRPr="004F6F60">
        <w:rPr>
          <w:rFonts w:ascii="Arial" w:hAnsi="Arial" w:cs="Arial"/>
          <w:b/>
          <w:sz w:val="20"/>
          <w:szCs w:val="20"/>
        </w:rPr>
        <w:t>das</w:t>
      </w:r>
      <w:r w:rsidR="00A40B36" w:rsidRPr="004F6F60">
        <w:rPr>
          <w:rFonts w:ascii="Arial" w:hAnsi="Arial" w:cs="Arial"/>
          <w:b/>
          <w:sz w:val="20"/>
          <w:szCs w:val="20"/>
        </w:rPr>
        <w:t xml:space="preserve"> larvas de</w:t>
      </w:r>
      <w:r w:rsidR="004F6F60" w:rsidRPr="004F6F60">
        <w:rPr>
          <w:rFonts w:ascii="Arial" w:hAnsi="Arial" w:cs="Arial"/>
          <w:b/>
          <w:sz w:val="20"/>
          <w:szCs w:val="20"/>
        </w:rPr>
        <w:t xml:space="preserve"> Anuros</w:t>
      </w:r>
    </w:p>
    <w:p w14:paraId="701489C1" w14:textId="77777777" w:rsidR="00A942DD" w:rsidRPr="000B745E" w:rsidRDefault="00A942DD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5EF5A1A7" w14:textId="10558653" w:rsidR="00A942DD" w:rsidRPr="000B745E" w:rsidRDefault="00130765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 w:rsidRPr="000B745E">
        <w:rPr>
          <w:rFonts w:eastAsia="Times New Roman"/>
          <w:sz w:val="20"/>
          <w:szCs w:val="20"/>
          <w:lang w:val="pt-BR"/>
        </w:rPr>
        <w:t>Diogo Rodrigues de Oliveira</w:t>
      </w:r>
      <w:r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0B745E">
        <w:rPr>
          <w:rFonts w:eastAsia="Times New Roman"/>
          <w:sz w:val="20"/>
          <w:szCs w:val="20"/>
          <w:lang w:val="pt-BR"/>
        </w:rPr>
        <w:t>, Clara de Sousa Leal Reis</w:t>
      </w:r>
      <w:r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0B745E">
        <w:rPr>
          <w:rFonts w:eastAsia="Times New Roman"/>
          <w:sz w:val="20"/>
          <w:szCs w:val="20"/>
          <w:lang w:val="pt-BR"/>
        </w:rPr>
        <w:t>,</w:t>
      </w:r>
      <w:r w:rsidR="00AF7D4C" w:rsidRPr="000B745E">
        <w:rPr>
          <w:rFonts w:eastAsia="Times New Roman"/>
          <w:sz w:val="20"/>
          <w:szCs w:val="20"/>
          <w:lang w:val="pt-BR"/>
        </w:rPr>
        <w:t xml:space="preserve"> Kléssia Denise Soares dos Santos Sousa</w:t>
      </w:r>
      <w:r w:rsidR="00AF7D4C"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AF7D4C" w:rsidRPr="000B745E">
        <w:rPr>
          <w:rFonts w:eastAsia="Times New Roman"/>
          <w:sz w:val="20"/>
          <w:szCs w:val="20"/>
          <w:lang w:val="pt-BR"/>
        </w:rPr>
        <w:t>,</w:t>
      </w:r>
      <w:r w:rsidRPr="000B745E">
        <w:rPr>
          <w:rFonts w:eastAsia="Times New Roman"/>
          <w:sz w:val="20"/>
          <w:szCs w:val="20"/>
          <w:lang w:val="pt-BR"/>
        </w:rPr>
        <w:t xml:space="preserve"> Nathannael Ribeiro Cardoso Beirão</w:t>
      </w:r>
      <w:r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776AFD">
        <w:rPr>
          <w:rFonts w:eastAsia="Times New Roman"/>
          <w:sz w:val="20"/>
          <w:szCs w:val="20"/>
          <w:lang w:val="pt-BR"/>
        </w:rPr>
        <w:t>, Maria Vitó</w:t>
      </w:r>
      <w:r w:rsidRPr="000B745E">
        <w:rPr>
          <w:rFonts w:eastAsia="Times New Roman"/>
          <w:sz w:val="20"/>
          <w:szCs w:val="20"/>
          <w:lang w:val="pt-BR"/>
        </w:rPr>
        <w:t xml:space="preserve">ria </w:t>
      </w:r>
      <w:r w:rsidR="00AF7D4C" w:rsidRPr="000B745E">
        <w:rPr>
          <w:rFonts w:eastAsia="Times New Roman"/>
          <w:sz w:val="20"/>
          <w:szCs w:val="20"/>
          <w:lang w:val="pt-BR"/>
        </w:rPr>
        <w:t>da Silva Ramos</w:t>
      </w:r>
      <w:r w:rsidR="00AF7D4C"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AF7D4C" w:rsidRPr="000B745E">
        <w:rPr>
          <w:rFonts w:eastAsia="Times New Roman"/>
          <w:sz w:val="20"/>
          <w:szCs w:val="20"/>
          <w:lang w:val="pt-BR"/>
        </w:rPr>
        <w:t>, Joara de Sousa Andrade</w:t>
      </w:r>
      <w:r w:rsidR="00AF7D4C"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AF7D4C" w:rsidRPr="000B745E">
        <w:rPr>
          <w:rFonts w:eastAsia="Times New Roman"/>
          <w:sz w:val="20"/>
          <w:szCs w:val="20"/>
          <w:lang w:val="pt-BR"/>
        </w:rPr>
        <w:t>, Diogo Brunno e Silva Barbosa</w:t>
      </w:r>
      <w:r w:rsidR="00AF7D4C"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FB6D06" w:rsidRPr="000B745E">
        <w:rPr>
          <w:rFonts w:eastAsia="Times New Roman"/>
          <w:sz w:val="20"/>
          <w:szCs w:val="20"/>
          <w:lang w:val="pt-BR"/>
        </w:rPr>
        <w:t>, Mauro Sérgio Cruz Souz</w:t>
      </w:r>
      <w:r w:rsidR="00AF7D4C" w:rsidRPr="000B745E">
        <w:rPr>
          <w:rFonts w:eastAsia="Times New Roman"/>
          <w:sz w:val="20"/>
          <w:szCs w:val="20"/>
          <w:lang w:val="pt-BR"/>
        </w:rPr>
        <w:t>a Lima</w:t>
      </w:r>
      <w:r w:rsidR="00AF7D4C" w:rsidRPr="000B745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AF7D4C" w:rsidRPr="000B745E">
        <w:rPr>
          <w:rFonts w:eastAsia="Times New Roman"/>
          <w:sz w:val="20"/>
          <w:szCs w:val="20"/>
          <w:lang w:val="pt-BR"/>
        </w:rPr>
        <w:t>.</w:t>
      </w:r>
      <w:r w:rsidR="00E46CC8" w:rsidRPr="000B745E">
        <w:rPr>
          <w:rFonts w:eastAsia="Times New Roman"/>
          <w:sz w:val="20"/>
          <w:szCs w:val="20"/>
        </w:rPr>
        <w:t xml:space="preserve"> </w:t>
      </w:r>
    </w:p>
    <w:p w14:paraId="10477D48" w14:textId="77777777" w:rsidR="00AF7D4C" w:rsidRPr="000B745E" w:rsidRDefault="00AF7D4C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</w:p>
    <w:p w14:paraId="219DDF11" w14:textId="0CD2A6F8" w:rsidR="00A942DD" w:rsidRPr="000B745E" w:rsidRDefault="000E5BBE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0B745E">
        <w:rPr>
          <w:rFonts w:eastAsia="Times New Roman"/>
          <w:sz w:val="20"/>
          <w:szCs w:val="20"/>
        </w:rPr>
        <w:t>¹ Universidade Federal d</w:t>
      </w:r>
      <w:r w:rsidRPr="000B745E">
        <w:rPr>
          <w:rFonts w:eastAsia="Times New Roman"/>
          <w:sz w:val="20"/>
          <w:szCs w:val="20"/>
          <w:lang w:val="pt-BR"/>
        </w:rPr>
        <w:t>o Piauí</w:t>
      </w:r>
      <w:r w:rsidR="00E46CC8" w:rsidRPr="000B745E">
        <w:rPr>
          <w:rFonts w:eastAsia="Times New Roman"/>
          <w:sz w:val="20"/>
          <w:szCs w:val="20"/>
          <w:lang w:val="pt-BR"/>
        </w:rPr>
        <w:t xml:space="preserve"> </w:t>
      </w:r>
      <w:r w:rsidR="00E46CC8" w:rsidRPr="000B745E">
        <w:rPr>
          <w:rFonts w:eastAsia="Times New Roman"/>
          <w:sz w:val="20"/>
          <w:szCs w:val="20"/>
        </w:rPr>
        <w:t>(</w:t>
      </w:r>
      <w:r w:rsidRPr="000B745E">
        <w:rPr>
          <w:rFonts w:eastAsia="Times New Roman"/>
          <w:sz w:val="20"/>
          <w:szCs w:val="20"/>
          <w:lang w:val="pt-BR"/>
        </w:rPr>
        <w:t>UFPI</w:t>
      </w:r>
      <w:r w:rsidR="00E46CC8" w:rsidRPr="000B745E">
        <w:rPr>
          <w:rFonts w:eastAsia="Times New Roman"/>
          <w:sz w:val="20"/>
          <w:szCs w:val="20"/>
        </w:rPr>
        <w:t xml:space="preserve">), </w:t>
      </w:r>
      <w:r w:rsidR="00E46CC8" w:rsidRPr="000B745E">
        <w:rPr>
          <w:rFonts w:eastAsia="Times New Roman"/>
          <w:iCs/>
          <w:sz w:val="20"/>
          <w:szCs w:val="20"/>
        </w:rPr>
        <w:t xml:space="preserve">Campus </w:t>
      </w:r>
      <w:r w:rsidR="00512D40" w:rsidRPr="000B745E">
        <w:rPr>
          <w:rFonts w:eastAsia="Times New Roman"/>
          <w:iCs/>
          <w:sz w:val="20"/>
          <w:szCs w:val="20"/>
          <w:lang w:val="pt-BR"/>
        </w:rPr>
        <w:t>Amílcar</w:t>
      </w:r>
      <w:r w:rsidRPr="000B745E">
        <w:rPr>
          <w:rFonts w:eastAsia="Times New Roman"/>
          <w:iCs/>
          <w:sz w:val="20"/>
          <w:szCs w:val="20"/>
          <w:lang w:val="pt-BR"/>
        </w:rPr>
        <w:t xml:space="preserve"> Ferreira Sobral. </w:t>
      </w:r>
      <w:r w:rsidRPr="000B745E">
        <w:rPr>
          <w:rFonts w:eastAsia="Times New Roman"/>
          <w:sz w:val="20"/>
          <w:szCs w:val="20"/>
        </w:rPr>
        <w:t>E-mail</w:t>
      </w:r>
      <w:r w:rsidRPr="000B745E">
        <w:rPr>
          <w:rFonts w:eastAsia="Times New Roman"/>
          <w:sz w:val="20"/>
          <w:szCs w:val="20"/>
          <w:lang w:val="pt-BR"/>
        </w:rPr>
        <w:t xml:space="preserve">: </w:t>
      </w:r>
      <w:hyperlink r:id="rId7" w:history="1">
        <w:r w:rsidRPr="000B745E">
          <w:rPr>
            <w:rStyle w:val="Hyperlink"/>
            <w:rFonts w:eastAsia="Times New Roman"/>
            <w:sz w:val="20"/>
            <w:szCs w:val="20"/>
            <w:lang w:val="pt-BR"/>
          </w:rPr>
          <w:t>diogorodrigued.dg@gmail.com</w:t>
        </w:r>
      </w:hyperlink>
      <w:r w:rsidRPr="000B745E">
        <w:rPr>
          <w:rFonts w:eastAsia="Times New Roman"/>
          <w:sz w:val="20"/>
          <w:szCs w:val="20"/>
          <w:lang w:val="pt-BR"/>
        </w:rPr>
        <w:t xml:space="preserve"> </w:t>
      </w:r>
    </w:p>
    <w:p w14:paraId="40835396" w14:textId="77777777" w:rsidR="000E5BBE" w:rsidRPr="000B745E" w:rsidRDefault="000E5BBE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</w:p>
    <w:p w14:paraId="3CDBA849" w14:textId="5EB5CB7E" w:rsidR="003C3D14" w:rsidRPr="005C1D17" w:rsidRDefault="00E46CC8">
      <w:pPr>
        <w:spacing w:line="240" w:lineRule="auto"/>
        <w:rPr>
          <w:rFonts w:eastAsiaTheme="minorEastAsia"/>
          <w:b/>
          <w:sz w:val="20"/>
          <w:szCs w:val="20"/>
          <w:lang w:eastAsia="zh-CN"/>
        </w:rPr>
      </w:pPr>
      <w:r w:rsidRPr="005C1D17">
        <w:rPr>
          <w:rFonts w:eastAsia="Times New Roman"/>
          <w:b/>
          <w:sz w:val="20"/>
          <w:szCs w:val="20"/>
        </w:rPr>
        <w:t>INTRODUÇÃO</w:t>
      </w:r>
    </w:p>
    <w:p w14:paraId="51D3CEB0" w14:textId="57273283" w:rsidR="003C3D14" w:rsidRPr="005C1D17" w:rsidRDefault="003C3D14" w:rsidP="00BA5454">
      <w:pPr>
        <w:pStyle w:val="04xlpa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Os </w:t>
      </w:r>
      <w:r w:rsidR="004E377B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Anuros 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apresentam uma da</w:t>
      </w:r>
      <w:r w:rsidR="003772B7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s características mais notáveis: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 ciclo de vida bifásico, </w:t>
      </w:r>
      <w:r w:rsidR="003772B7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com 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processo de metamorfose dividido </w:t>
      </w:r>
      <w:r w:rsidR="00FB6D06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em etapas;</w:t>
      </w:r>
      <w:r w:rsidR="003772B7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 i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niciando na fase de ovo, posteriormente sua evolução para girinos (larva), sendo em sua grande maioria restrito a corpos d'água, obtendo hábitos terrestres em sua fase de imago e </w:t>
      </w:r>
      <w:r w:rsidR="003772B7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tornando-se 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adultos (Duelman &amp; Trueb</w:t>
      </w:r>
      <w:r w:rsidR="00B72B5C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, 1994</w:t>
      </w:r>
      <w:r w:rsidR="00565A6A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). N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esta fase</w:t>
      </w:r>
      <w:r w:rsidR="00565A6A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,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 possuem diferentes </w:t>
      </w:r>
      <w:r w:rsidR="00565A6A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estágios morfológicos, 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são descritos 46 estágios, iniciando na fase de z</w:t>
      </w:r>
      <w:r w:rsidR="00565A6A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igoto até imago 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(Gosner</w:t>
      </w:r>
      <w:r w:rsidR="00565A6A"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,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 1960).</w:t>
      </w:r>
    </w:p>
    <w:p w14:paraId="45AD0B6E" w14:textId="5100A8BB" w:rsidR="00010527" w:rsidRPr="005C1D17" w:rsidRDefault="00010527" w:rsidP="00BA5454">
      <w:pPr>
        <w:pStyle w:val="04xlpa"/>
        <w:spacing w:before="0"/>
        <w:ind w:firstLine="720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 xml:space="preserve">Sendo o Brasil o país com a maior diversidade desse grupo, chegando a um total 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de 1144 espécies de anuros d</w:t>
      </w:r>
      <w:r w:rsidR="00A625AD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escritas (Segalla </w:t>
      </w:r>
      <w:r w:rsidR="00A625AD" w:rsidRPr="005C1D17"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>et al</w:t>
      </w:r>
      <w:r w:rsidR="00A625AD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r w:rsidR="00512D40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,</w:t>
      </w:r>
      <w:r w:rsidR="00A625AD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2021). Destes</w:t>
      </w:r>
      <w:r w:rsidR="00565A6A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,</w:t>
      </w:r>
      <w:r w:rsidR="00A625AD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565A6A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73,7% das larvas de espécies 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tiveram s</w:t>
      </w:r>
      <w:r w:rsidR="00B72B5C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uas morfologias descritas (Provete</w:t>
      </w:r>
      <w:r w:rsidR="00512D40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,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2023). </w:t>
      </w:r>
      <w:r w:rsidR="00A625AD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No entanto</w:t>
      </w:r>
      <w:r w:rsidR="00565A6A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, as descrições ocorr</w:t>
      </w:r>
      <w:r w:rsidR="00A625AD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em</w:t>
      </w:r>
      <w:r w:rsidR="00565A6A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constantemente nos estágios de maturações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iguais ou próximos ao</w:t>
      </w:r>
      <w:r w:rsidR="00565A6A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>s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37 (Schulze </w:t>
      </w:r>
      <w:r w:rsidRPr="005C1D17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et al.,</w:t>
      </w:r>
      <w:r w:rsidR="00565A6A"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2015;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Dubeaux </w:t>
      </w:r>
      <w:r w:rsidRPr="005C1D17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et al.,</w:t>
      </w:r>
      <w:r w:rsidRPr="005C1D1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2020). </w:t>
      </w:r>
    </w:p>
    <w:p w14:paraId="1A9C5E78" w14:textId="46A92DE1" w:rsidR="00010527" w:rsidRPr="005C1D17" w:rsidRDefault="00010527" w:rsidP="00BA5454">
      <w:pPr>
        <w:pStyle w:val="04xlpa"/>
        <w:spacing w:before="240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Diferentes alterações em </w:t>
      </w:r>
      <w:r w:rsidR="00512D40" w:rsidRPr="005C1D17">
        <w:rPr>
          <w:rFonts w:ascii="Arial" w:hAnsi="Arial" w:cs="Arial"/>
          <w:sz w:val="20"/>
          <w:szCs w:val="20"/>
          <w:shd w:val="clear" w:color="auto" w:fill="FFFFFF"/>
        </w:rPr>
        <w:t>seus fenótipos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são comuns com o avançar dos estágios, o que contribui para uma melhor análise de iden</w:t>
      </w:r>
      <w:r w:rsidR="00565A6A" w:rsidRPr="005C1D17">
        <w:rPr>
          <w:rFonts w:ascii="Arial" w:hAnsi="Arial" w:cs="Arial"/>
          <w:sz w:val="20"/>
          <w:szCs w:val="20"/>
          <w:shd w:val="clear" w:color="auto" w:fill="FFFFFF"/>
        </w:rPr>
        <w:t>tificação taxonômica no estágio 37 (Duellman &amp; Trueb,</w:t>
      </w:r>
      <w:r w:rsidR="00512D40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>1994). Nessas fases por exemplo, é possível ser observado um melhor desenvolvimento de suas cápsulas nasais externas e dos seus discos orais, consistindo no aparecimento de diferentes estruturas bucais, como as lâminas queratinizadas, fileiras de dentes, lábios superiores e inferiores (Altig &amp; Mc Diarmid 2015). Além do desenvolvimento anatômico de seus membros posteriores, no qual todos os seus dedos encontram-se totalmente separados (</w:t>
      </w:r>
      <w:r w:rsidRPr="005C1D17">
        <w:rPr>
          <w:rStyle w:val="wdyuqq"/>
          <w:rFonts w:ascii="Arial" w:hAnsi="Arial" w:cs="Arial"/>
          <w:bCs/>
          <w:color w:val="000000"/>
          <w:sz w:val="20"/>
          <w:szCs w:val="20"/>
        </w:rPr>
        <w:t>Gosner 1960).</w:t>
      </w:r>
    </w:p>
    <w:p w14:paraId="7BE0DD75" w14:textId="72A5CC99" w:rsidR="00010527" w:rsidRPr="005C1D17" w:rsidRDefault="00010527" w:rsidP="00BA5454">
      <w:pPr>
        <w:pStyle w:val="04xlpa"/>
        <w:spacing w:before="0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1D17">
        <w:rPr>
          <w:rFonts w:ascii="Arial" w:hAnsi="Arial" w:cs="Arial"/>
          <w:bCs/>
          <w:color w:val="000000"/>
          <w:sz w:val="20"/>
          <w:szCs w:val="20"/>
        </w:rPr>
        <w:t xml:space="preserve">A redução de pesquisas relacionadas as diversidades fenotípicas que ocorrem entre os estágios das larvas de anuros </w:t>
      </w:r>
      <w:r w:rsidRPr="005C1D17">
        <w:rPr>
          <w:rFonts w:ascii="Arial" w:hAnsi="Arial" w:cs="Arial"/>
          <w:bCs/>
          <w:sz w:val="20"/>
          <w:szCs w:val="20"/>
        </w:rPr>
        <w:t>(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Alvez-Ferreira </w:t>
      </w:r>
      <w:r w:rsidRPr="005C1D17">
        <w:rPr>
          <w:rFonts w:ascii="Arial" w:hAnsi="Arial" w:cs="Arial"/>
          <w:i/>
          <w:sz w:val="20"/>
          <w:szCs w:val="20"/>
          <w:shd w:val="clear" w:color="auto" w:fill="FFFFFF"/>
        </w:rPr>
        <w:t>et al.,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2021, Lima </w:t>
      </w:r>
      <w:r w:rsidRPr="005C1D17">
        <w:rPr>
          <w:rFonts w:ascii="Arial" w:hAnsi="Arial" w:cs="Arial"/>
          <w:i/>
          <w:sz w:val="20"/>
          <w:szCs w:val="20"/>
          <w:shd w:val="clear" w:color="auto" w:fill="FFFFFF"/>
        </w:rPr>
        <w:t>et al.,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2022), explica a existência de lacunas em relação a descrições das diferentes fases, sendo que cerca de 26% das </w:t>
      </w:r>
      <w:r w:rsidR="00A625AD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espécies </w:t>
      </w:r>
      <w:r w:rsidR="00352AF2" w:rsidRPr="005C1D17">
        <w:rPr>
          <w:rFonts w:ascii="Arial" w:hAnsi="Arial" w:cs="Arial"/>
          <w:sz w:val="20"/>
          <w:szCs w:val="20"/>
          <w:shd w:val="clear" w:color="auto" w:fill="FFFFFF"/>
        </w:rPr>
        <w:t>de anuros de nossa diversidade</w:t>
      </w:r>
      <w:r w:rsidR="00FB6D06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não possuem a descrição de sua fase larval</w:t>
      </w:r>
      <w:r w:rsidR="00352AF2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72B5C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(Provete 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>2023).</w:t>
      </w:r>
    </w:p>
    <w:p w14:paraId="7C9CD6B9" w14:textId="37D93F11" w:rsidR="00AE4BB5" w:rsidRPr="005C1D17" w:rsidRDefault="0048518D" w:rsidP="00BA5454">
      <w:pPr>
        <w:pStyle w:val="04xlpa"/>
        <w:spacing w:before="0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Sendo assim os objetivos proposto nesse estudo concentra-se em </w:t>
      </w:r>
      <w:r w:rsidR="00532525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investigar e descrever </w:t>
      </w:r>
      <w:r w:rsidRPr="005C1D17">
        <w:rPr>
          <w:rFonts w:ascii="Arial" w:hAnsi="Arial" w:cs="Arial"/>
          <w:sz w:val="20"/>
          <w:szCs w:val="20"/>
          <w:shd w:val="clear" w:color="auto" w:fill="FFFFFF"/>
        </w:rPr>
        <w:t>os diferent</w:t>
      </w:r>
      <w:r w:rsidR="00AE4BB5" w:rsidRPr="005C1D17">
        <w:rPr>
          <w:rFonts w:ascii="Arial" w:hAnsi="Arial" w:cs="Arial"/>
          <w:sz w:val="20"/>
          <w:szCs w:val="20"/>
          <w:shd w:val="clear" w:color="auto" w:fill="FFFFFF"/>
        </w:rPr>
        <w:t>es estágios</w:t>
      </w:r>
      <w:r w:rsidR="006E6593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2525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larvais </w:t>
      </w:r>
      <w:r w:rsidR="00AE4BB5" w:rsidRPr="005C1D17">
        <w:rPr>
          <w:rFonts w:ascii="Arial" w:hAnsi="Arial" w:cs="Arial"/>
          <w:sz w:val="20"/>
          <w:szCs w:val="20"/>
          <w:shd w:val="clear" w:color="auto" w:fill="FFFFFF"/>
        </w:rPr>
        <w:t>de anuro</w:t>
      </w:r>
      <w:r w:rsidR="003C3D14" w:rsidRPr="005C1D1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AE4BB5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coletados, </w:t>
      </w:r>
      <w:r w:rsidR="00532525" w:rsidRPr="005C1D17">
        <w:rPr>
          <w:rFonts w:ascii="Arial" w:hAnsi="Arial" w:cs="Arial"/>
          <w:sz w:val="20"/>
          <w:szCs w:val="20"/>
          <w:shd w:val="clear" w:color="auto" w:fill="FFFFFF"/>
        </w:rPr>
        <w:t>verificando através da prevalência</w:t>
      </w:r>
      <w:r w:rsidR="00AE4BB5" w:rsidRPr="005C1D1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532525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E4BB5" w:rsidRPr="005C1D17">
        <w:rPr>
          <w:rFonts w:ascii="Arial" w:hAnsi="Arial" w:cs="Arial"/>
          <w:sz w:val="20"/>
          <w:szCs w:val="20"/>
          <w:shd w:val="clear" w:color="auto" w:fill="FFFFFF"/>
        </w:rPr>
        <w:t>a frequência relativa de indivíduos</w:t>
      </w:r>
      <w:r w:rsidR="00352AF2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32525" w:rsidRPr="005C1D17">
        <w:rPr>
          <w:rFonts w:ascii="Arial" w:hAnsi="Arial" w:cs="Arial"/>
          <w:sz w:val="20"/>
          <w:szCs w:val="20"/>
          <w:shd w:val="clear" w:color="auto" w:fill="FFFFFF"/>
        </w:rPr>
        <w:t>é estágios concentrados dentro da área de estudo proposta.</w:t>
      </w:r>
      <w:r w:rsidR="00FB6D06" w:rsidRPr="005C1D1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7E675EA" w14:textId="29D98B22" w:rsidR="00A942DD" w:rsidRPr="005C1D17" w:rsidRDefault="00E46CC8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5C1D17">
        <w:rPr>
          <w:rFonts w:eastAsia="Times New Roman"/>
          <w:b/>
          <w:sz w:val="20"/>
          <w:szCs w:val="20"/>
        </w:rPr>
        <w:t>MATERIAL E MÉTODOS</w:t>
      </w:r>
    </w:p>
    <w:p w14:paraId="19BB7251" w14:textId="77777777" w:rsidR="00512D40" w:rsidRPr="005C1D17" w:rsidRDefault="00512D40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4F464B7A" w14:textId="77777777" w:rsidR="000E5BBE" w:rsidRPr="005C1D17" w:rsidRDefault="00010527" w:rsidP="000E5BBE">
      <w:pPr>
        <w:pStyle w:val="Ttulo1"/>
        <w:shd w:val="clear" w:color="auto" w:fill="FFFFFF"/>
        <w:spacing w:before="0" w:after="0" w:line="240" w:lineRule="auto"/>
        <w:jc w:val="both"/>
        <w:textAlignment w:val="baseline"/>
        <w:rPr>
          <w:rFonts w:eastAsiaTheme="minorEastAsia"/>
          <w:b/>
          <w:sz w:val="20"/>
          <w:szCs w:val="20"/>
          <w:lang w:val="pt-BR" w:eastAsia="zh-CN"/>
        </w:rPr>
      </w:pPr>
      <w:r w:rsidRPr="005C1D17">
        <w:rPr>
          <w:rFonts w:eastAsiaTheme="minorEastAsia"/>
          <w:b/>
          <w:sz w:val="20"/>
          <w:szCs w:val="20"/>
          <w:lang w:val="pt-BR" w:eastAsia="zh-CN"/>
        </w:rPr>
        <w:t>Área de estudo</w:t>
      </w:r>
      <w:r w:rsidR="000E5BBE" w:rsidRPr="005C1D17">
        <w:rPr>
          <w:rFonts w:eastAsiaTheme="minorEastAsia"/>
          <w:b/>
          <w:sz w:val="20"/>
          <w:szCs w:val="20"/>
          <w:lang w:val="pt-BR" w:eastAsia="zh-CN"/>
        </w:rPr>
        <w:t xml:space="preserve"> e Esforço Amostral</w:t>
      </w:r>
    </w:p>
    <w:p w14:paraId="56CA6D5F" w14:textId="38EFE60F" w:rsidR="00010527" w:rsidRPr="005C1D17" w:rsidRDefault="000E5BBE" w:rsidP="00926821">
      <w:pPr>
        <w:pStyle w:val="Ttulo1"/>
        <w:shd w:val="clear" w:color="auto" w:fill="FFFFFF"/>
        <w:spacing w:before="0" w:after="0" w:line="240" w:lineRule="auto"/>
        <w:ind w:firstLine="720"/>
        <w:jc w:val="both"/>
        <w:textAlignment w:val="baseline"/>
        <w:rPr>
          <w:rFonts w:eastAsiaTheme="minorEastAsia"/>
          <w:sz w:val="20"/>
          <w:szCs w:val="20"/>
          <w:lang w:val="pt-BR" w:eastAsia="zh-CN"/>
        </w:rPr>
      </w:pPr>
      <w:r w:rsidRPr="005C1D17">
        <w:rPr>
          <w:rFonts w:eastAsiaTheme="minorEastAsia"/>
          <w:sz w:val="20"/>
          <w:szCs w:val="20"/>
          <w:lang w:val="pt-BR" w:eastAsia="zh-CN"/>
        </w:rPr>
        <w:t xml:space="preserve">O trabalho de campo foi realizado em </w:t>
      </w:r>
      <w:r w:rsidR="00233348" w:rsidRPr="005C1D17">
        <w:rPr>
          <w:rFonts w:eastAsiaTheme="minorEastAsia"/>
          <w:sz w:val="20"/>
          <w:szCs w:val="20"/>
          <w:lang w:val="pt-BR" w:eastAsia="zh-CN"/>
        </w:rPr>
        <w:t xml:space="preserve">poça temporária, </w:t>
      </w:r>
      <w:r w:rsidR="00010527" w:rsidRPr="005C1D17">
        <w:rPr>
          <w:bCs/>
          <w:color w:val="202124"/>
          <w:sz w:val="20"/>
          <w:szCs w:val="20"/>
        </w:rPr>
        <w:t>6°47'16.8"S 43°02'30.2"W</w:t>
      </w:r>
      <w:r w:rsidR="00010527" w:rsidRPr="005C1D17">
        <w:rPr>
          <w:rFonts w:eastAsiaTheme="minorEastAsia"/>
          <w:sz w:val="20"/>
          <w:szCs w:val="20"/>
          <w:lang w:val="pt-BR" w:eastAsia="zh-CN"/>
        </w:rPr>
        <w:t xml:space="preserve">, localizada no </w:t>
      </w:r>
      <w:r w:rsidR="00512D40" w:rsidRPr="005C1D17">
        <w:rPr>
          <w:rFonts w:eastAsiaTheme="minorEastAsia"/>
          <w:sz w:val="20"/>
          <w:szCs w:val="20"/>
          <w:lang w:val="pt-BR" w:eastAsia="zh-CN"/>
        </w:rPr>
        <w:t>m</w:t>
      </w:r>
      <w:r w:rsidR="00010527" w:rsidRPr="005C1D17">
        <w:rPr>
          <w:rFonts w:eastAsiaTheme="minorEastAsia"/>
          <w:sz w:val="20"/>
          <w:szCs w:val="20"/>
          <w:lang w:val="pt-BR" w:eastAsia="zh-CN"/>
        </w:rPr>
        <w:t xml:space="preserve">unicípio de Floriano, estado do Piauí, Brasil. </w:t>
      </w:r>
      <w:r w:rsidR="00E41FCA" w:rsidRPr="005C1D17">
        <w:rPr>
          <w:rFonts w:eastAsiaTheme="minorEastAsia"/>
          <w:sz w:val="20"/>
          <w:szCs w:val="20"/>
          <w:lang w:val="pt-BR" w:eastAsia="zh-CN"/>
        </w:rPr>
        <w:t xml:space="preserve">Quanto ao esforço </w:t>
      </w:r>
      <w:r w:rsidR="005F4831" w:rsidRPr="005C1D17">
        <w:rPr>
          <w:rFonts w:eastAsiaTheme="minorEastAsia"/>
          <w:sz w:val="20"/>
          <w:szCs w:val="20"/>
          <w:lang w:val="pt-BR" w:eastAsia="zh-CN"/>
        </w:rPr>
        <w:t>amostral</w:t>
      </w:r>
      <w:r w:rsidR="00E41FCA" w:rsidRPr="005C1D17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010527" w:rsidRPr="005C1D17">
        <w:rPr>
          <w:rFonts w:eastAsiaTheme="minorEastAsia"/>
          <w:sz w:val="20"/>
          <w:szCs w:val="20"/>
          <w:lang w:val="pt-BR" w:eastAsia="zh-CN"/>
        </w:rPr>
        <w:t>Foi composto por quatro intervalos de tempo,</w:t>
      </w:r>
      <w:r w:rsidR="00D555EE" w:rsidRPr="005C1D17">
        <w:rPr>
          <w:rFonts w:eastAsiaTheme="minorEastAsia"/>
          <w:sz w:val="20"/>
          <w:szCs w:val="20"/>
          <w:lang w:val="pt-BR" w:eastAsia="zh-CN"/>
        </w:rPr>
        <w:t xml:space="preserve"> isto é as armadilhas foram verificadas primeiramente após 5 horas</w:t>
      </w:r>
      <w:r w:rsidR="00926821" w:rsidRPr="005C1D17">
        <w:rPr>
          <w:rFonts w:eastAsiaTheme="minorEastAsia"/>
          <w:sz w:val="20"/>
          <w:szCs w:val="20"/>
          <w:lang w:val="pt-BR" w:eastAsia="zh-CN"/>
        </w:rPr>
        <w:t xml:space="preserve"> de seu posicionamento</w:t>
      </w:r>
      <w:r w:rsidR="00D555EE" w:rsidRPr="005C1D17">
        <w:rPr>
          <w:rFonts w:eastAsiaTheme="minorEastAsia"/>
          <w:sz w:val="20"/>
          <w:szCs w:val="20"/>
          <w:lang w:val="pt-BR" w:eastAsia="zh-CN"/>
        </w:rPr>
        <w:t>,</w:t>
      </w:r>
      <w:r w:rsidR="00926821" w:rsidRPr="005C1D17">
        <w:rPr>
          <w:rFonts w:eastAsiaTheme="minorEastAsia"/>
          <w:sz w:val="20"/>
          <w:szCs w:val="20"/>
          <w:lang w:val="pt-BR" w:eastAsia="zh-CN"/>
        </w:rPr>
        <w:t xml:space="preserve"> a segunda verificação </w:t>
      </w:r>
      <w:r w:rsidR="00D555EE" w:rsidRPr="005C1D17">
        <w:rPr>
          <w:rFonts w:eastAsiaTheme="minorEastAsia"/>
          <w:sz w:val="20"/>
          <w:szCs w:val="20"/>
          <w:lang w:val="pt-BR" w:eastAsia="zh-CN"/>
        </w:rPr>
        <w:t>após 4 horas, te</w:t>
      </w:r>
      <w:r w:rsidR="00926821" w:rsidRPr="005C1D17">
        <w:rPr>
          <w:rFonts w:eastAsiaTheme="minorEastAsia"/>
          <w:sz w:val="20"/>
          <w:szCs w:val="20"/>
          <w:lang w:val="pt-BR" w:eastAsia="zh-CN"/>
        </w:rPr>
        <w:t>rceira 7 horas é quarta após 14 horas, totalizando</w:t>
      </w:r>
      <w:r w:rsidR="00010527" w:rsidRPr="005C1D17">
        <w:rPr>
          <w:rFonts w:eastAsiaTheme="minorEastAsia"/>
          <w:sz w:val="20"/>
          <w:szCs w:val="20"/>
          <w:lang w:val="pt-BR" w:eastAsia="zh-CN"/>
        </w:rPr>
        <w:t xml:space="preserve"> 30 horas de esforço amostral.</w:t>
      </w:r>
      <w:r w:rsidR="00926821" w:rsidRPr="005C1D17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2ED2BE7D" w14:textId="77777777" w:rsidR="00010527" w:rsidRPr="005C1D17" w:rsidRDefault="00010527" w:rsidP="00565A6A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64024B8E" w14:textId="77777777" w:rsidR="0063623C" w:rsidRPr="005C1D17" w:rsidRDefault="0063623C" w:rsidP="00565A6A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47195FFA" w14:textId="77777777" w:rsidR="0063623C" w:rsidRPr="005C1D17" w:rsidRDefault="0063623C" w:rsidP="00565A6A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7AAC71AB" w14:textId="77777777" w:rsidR="00926821" w:rsidRPr="005C1D17" w:rsidRDefault="00E41FCA" w:rsidP="00926821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5C1D17">
        <w:rPr>
          <w:b/>
          <w:sz w:val="20"/>
          <w:szCs w:val="20"/>
          <w:lang w:val="pt-BR" w:eastAsia="zh-CN"/>
        </w:rPr>
        <w:lastRenderedPageBreak/>
        <w:t>Armadilha de espera e Unidade Amostral</w:t>
      </w:r>
    </w:p>
    <w:p w14:paraId="3E6B3A74" w14:textId="4491B80A" w:rsidR="00010527" w:rsidRPr="005C1D17" w:rsidRDefault="00010527" w:rsidP="00926821">
      <w:pPr>
        <w:spacing w:line="240" w:lineRule="auto"/>
        <w:ind w:firstLine="720"/>
        <w:jc w:val="both"/>
        <w:rPr>
          <w:b/>
          <w:sz w:val="20"/>
          <w:szCs w:val="20"/>
          <w:lang w:val="pt-BR" w:eastAsia="zh-CN"/>
        </w:rPr>
      </w:pPr>
      <w:r w:rsidRPr="005C1D17">
        <w:rPr>
          <w:rFonts w:eastAsiaTheme="minorEastAsia"/>
          <w:sz w:val="20"/>
          <w:szCs w:val="20"/>
          <w:lang w:val="pt-BR" w:eastAsia="zh-CN"/>
        </w:rPr>
        <w:t xml:space="preserve">As armadilhas consistiram em covos feito de </w:t>
      </w:r>
      <w:r w:rsidRPr="005C1D17">
        <w:rPr>
          <w:sz w:val="20"/>
          <w:szCs w:val="20"/>
        </w:rPr>
        <w:t>garrafa tipo pet</w:t>
      </w:r>
      <w:r w:rsidRPr="005C1D17">
        <w:rPr>
          <w:sz w:val="20"/>
          <w:szCs w:val="20"/>
          <w:lang w:val="pt-BR"/>
        </w:rPr>
        <w:t xml:space="preserve"> de 2 litros</w:t>
      </w:r>
      <w:r w:rsidRPr="005C1D17">
        <w:rPr>
          <w:sz w:val="20"/>
          <w:szCs w:val="20"/>
        </w:rPr>
        <w:t>, cujo a extremidade superior foi cortada aproximadamente a 15 cm, formando um funil</w:t>
      </w:r>
      <w:r w:rsidRPr="005C1D17">
        <w:rPr>
          <w:sz w:val="20"/>
          <w:szCs w:val="20"/>
          <w:lang w:val="pt-BR"/>
        </w:rPr>
        <w:t xml:space="preserve"> invertido </w:t>
      </w:r>
      <w:r w:rsidRPr="005C1D17">
        <w:rPr>
          <w:sz w:val="20"/>
          <w:szCs w:val="20"/>
        </w:rPr>
        <w:t>e pre</w:t>
      </w:r>
      <w:r w:rsidR="000654DF" w:rsidRPr="005C1D17">
        <w:rPr>
          <w:sz w:val="20"/>
          <w:szCs w:val="20"/>
        </w:rPr>
        <w:t xml:space="preserve">so ao corpo restante da garrafa </w:t>
      </w:r>
      <w:r w:rsidR="000654DF" w:rsidRPr="005C1D17">
        <w:rPr>
          <w:sz w:val="20"/>
          <w:szCs w:val="20"/>
          <w:lang w:val="pt-BR"/>
        </w:rPr>
        <w:t>(</w:t>
      </w:r>
      <w:r w:rsidR="00DD3053" w:rsidRPr="005C1D17">
        <w:rPr>
          <w:sz w:val="20"/>
          <w:szCs w:val="20"/>
          <w:lang w:val="pt-BR"/>
        </w:rPr>
        <w:t>Silva-</w:t>
      </w:r>
      <w:r w:rsidR="000B745E" w:rsidRPr="005C1D17">
        <w:rPr>
          <w:sz w:val="20"/>
          <w:szCs w:val="20"/>
          <w:lang w:val="pt-BR"/>
        </w:rPr>
        <w:t xml:space="preserve">Soares </w:t>
      </w:r>
      <w:r w:rsidR="000B745E" w:rsidRPr="005C1D17">
        <w:rPr>
          <w:i/>
          <w:sz w:val="20"/>
          <w:szCs w:val="20"/>
          <w:lang w:val="pt-BR"/>
        </w:rPr>
        <w:t>et al</w:t>
      </w:r>
      <w:r w:rsidR="000B745E" w:rsidRPr="005C1D17">
        <w:rPr>
          <w:sz w:val="20"/>
          <w:szCs w:val="20"/>
          <w:lang w:val="pt-BR"/>
        </w:rPr>
        <w:t>., 2023</w:t>
      </w:r>
      <w:r w:rsidR="000654DF" w:rsidRPr="005C1D17">
        <w:rPr>
          <w:sz w:val="20"/>
          <w:szCs w:val="20"/>
          <w:lang w:val="pt-BR"/>
        </w:rPr>
        <w:t xml:space="preserve">). </w:t>
      </w:r>
      <w:r w:rsidR="00E41FCA" w:rsidRPr="005C1D17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5C1D17">
        <w:rPr>
          <w:sz w:val="20"/>
          <w:szCs w:val="20"/>
          <w:lang w:val="pt-BR" w:eastAsia="zh-CN"/>
        </w:rPr>
        <w:t xml:space="preserve">Quatro covos compuseram a unidade amostral, de modo que seis unidades amostrais foram compostas por </w:t>
      </w:r>
      <w:r w:rsidRPr="005C1D17">
        <w:rPr>
          <w:sz w:val="20"/>
          <w:szCs w:val="20"/>
        </w:rPr>
        <w:t>vinte e quatro covos</w:t>
      </w:r>
      <w:r w:rsidR="000654DF" w:rsidRPr="005C1D17">
        <w:rPr>
          <w:sz w:val="20"/>
          <w:szCs w:val="20"/>
          <w:lang w:val="pt-BR"/>
        </w:rPr>
        <w:t>.</w:t>
      </w:r>
    </w:p>
    <w:p w14:paraId="32AE4151" w14:textId="77777777" w:rsidR="00E41FCA" w:rsidRPr="005C1D17" w:rsidRDefault="00E41FCA" w:rsidP="00E41FCA">
      <w:pPr>
        <w:spacing w:line="240" w:lineRule="auto"/>
        <w:ind w:firstLine="720"/>
        <w:jc w:val="both"/>
        <w:rPr>
          <w:sz w:val="20"/>
          <w:szCs w:val="20"/>
          <w:lang w:val="pt-BR"/>
        </w:rPr>
      </w:pPr>
    </w:p>
    <w:p w14:paraId="620C9DB6" w14:textId="78E40437" w:rsidR="00E41FCA" w:rsidRPr="005C1D17" w:rsidRDefault="00E41FCA" w:rsidP="00614112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5C1D17">
        <w:rPr>
          <w:b/>
          <w:sz w:val="20"/>
          <w:szCs w:val="20"/>
          <w:lang w:val="pt-BR" w:eastAsia="zh-CN"/>
        </w:rPr>
        <w:t>Triagem, Clas</w:t>
      </w:r>
      <w:r w:rsidR="00FB6D06" w:rsidRPr="005C1D17">
        <w:rPr>
          <w:b/>
          <w:sz w:val="20"/>
          <w:szCs w:val="20"/>
          <w:lang w:val="pt-BR" w:eastAsia="zh-CN"/>
        </w:rPr>
        <w:t>sificação morfológica e Análise</w:t>
      </w:r>
    </w:p>
    <w:p w14:paraId="5D00E73C" w14:textId="129C5EF7" w:rsidR="00010527" w:rsidRPr="005C1D17" w:rsidRDefault="00E41FCA" w:rsidP="00926821">
      <w:pPr>
        <w:spacing w:line="240" w:lineRule="auto"/>
        <w:ind w:firstLine="720"/>
        <w:jc w:val="both"/>
        <w:rPr>
          <w:sz w:val="20"/>
          <w:szCs w:val="20"/>
          <w:lang w:val="pt-BR"/>
        </w:rPr>
      </w:pPr>
      <w:r w:rsidRPr="005C1D17">
        <w:rPr>
          <w:sz w:val="20"/>
          <w:szCs w:val="20"/>
          <w:lang w:val="pt-BR"/>
        </w:rPr>
        <w:t>Após a coleta dos indivíduos, os mesmo</w:t>
      </w:r>
      <w:r w:rsidR="00FB6D06" w:rsidRPr="005C1D17">
        <w:rPr>
          <w:sz w:val="20"/>
          <w:szCs w:val="20"/>
          <w:lang w:val="pt-BR"/>
        </w:rPr>
        <w:t>s</w:t>
      </w:r>
      <w:r w:rsidRPr="005C1D17">
        <w:rPr>
          <w:sz w:val="20"/>
          <w:szCs w:val="20"/>
          <w:lang w:val="pt-BR"/>
        </w:rPr>
        <w:t xml:space="preserve"> passaram pelo processo de t</w:t>
      </w:r>
      <w:r w:rsidR="00010527" w:rsidRPr="005C1D17">
        <w:rPr>
          <w:sz w:val="20"/>
          <w:szCs w:val="20"/>
          <w:lang w:val="pt-BR"/>
        </w:rPr>
        <w:t>riagem</w:t>
      </w:r>
      <w:r w:rsidR="00FB6D06" w:rsidRPr="005C1D17">
        <w:rPr>
          <w:sz w:val="20"/>
          <w:szCs w:val="20"/>
          <w:lang w:val="pt-BR"/>
        </w:rPr>
        <w:t xml:space="preserve">, separados </w:t>
      </w:r>
      <w:r w:rsidRPr="005C1D17">
        <w:rPr>
          <w:sz w:val="20"/>
          <w:szCs w:val="20"/>
          <w:lang w:val="pt-BR"/>
        </w:rPr>
        <w:t xml:space="preserve">manualmente por espécies em diferentes estágios </w:t>
      </w:r>
      <w:r w:rsidR="00411669" w:rsidRPr="005C1D17">
        <w:rPr>
          <w:sz w:val="20"/>
          <w:szCs w:val="20"/>
          <w:lang w:val="pt-BR"/>
        </w:rPr>
        <w:t>morfológicos, seguindo</w:t>
      </w:r>
      <w:r w:rsidR="00010527" w:rsidRPr="005C1D17">
        <w:rPr>
          <w:sz w:val="20"/>
          <w:szCs w:val="20"/>
          <w:lang w:val="pt-BR"/>
        </w:rPr>
        <w:t xml:space="preserve"> os parâmet</w:t>
      </w:r>
      <w:r w:rsidR="003B0B44" w:rsidRPr="005C1D17">
        <w:rPr>
          <w:sz w:val="20"/>
          <w:szCs w:val="20"/>
          <w:lang w:val="pt-BR"/>
        </w:rPr>
        <w:t xml:space="preserve">ros descritos por (Gosner 1960) onde os estágios morfológicos </w:t>
      </w:r>
      <w:r w:rsidR="0076350A" w:rsidRPr="005C1D17">
        <w:rPr>
          <w:sz w:val="20"/>
          <w:szCs w:val="20"/>
          <w:lang w:val="pt-BR"/>
        </w:rPr>
        <w:t>das larvas iniciam no estágios-1 em sua forma de zigoto até atingir o seu estágio-46 de maturação, onde nessa fase os seus membros anteriores e posteriores estão totalmente desenvolvidos,</w:t>
      </w:r>
      <w:r w:rsidR="00130B05" w:rsidRPr="005C1D17">
        <w:rPr>
          <w:sz w:val="20"/>
          <w:szCs w:val="20"/>
          <w:lang w:val="pt-BR"/>
        </w:rPr>
        <w:t xml:space="preserve"> completando a sua metamorfose é</w:t>
      </w:r>
      <w:r w:rsidR="0076350A" w:rsidRPr="005C1D17">
        <w:rPr>
          <w:sz w:val="20"/>
          <w:szCs w:val="20"/>
          <w:lang w:val="pt-BR"/>
        </w:rPr>
        <w:t xml:space="preserve"> conquistando assim ambiente terrestre</w:t>
      </w:r>
      <w:r w:rsidR="003B0B44" w:rsidRPr="005C1D17">
        <w:rPr>
          <w:sz w:val="20"/>
          <w:szCs w:val="20"/>
          <w:lang w:val="pt-BR"/>
        </w:rPr>
        <w:t>.</w:t>
      </w:r>
      <w:r w:rsidRPr="005C1D17">
        <w:rPr>
          <w:sz w:val="20"/>
          <w:szCs w:val="20"/>
          <w:lang w:val="pt-BR"/>
        </w:rPr>
        <w:t xml:space="preserve"> </w:t>
      </w:r>
      <w:r w:rsidR="00512D40" w:rsidRPr="005C1D17">
        <w:rPr>
          <w:sz w:val="20"/>
          <w:szCs w:val="20"/>
          <w:lang w:val="pt-BR"/>
        </w:rPr>
        <w:t>As a</w:t>
      </w:r>
      <w:r w:rsidRPr="005C1D17">
        <w:rPr>
          <w:sz w:val="20"/>
          <w:szCs w:val="20"/>
          <w:lang w:val="pt-BR"/>
        </w:rPr>
        <w:t>nálises dos dados foram</w:t>
      </w:r>
      <w:r w:rsidR="00FB6D06" w:rsidRPr="005C1D17">
        <w:rPr>
          <w:sz w:val="20"/>
          <w:szCs w:val="20"/>
          <w:lang w:val="pt-BR"/>
        </w:rPr>
        <w:t xml:space="preserve"> feitas</w:t>
      </w:r>
      <w:r w:rsidRPr="005C1D17">
        <w:rPr>
          <w:sz w:val="20"/>
          <w:szCs w:val="20"/>
          <w:lang w:val="pt-BR"/>
        </w:rPr>
        <w:t xml:space="preserve"> através do método</w:t>
      </w:r>
      <w:r w:rsidR="00614112" w:rsidRPr="005C1D17">
        <w:rPr>
          <w:sz w:val="20"/>
          <w:szCs w:val="20"/>
          <w:lang w:val="pt-BR"/>
        </w:rPr>
        <w:t xml:space="preserve"> </w:t>
      </w:r>
      <w:r w:rsidR="00010527" w:rsidRPr="005C1D17">
        <w:rPr>
          <w:sz w:val="20"/>
          <w:szCs w:val="20"/>
          <w:lang w:val="pt-BR"/>
        </w:rPr>
        <w:t>de prevalência</w:t>
      </w:r>
      <w:r w:rsidRPr="005C1D17">
        <w:rPr>
          <w:sz w:val="20"/>
          <w:szCs w:val="20"/>
          <w:lang w:val="pt-BR"/>
        </w:rPr>
        <w:t xml:space="preserve"> (P)</w:t>
      </w:r>
      <w:r w:rsidR="00010527" w:rsidRPr="005C1D17">
        <w:rPr>
          <w:sz w:val="20"/>
          <w:szCs w:val="20"/>
          <w:lang w:val="pt-BR"/>
        </w:rPr>
        <w:t xml:space="preserve">: </w:t>
      </w:r>
      <m:oMath>
        <m:r>
          <w:rPr>
            <w:rFonts w:ascii="Cambria Math" w:hAnsi="Cambria Math"/>
            <w:sz w:val="20"/>
            <w:szCs w:val="20"/>
            <w:lang w:val="pt-BR"/>
          </w:rPr>
          <m:t xml:space="preserve"> p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pt-B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pt-BR"/>
              </w:rPr>
              <m:t>n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pt-BR"/>
              </w:rPr>
              <m:t>N</m:t>
            </m:r>
          </m:den>
        </m:f>
        <m:r>
          <w:rPr>
            <w:rFonts w:ascii="Cambria Math" w:hAnsi="Cambria Math"/>
            <w:sz w:val="20"/>
            <w:szCs w:val="20"/>
            <w:lang w:val="pt-BR"/>
          </w:rPr>
          <m:t xml:space="preserve"> . 100</m:t>
        </m:r>
      </m:oMath>
      <w:r w:rsidR="00010527" w:rsidRPr="005C1D17">
        <w:rPr>
          <w:sz w:val="20"/>
          <w:szCs w:val="20"/>
          <w:lang w:val="pt-BR"/>
        </w:rPr>
        <w:t xml:space="preserve">, </w:t>
      </w:r>
      <w:r w:rsidR="00941F2A" w:rsidRPr="005C1D17">
        <w:rPr>
          <w:sz w:val="20"/>
          <w:szCs w:val="20"/>
          <w:lang w:val="pt-BR"/>
        </w:rPr>
        <w:t>(Zar 2010), o</w:t>
      </w:r>
      <w:r w:rsidR="00010527" w:rsidRPr="005C1D17">
        <w:rPr>
          <w:sz w:val="20"/>
          <w:szCs w:val="20"/>
          <w:lang w:val="pt-BR"/>
        </w:rPr>
        <w:t xml:space="preserve">nde o </w:t>
      </w:r>
      <m:oMath>
        <m:r>
          <w:rPr>
            <w:rFonts w:ascii="Cambria Math" w:hAnsi="Cambria Math"/>
            <w:sz w:val="20"/>
            <w:szCs w:val="20"/>
            <w:u w:val="single"/>
            <w:lang w:val="pt-BR"/>
          </w:rPr>
          <m:t>n</m:t>
        </m:r>
      </m:oMath>
      <w:r w:rsidR="00010527" w:rsidRPr="005C1D17">
        <w:rPr>
          <w:sz w:val="20"/>
          <w:szCs w:val="20"/>
          <w:lang w:val="pt-BR"/>
        </w:rPr>
        <w:t xml:space="preserve"> corresponde ao número de estágios encontrado, </w:t>
      </w:r>
      <m:oMath>
        <m:r>
          <w:rPr>
            <w:rFonts w:ascii="Cambria Math" w:hAnsi="Cambria Math"/>
            <w:sz w:val="20"/>
            <w:szCs w:val="20"/>
            <w:u w:val="single"/>
            <w:lang w:val="pt-BR"/>
          </w:rPr>
          <m:t>N</m:t>
        </m:r>
      </m:oMath>
      <w:r w:rsidR="00941F2A" w:rsidRPr="005C1D17">
        <w:rPr>
          <w:sz w:val="20"/>
          <w:szCs w:val="20"/>
          <w:lang w:val="pt-BR"/>
        </w:rPr>
        <w:t xml:space="preserve"> número total de amostras, após o cálculo de prevalência estes foram dispostos em</w:t>
      </w:r>
      <w:r w:rsidR="00411669" w:rsidRPr="005C1D17">
        <w:rPr>
          <w:sz w:val="20"/>
          <w:szCs w:val="20"/>
          <w:lang w:val="pt-BR"/>
        </w:rPr>
        <w:t xml:space="preserve"> </w:t>
      </w:r>
      <w:r w:rsidR="00941F2A" w:rsidRPr="005C1D17">
        <w:rPr>
          <w:sz w:val="20"/>
          <w:szCs w:val="20"/>
          <w:lang w:val="pt-BR"/>
        </w:rPr>
        <w:t>histogram de frequência</w:t>
      </w:r>
      <w:r w:rsidR="00D96498" w:rsidRPr="005C1D17">
        <w:rPr>
          <w:sz w:val="20"/>
          <w:szCs w:val="20"/>
          <w:lang w:val="pt-BR"/>
        </w:rPr>
        <w:t xml:space="preserve"> para uma melhor visualização.</w:t>
      </w:r>
      <w:r w:rsidR="00411669" w:rsidRPr="005C1D17">
        <w:rPr>
          <w:sz w:val="20"/>
          <w:szCs w:val="20"/>
          <w:lang w:val="pt-BR"/>
        </w:rPr>
        <w:t xml:space="preserve"> </w:t>
      </w:r>
    </w:p>
    <w:p w14:paraId="06B3C842" w14:textId="77777777" w:rsidR="00A942DD" w:rsidRPr="005C1D17" w:rsidRDefault="00A942DD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A164F30" w14:textId="77777777" w:rsidR="00A942DD" w:rsidRPr="005C1D17" w:rsidRDefault="00E46CC8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5C1D17">
        <w:rPr>
          <w:rFonts w:eastAsia="Times New Roman"/>
          <w:b/>
          <w:sz w:val="20"/>
          <w:szCs w:val="20"/>
        </w:rPr>
        <w:t>RESULTADOS E DISCUSSÃO</w:t>
      </w:r>
    </w:p>
    <w:p w14:paraId="04E8BBA8" w14:textId="77777777" w:rsidR="00010527" w:rsidRPr="005C1D17" w:rsidRDefault="0001052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77AA8D2D" w14:textId="4684FA7C" w:rsidR="00991753" w:rsidRPr="005C1D17" w:rsidRDefault="00991753" w:rsidP="00991753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5C1D17">
        <w:rPr>
          <w:rFonts w:eastAsia="Times New Roman"/>
          <w:sz w:val="20"/>
          <w:szCs w:val="20"/>
          <w:lang w:val="pt-BR"/>
        </w:rPr>
        <w:t>Os girinos coletados foram levados ao laboratório e analisados, sendo possível quantificar duas espécies</w:t>
      </w:r>
      <w:r w:rsidRPr="005C1D17">
        <w:rPr>
          <w:rFonts w:eastAsia="Times New Roman"/>
          <w:b/>
          <w:sz w:val="20"/>
          <w:szCs w:val="20"/>
          <w:lang w:val="pt-BR"/>
        </w:rPr>
        <w:t xml:space="preserve"> </w:t>
      </w:r>
      <w:r w:rsidR="00AE452F" w:rsidRPr="005C1D17">
        <w:rPr>
          <w:rFonts w:eastAsia="Times New Roman"/>
          <w:i/>
          <w:sz w:val="20"/>
          <w:szCs w:val="20"/>
          <w:lang w:val="pt-BR"/>
        </w:rPr>
        <w:t xml:space="preserve">Dendropsophus </w:t>
      </w:r>
      <w:r w:rsidRPr="005C1D17">
        <w:rPr>
          <w:rFonts w:eastAsia="Times New Roman"/>
          <w:i/>
          <w:sz w:val="20"/>
          <w:szCs w:val="20"/>
          <w:lang w:val="pt-BR"/>
        </w:rPr>
        <w:t>minutus</w:t>
      </w:r>
      <w:r w:rsidRPr="005C1D17">
        <w:rPr>
          <w:rFonts w:eastAsia="Times New Roman"/>
          <w:sz w:val="20"/>
          <w:szCs w:val="20"/>
          <w:lang w:val="pt-BR"/>
        </w:rPr>
        <w:t xml:space="preserve"> com 1936 indivíduos e </w:t>
      </w:r>
      <w:r w:rsidRPr="005C1D17">
        <w:rPr>
          <w:rFonts w:eastAsia="Times New Roman"/>
          <w:i/>
          <w:sz w:val="20"/>
          <w:szCs w:val="20"/>
          <w:lang w:val="pt-BR"/>
        </w:rPr>
        <w:t>Physalaemus cuvieri</w:t>
      </w:r>
      <w:r w:rsidRPr="005C1D17">
        <w:rPr>
          <w:rFonts w:eastAsia="Times New Roman"/>
          <w:sz w:val="20"/>
          <w:szCs w:val="20"/>
          <w:lang w:val="pt-BR"/>
        </w:rPr>
        <w:t xml:space="preserve"> com </w:t>
      </w:r>
      <w:r w:rsidRPr="005C1D17">
        <w:rPr>
          <w:rFonts w:eastAsia="Times New Roman"/>
          <w:color w:val="000000"/>
          <w:sz w:val="20"/>
          <w:szCs w:val="20"/>
          <w:lang w:val="pt-BR"/>
        </w:rPr>
        <w:t xml:space="preserve">120 indivíduos. Os mesmos foram separados manualmente em diferentes estágios morfológicos (Gosner 1960), sendo presenciado na espécie de </w:t>
      </w:r>
      <w:r w:rsidRPr="005C1D17">
        <w:rPr>
          <w:rFonts w:eastAsia="Times New Roman"/>
          <w:i/>
          <w:color w:val="000000"/>
          <w:sz w:val="20"/>
          <w:szCs w:val="20"/>
          <w:lang w:val="pt-BR"/>
        </w:rPr>
        <w:t>D</w:t>
      </w:r>
      <w:r w:rsidRPr="005C1D17">
        <w:rPr>
          <w:rFonts w:eastAsia="Times New Roman"/>
          <w:i/>
          <w:sz w:val="20"/>
          <w:szCs w:val="20"/>
          <w:lang w:val="pt-BR"/>
        </w:rPr>
        <w:t>.</w:t>
      </w:r>
      <w:r w:rsidRPr="005C1D17">
        <w:rPr>
          <w:rFonts w:eastAsia="Times New Roman"/>
          <w:i/>
          <w:color w:val="000000"/>
          <w:sz w:val="20"/>
          <w:szCs w:val="20"/>
          <w:lang w:val="pt-BR"/>
        </w:rPr>
        <w:t xml:space="preserve"> minutus</w:t>
      </w:r>
      <w:r w:rsidRPr="005C1D17">
        <w:rPr>
          <w:rFonts w:eastAsia="Times New Roman"/>
          <w:color w:val="000000"/>
          <w:sz w:val="20"/>
          <w:szCs w:val="20"/>
          <w:lang w:val="pt-BR"/>
        </w:rPr>
        <w:t xml:space="preserve"> os estágios 26-30-32-35-37-39 e 42, e para </w:t>
      </w:r>
      <w:r w:rsidRPr="005C1D17">
        <w:rPr>
          <w:rFonts w:eastAsia="Times New Roman"/>
          <w:i/>
          <w:sz w:val="20"/>
          <w:szCs w:val="20"/>
          <w:lang w:val="pt-BR"/>
        </w:rPr>
        <w:t>P. cuvieri</w:t>
      </w:r>
      <w:r w:rsidRPr="005C1D17">
        <w:rPr>
          <w:rFonts w:eastAsia="Times New Roman"/>
          <w:sz w:val="20"/>
          <w:szCs w:val="20"/>
          <w:lang w:val="pt-BR"/>
        </w:rPr>
        <w:t xml:space="preserve"> foram os estágios 26-30-35-37 e 39. A análise de prevalência determinou a frequência relativa, por estágio, dos girinos encontrado, determina</w:t>
      </w:r>
      <w:r w:rsidR="00233348" w:rsidRPr="005C1D17">
        <w:rPr>
          <w:rFonts w:eastAsia="Times New Roman"/>
          <w:sz w:val="20"/>
          <w:szCs w:val="20"/>
          <w:lang w:val="pt-BR"/>
        </w:rPr>
        <w:t>n</w:t>
      </w:r>
      <w:r w:rsidRPr="005C1D17">
        <w:rPr>
          <w:rFonts w:eastAsia="Times New Roman"/>
          <w:sz w:val="20"/>
          <w:szCs w:val="20"/>
          <w:lang w:val="pt-BR"/>
        </w:rPr>
        <w:t>do os estágios com as maiores e menores concentrações de indivíduos (</w:t>
      </w:r>
      <w:r w:rsidRPr="005C1D17">
        <w:rPr>
          <w:sz w:val="20"/>
          <w:szCs w:val="20"/>
          <w:shd w:val="clear" w:color="auto" w:fill="FFFFFF"/>
        </w:rPr>
        <w:t xml:space="preserve">Lima </w:t>
      </w:r>
      <w:r w:rsidRPr="005C1D17">
        <w:rPr>
          <w:i/>
          <w:sz w:val="20"/>
          <w:szCs w:val="20"/>
          <w:shd w:val="clear" w:color="auto" w:fill="FFFFFF"/>
        </w:rPr>
        <w:t>et al.,</w:t>
      </w:r>
      <w:r w:rsidRPr="005C1D17">
        <w:rPr>
          <w:sz w:val="20"/>
          <w:szCs w:val="20"/>
          <w:shd w:val="clear" w:color="auto" w:fill="FFFFFF"/>
        </w:rPr>
        <w:t xml:space="preserve"> 2022</w:t>
      </w:r>
      <w:r w:rsidRPr="005C1D17">
        <w:rPr>
          <w:rFonts w:eastAsia="Times New Roman"/>
          <w:sz w:val="20"/>
          <w:szCs w:val="20"/>
          <w:lang w:val="pt-BR"/>
        </w:rPr>
        <w:t xml:space="preserve">). O número de indivíduos variaram de uma espécie para outra, assim como os números estágios morfológicos, sendo possível observar a divergência e a frequência dos estágios em uma mesma espécies de larvas, como pôde ser observado para </w:t>
      </w:r>
      <w:r w:rsidRPr="005C1D17">
        <w:rPr>
          <w:rFonts w:eastAsia="Times New Roman"/>
          <w:i/>
          <w:color w:val="000000"/>
          <w:sz w:val="20"/>
          <w:szCs w:val="20"/>
          <w:lang w:val="pt-BR"/>
        </w:rPr>
        <w:t>D</w:t>
      </w:r>
      <w:r w:rsidRPr="005C1D17">
        <w:rPr>
          <w:rFonts w:eastAsia="Times New Roman"/>
          <w:i/>
          <w:sz w:val="20"/>
          <w:szCs w:val="20"/>
          <w:lang w:val="pt-BR"/>
        </w:rPr>
        <w:t xml:space="preserve">. </w:t>
      </w:r>
      <w:r w:rsidRPr="005C1D17">
        <w:rPr>
          <w:rFonts w:eastAsia="Times New Roman"/>
          <w:i/>
          <w:color w:val="000000"/>
          <w:sz w:val="20"/>
          <w:szCs w:val="20"/>
          <w:lang w:val="pt-BR"/>
        </w:rPr>
        <w:t>minutus,</w:t>
      </w:r>
      <w:r w:rsidRPr="005C1D17">
        <w:rPr>
          <w:rFonts w:eastAsia="Times New Roman"/>
          <w:color w:val="000000"/>
          <w:sz w:val="20"/>
          <w:szCs w:val="20"/>
          <w:lang w:val="pt-BR"/>
        </w:rPr>
        <w:t xml:space="preserve"> em que o estágio-26 apresenta uma maior frequência de indivíduos (51,13%) em detrimento ao estágio-42 com menor frequência (0,10%). Segundo </w:t>
      </w:r>
      <w:r w:rsidRPr="005C1D17">
        <w:rPr>
          <w:rFonts w:eastAsia="Times New Roman"/>
          <w:sz w:val="20"/>
          <w:szCs w:val="20"/>
          <w:lang w:val="pt-BR"/>
        </w:rPr>
        <w:t>Duellman &amp; Trueb (1994), dos estágios-26 ao 40 em sua maioria envolve o crescimento das larvas e o desenvolvimento dos seus membros posteriores, assim como a separação de seus dedos individuais, tendo desenvolvido tanto os seus membros posteriores e anteriores no estágio-42 de maturação, ainda com a presença da cauda, onde no estágio-46 a sua metamorfose está totalmente completa,</w:t>
      </w:r>
      <w:r w:rsidR="00AE452F" w:rsidRPr="005C1D17">
        <w:rPr>
          <w:rFonts w:eastAsia="Times New Roman"/>
          <w:sz w:val="20"/>
          <w:szCs w:val="20"/>
          <w:lang w:val="pt-BR"/>
        </w:rPr>
        <w:t xml:space="preserve"> a</w:t>
      </w:r>
      <w:r w:rsidRPr="005C1D17">
        <w:rPr>
          <w:rFonts w:eastAsia="Times New Roman"/>
          <w:sz w:val="20"/>
          <w:szCs w:val="20"/>
          <w:lang w:val="pt-BR"/>
        </w:rPr>
        <w:t xml:space="preserve"> cauda é totalmente reabsorvida e as pernas se desenvolvem plenamente, incluindo os dedos individuais, permitindo uma melhor locomoção ao ambiente terrestre, </w:t>
      </w:r>
      <w:r w:rsidR="00D702AA">
        <w:rPr>
          <w:rFonts w:eastAsia="Times New Roman"/>
          <w:sz w:val="20"/>
          <w:szCs w:val="20"/>
          <w:lang w:val="pt-BR"/>
        </w:rPr>
        <w:t xml:space="preserve">onde cada </w:t>
      </w:r>
      <w:r w:rsidRPr="00D702AA">
        <w:rPr>
          <w:rFonts w:eastAsia="Times New Roman"/>
          <w:sz w:val="20"/>
          <w:szCs w:val="20"/>
          <w:lang w:val="pt-BR"/>
        </w:rPr>
        <w:t>fator</w:t>
      </w:r>
      <w:r w:rsidR="00D702AA">
        <w:rPr>
          <w:rFonts w:eastAsia="Times New Roman"/>
          <w:sz w:val="20"/>
          <w:szCs w:val="20"/>
          <w:lang w:val="pt-BR"/>
        </w:rPr>
        <w:t xml:space="preserve"> descrito se mostrou esse </w:t>
      </w:r>
      <w:r w:rsidR="00D702AA" w:rsidRPr="00D702AA">
        <w:rPr>
          <w:rFonts w:eastAsia="Times New Roman"/>
          <w:sz w:val="20"/>
          <w:szCs w:val="20"/>
          <w:lang w:val="pt-BR"/>
        </w:rPr>
        <w:t>positivo</w:t>
      </w:r>
      <w:r w:rsidR="00D702AA">
        <w:rPr>
          <w:rFonts w:eastAsia="Times New Roman"/>
          <w:sz w:val="20"/>
          <w:szCs w:val="20"/>
          <w:lang w:val="pt-BR"/>
        </w:rPr>
        <w:t xml:space="preserve"> </w:t>
      </w:r>
      <w:r w:rsidRPr="005C1D17">
        <w:rPr>
          <w:rFonts w:eastAsia="Times New Roman"/>
          <w:sz w:val="20"/>
          <w:szCs w:val="20"/>
          <w:lang w:val="pt-BR"/>
        </w:rPr>
        <w:t xml:space="preserve">durante as análises morfológicas feitas para as duas espécies encontradas </w:t>
      </w:r>
      <w:r w:rsidRPr="005C1D17">
        <w:rPr>
          <w:rFonts w:eastAsia="Times New Roman"/>
          <w:i/>
          <w:color w:val="000000"/>
          <w:sz w:val="20"/>
          <w:szCs w:val="20"/>
          <w:lang w:val="pt-BR"/>
        </w:rPr>
        <w:t>D</w:t>
      </w:r>
      <w:r w:rsidRPr="005C1D17">
        <w:rPr>
          <w:rFonts w:eastAsia="Times New Roman"/>
          <w:i/>
          <w:sz w:val="20"/>
          <w:szCs w:val="20"/>
          <w:lang w:val="pt-BR"/>
        </w:rPr>
        <w:t xml:space="preserve">. </w:t>
      </w:r>
      <w:r w:rsidRPr="005C1D17">
        <w:rPr>
          <w:rFonts w:eastAsia="Times New Roman"/>
          <w:i/>
          <w:color w:val="000000"/>
          <w:sz w:val="20"/>
          <w:szCs w:val="20"/>
          <w:lang w:val="pt-BR"/>
        </w:rPr>
        <w:t xml:space="preserve">minutus </w:t>
      </w:r>
      <w:r w:rsidRPr="005C1D17">
        <w:rPr>
          <w:rFonts w:eastAsia="Times New Roman"/>
          <w:color w:val="000000"/>
          <w:sz w:val="20"/>
          <w:szCs w:val="20"/>
          <w:lang w:val="pt-BR"/>
        </w:rPr>
        <w:t xml:space="preserve">é </w:t>
      </w:r>
      <w:r w:rsidRPr="005C1D17">
        <w:rPr>
          <w:rFonts w:eastAsia="Times New Roman"/>
          <w:i/>
          <w:sz w:val="20"/>
          <w:szCs w:val="20"/>
          <w:lang w:val="pt-BR"/>
        </w:rPr>
        <w:t xml:space="preserve">P. cuvieri. </w:t>
      </w:r>
      <w:r w:rsidRPr="005C1D17">
        <w:rPr>
          <w:rFonts w:eastAsia="Times New Roman"/>
          <w:sz w:val="20"/>
          <w:szCs w:val="20"/>
          <w:lang w:val="pt-BR"/>
        </w:rPr>
        <w:t>Em relação ao</w:t>
      </w:r>
      <w:r w:rsidRPr="005C1D17">
        <w:rPr>
          <w:rFonts w:eastAsia="Times New Roman"/>
          <w:i/>
          <w:sz w:val="20"/>
          <w:szCs w:val="20"/>
          <w:lang w:val="pt-BR"/>
        </w:rPr>
        <w:t xml:space="preserve"> P. cuvieri, </w:t>
      </w:r>
      <w:r w:rsidRPr="005C1D17">
        <w:rPr>
          <w:rFonts w:eastAsia="Times New Roman"/>
          <w:sz w:val="20"/>
          <w:szCs w:val="20"/>
          <w:lang w:val="pt-BR"/>
        </w:rPr>
        <w:t xml:space="preserve">o estágio-35 apresenta uma maior frequência relativa de indivíduos (41,66%), em comparação ao estágio-30 apresentando a frequência relativa de apenas (5%), podemos depreender que nesta amostra </w:t>
      </w:r>
      <w:r w:rsidRPr="005C1D17">
        <w:rPr>
          <w:rFonts w:eastAsia="Times New Roman"/>
          <w:i/>
          <w:sz w:val="20"/>
          <w:szCs w:val="20"/>
          <w:lang w:val="pt-BR"/>
        </w:rPr>
        <w:t>P. cuvieri</w:t>
      </w:r>
      <w:r w:rsidRPr="005C1D17">
        <w:rPr>
          <w:rFonts w:eastAsia="Times New Roman"/>
          <w:sz w:val="20"/>
          <w:szCs w:val="20"/>
          <w:lang w:val="pt-BR"/>
        </w:rPr>
        <w:t xml:space="preserve">, continua em processo de desenvolvimento morfológico (Duellman &amp; Trueb 1994), no entanto </w:t>
      </w:r>
      <w:r w:rsidRPr="005C1D17">
        <w:rPr>
          <w:rFonts w:eastAsia="Times New Roman"/>
          <w:i/>
          <w:sz w:val="20"/>
          <w:szCs w:val="20"/>
          <w:lang w:val="pt-BR"/>
        </w:rPr>
        <w:t xml:space="preserve">D. minutus </w:t>
      </w:r>
      <w:r w:rsidRPr="005C1D17">
        <w:rPr>
          <w:rFonts w:eastAsia="Times New Roman"/>
          <w:sz w:val="20"/>
          <w:szCs w:val="20"/>
          <w:lang w:val="pt-BR"/>
        </w:rPr>
        <w:t>está em processo ligeiramente avançado, devido alguns e</w:t>
      </w:r>
      <w:r w:rsidR="00E52136">
        <w:rPr>
          <w:rFonts w:eastAsia="Times New Roman"/>
          <w:sz w:val="20"/>
          <w:szCs w:val="20"/>
          <w:lang w:val="pt-BR"/>
        </w:rPr>
        <w:t xml:space="preserve">xemplares terem alcançado o </w:t>
      </w:r>
      <w:r w:rsidRPr="005C1D17">
        <w:rPr>
          <w:rFonts w:eastAsia="Times New Roman"/>
          <w:sz w:val="20"/>
          <w:szCs w:val="20"/>
          <w:lang w:val="pt-BR"/>
        </w:rPr>
        <w:t xml:space="preserve">estágio-42 de maturação, o que denota o nítido desenvolvimento morfológico de </w:t>
      </w:r>
      <w:r w:rsidRPr="005C1D17">
        <w:rPr>
          <w:rFonts w:eastAsia="Times New Roman"/>
          <w:i/>
          <w:sz w:val="20"/>
          <w:szCs w:val="20"/>
          <w:lang w:val="pt-BR"/>
        </w:rPr>
        <w:t>D.</w:t>
      </w:r>
      <w:r w:rsidRPr="005C1D17">
        <w:rPr>
          <w:rFonts w:eastAsia="Times New Roman"/>
          <w:sz w:val="20"/>
          <w:szCs w:val="20"/>
          <w:lang w:val="pt-BR"/>
        </w:rPr>
        <w:t xml:space="preserve"> </w:t>
      </w:r>
      <w:r w:rsidRPr="005C1D17">
        <w:rPr>
          <w:rFonts w:eastAsia="Times New Roman"/>
          <w:i/>
          <w:sz w:val="20"/>
          <w:szCs w:val="20"/>
          <w:lang w:val="pt-BR"/>
        </w:rPr>
        <w:t>minutus</w:t>
      </w:r>
      <w:r w:rsidRPr="005C1D17">
        <w:rPr>
          <w:rFonts w:eastAsia="Times New Roman"/>
          <w:sz w:val="20"/>
          <w:szCs w:val="20"/>
          <w:lang w:val="pt-BR"/>
        </w:rPr>
        <w:t xml:space="preserve"> nesta área amostral (poça temporária). </w:t>
      </w:r>
      <w:r w:rsidR="00DB459F" w:rsidRPr="005C1D17">
        <w:rPr>
          <w:rFonts w:eastAsia="Times New Roman"/>
          <w:sz w:val="20"/>
          <w:szCs w:val="20"/>
          <w:lang w:val="pt-BR"/>
        </w:rPr>
        <w:t xml:space="preserve">No </w:t>
      </w:r>
      <w:r w:rsidR="00D24EFA" w:rsidRPr="005C1D17">
        <w:rPr>
          <w:rFonts w:eastAsia="Times New Roman"/>
          <w:sz w:val="20"/>
          <w:szCs w:val="20"/>
          <w:lang w:val="pt-BR"/>
        </w:rPr>
        <w:t>(</w:t>
      </w:r>
      <w:r w:rsidR="00DB459F" w:rsidRPr="005C1D17">
        <w:rPr>
          <w:rFonts w:eastAsia="Times New Roman"/>
          <w:sz w:val="20"/>
          <w:szCs w:val="20"/>
          <w:lang w:val="pt-BR"/>
        </w:rPr>
        <w:t xml:space="preserve">gráfico </w:t>
      </w:r>
      <w:r w:rsidR="00D24EFA" w:rsidRPr="005C1D17">
        <w:rPr>
          <w:rFonts w:eastAsia="Times New Roman"/>
          <w:sz w:val="20"/>
          <w:szCs w:val="20"/>
          <w:lang w:val="pt-BR"/>
        </w:rPr>
        <w:t>1A;1B) a seguir indica</w:t>
      </w:r>
      <w:r w:rsidR="00D96498" w:rsidRPr="005C1D17">
        <w:rPr>
          <w:rFonts w:eastAsia="Times New Roman"/>
          <w:sz w:val="20"/>
          <w:szCs w:val="20"/>
          <w:lang w:val="pt-BR"/>
        </w:rPr>
        <w:t xml:space="preserve"> </w:t>
      </w:r>
      <w:r w:rsidR="00DB459F" w:rsidRPr="005C1D17">
        <w:rPr>
          <w:rFonts w:eastAsia="Times New Roman"/>
          <w:sz w:val="20"/>
          <w:szCs w:val="20"/>
          <w:lang w:val="pt-BR"/>
        </w:rPr>
        <w:t>a frequência</w:t>
      </w:r>
      <w:r w:rsidR="00D24EFA" w:rsidRPr="005C1D17">
        <w:rPr>
          <w:rFonts w:eastAsia="Times New Roman"/>
          <w:sz w:val="20"/>
          <w:szCs w:val="20"/>
          <w:lang w:val="pt-BR"/>
        </w:rPr>
        <w:t xml:space="preserve"> </w:t>
      </w:r>
      <w:r w:rsidR="00D96498" w:rsidRPr="005C1D17">
        <w:rPr>
          <w:rFonts w:eastAsia="Times New Roman"/>
          <w:sz w:val="20"/>
          <w:szCs w:val="20"/>
          <w:lang w:val="pt-BR"/>
        </w:rPr>
        <w:t xml:space="preserve">e a </w:t>
      </w:r>
      <w:r w:rsidR="00DB459F" w:rsidRPr="005C1D17">
        <w:rPr>
          <w:rFonts w:eastAsia="Times New Roman"/>
          <w:sz w:val="20"/>
          <w:szCs w:val="20"/>
          <w:lang w:val="pt-BR"/>
        </w:rPr>
        <w:t>quantidade de larvas encontradas</w:t>
      </w:r>
      <w:r w:rsidR="00D24EFA" w:rsidRPr="005C1D17">
        <w:rPr>
          <w:rFonts w:eastAsia="Times New Roman"/>
          <w:sz w:val="20"/>
          <w:szCs w:val="20"/>
          <w:lang w:val="pt-BR"/>
        </w:rPr>
        <w:t xml:space="preserve">, referente a </w:t>
      </w:r>
      <w:r w:rsidR="00DB459F" w:rsidRPr="005C1D17">
        <w:rPr>
          <w:rFonts w:eastAsia="Times New Roman"/>
          <w:sz w:val="20"/>
          <w:szCs w:val="20"/>
          <w:lang w:val="pt-BR"/>
        </w:rPr>
        <w:t>cada estágio</w:t>
      </w:r>
      <w:r w:rsidR="00D24EFA" w:rsidRPr="005C1D17">
        <w:rPr>
          <w:rFonts w:eastAsia="Times New Roman"/>
          <w:sz w:val="20"/>
          <w:szCs w:val="20"/>
          <w:lang w:val="pt-BR"/>
        </w:rPr>
        <w:t xml:space="preserve"> identificado</w:t>
      </w:r>
      <w:r w:rsidR="00DB459F" w:rsidRPr="005C1D17">
        <w:rPr>
          <w:rFonts w:eastAsia="Times New Roman"/>
          <w:sz w:val="20"/>
          <w:szCs w:val="20"/>
          <w:lang w:val="pt-BR"/>
        </w:rPr>
        <w:t>.</w:t>
      </w:r>
    </w:p>
    <w:p w14:paraId="6F73DFFD" w14:textId="6C5D464D" w:rsidR="00541D55" w:rsidRPr="005C1D17" w:rsidRDefault="00DB459F" w:rsidP="00572B46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5C1D17">
        <w:rPr>
          <w:noProof/>
          <w:lang w:val="pt-BR"/>
        </w:rPr>
        <w:drawing>
          <wp:anchor distT="0" distB="0" distL="114300" distR="114300" simplePos="0" relativeHeight="251658240" behindDoc="1" locked="0" layoutInCell="1" allowOverlap="1" wp14:anchorId="54A32BD0" wp14:editId="69FA3460">
            <wp:simplePos x="0" y="0"/>
            <wp:positionH relativeFrom="column">
              <wp:posOffset>627380</wp:posOffset>
            </wp:positionH>
            <wp:positionV relativeFrom="paragraph">
              <wp:posOffset>45085</wp:posOffset>
            </wp:positionV>
            <wp:extent cx="4542879" cy="125825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79" cy="125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FADA7" w14:textId="33520381" w:rsidR="00557225" w:rsidRPr="005C1D17" w:rsidRDefault="00557225" w:rsidP="00572B46">
      <w:pPr>
        <w:spacing w:line="240" w:lineRule="auto"/>
        <w:ind w:firstLine="720"/>
        <w:jc w:val="both"/>
        <w:rPr>
          <w:rFonts w:eastAsia="Times New Roman"/>
          <w:noProof/>
          <w:sz w:val="20"/>
          <w:szCs w:val="20"/>
          <w:lang w:val="pt-BR"/>
        </w:rPr>
      </w:pPr>
    </w:p>
    <w:p w14:paraId="67CA7A5F" w14:textId="1CE614AD" w:rsidR="003B0B44" w:rsidRPr="005C1D17" w:rsidRDefault="003B0B44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DC56CB2" w14:textId="1239D8CB" w:rsidR="003B0B44" w:rsidRPr="005C1D17" w:rsidRDefault="003B0B44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79E7CEDD" w14:textId="27E2512D" w:rsidR="003B0B44" w:rsidRPr="005C1D17" w:rsidRDefault="003B0B44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32C8EF2" w14:textId="4EBD6E77" w:rsidR="0076350A" w:rsidRPr="005C1D17" w:rsidRDefault="0076350A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F747C4E" w14:textId="55B4A149" w:rsidR="0076350A" w:rsidRPr="005C1D17" w:rsidRDefault="0076350A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12D1A47E" w14:textId="00767AD4" w:rsidR="0076350A" w:rsidRPr="005C1D17" w:rsidRDefault="0076350A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FA02C53" w14:textId="77777777" w:rsidR="0076350A" w:rsidRPr="005C1D17" w:rsidRDefault="0076350A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4B64E372" w14:textId="1180CFD3" w:rsidR="003C3D14" w:rsidRPr="005C1D17" w:rsidRDefault="00D24EFA" w:rsidP="00572B46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5C1D17">
        <w:rPr>
          <w:rFonts w:eastAsia="Times New Roman"/>
          <w:sz w:val="20"/>
          <w:szCs w:val="20"/>
          <w:lang w:val="pt-BR"/>
        </w:rPr>
        <w:t>(</w:t>
      </w:r>
      <w:r w:rsidR="00411669" w:rsidRPr="005C1D17">
        <w:rPr>
          <w:rFonts w:eastAsia="Times New Roman"/>
          <w:sz w:val="20"/>
          <w:szCs w:val="20"/>
          <w:lang w:val="pt-BR"/>
        </w:rPr>
        <w:t>Gráfico 1</w:t>
      </w:r>
      <w:r w:rsidRPr="005C1D17">
        <w:rPr>
          <w:rFonts w:eastAsia="Times New Roman"/>
          <w:sz w:val="20"/>
          <w:szCs w:val="20"/>
          <w:lang w:val="pt-BR"/>
        </w:rPr>
        <w:t>A) -</w:t>
      </w:r>
      <w:r w:rsidR="00411669" w:rsidRPr="005C1D17">
        <w:rPr>
          <w:rFonts w:eastAsia="Times New Roman"/>
          <w:sz w:val="20"/>
          <w:szCs w:val="20"/>
          <w:lang w:val="pt-BR"/>
        </w:rPr>
        <w:t xml:space="preserve"> Análise de prevalência de </w:t>
      </w:r>
      <w:r w:rsidR="00411669" w:rsidRPr="005C1D17">
        <w:rPr>
          <w:rFonts w:eastAsia="Times New Roman"/>
          <w:i/>
          <w:sz w:val="20"/>
          <w:szCs w:val="20"/>
          <w:lang w:val="pt-BR"/>
        </w:rPr>
        <w:t xml:space="preserve">Dendropsophus minutus. </w:t>
      </w:r>
      <w:r w:rsidRPr="005C1D17">
        <w:rPr>
          <w:rFonts w:eastAsia="Times New Roman"/>
          <w:sz w:val="20"/>
          <w:szCs w:val="20"/>
          <w:lang w:val="pt-BR"/>
        </w:rPr>
        <w:t>(</w:t>
      </w:r>
      <w:r w:rsidR="00411669" w:rsidRPr="005C1D17">
        <w:rPr>
          <w:rFonts w:eastAsia="Times New Roman"/>
          <w:sz w:val="20"/>
          <w:szCs w:val="20"/>
          <w:lang w:val="pt-BR"/>
        </w:rPr>
        <w:t>Gráfico 1</w:t>
      </w:r>
      <w:r w:rsidRPr="005C1D17">
        <w:rPr>
          <w:rFonts w:eastAsia="Times New Roman"/>
          <w:sz w:val="20"/>
          <w:szCs w:val="20"/>
          <w:lang w:val="pt-BR"/>
        </w:rPr>
        <w:t>B) -</w:t>
      </w:r>
      <w:r w:rsidR="00411669" w:rsidRPr="005C1D17">
        <w:rPr>
          <w:rFonts w:eastAsia="Times New Roman"/>
          <w:sz w:val="20"/>
          <w:szCs w:val="20"/>
          <w:lang w:val="pt-BR"/>
        </w:rPr>
        <w:t xml:space="preserve"> Análise de prevalência de </w:t>
      </w:r>
      <w:r w:rsidR="00411669" w:rsidRPr="005C1D17">
        <w:rPr>
          <w:rFonts w:eastAsia="Times New Roman"/>
          <w:i/>
          <w:sz w:val="20"/>
          <w:szCs w:val="20"/>
          <w:lang w:val="pt-BR"/>
        </w:rPr>
        <w:t>Physalaemus cuvieri.</w:t>
      </w:r>
    </w:p>
    <w:p w14:paraId="2B6428EF" w14:textId="77777777" w:rsidR="002F385B" w:rsidRPr="005C1D17" w:rsidRDefault="002F385B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3C83228E" w14:textId="77777777" w:rsidR="002F385B" w:rsidRPr="005C1D17" w:rsidRDefault="002F385B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0CAC07B" w14:textId="231FC891" w:rsidR="00FC6E1A" w:rsidRPr="005C1D17" w:rsidRDefault="00E46CC8" w:rsidP="00AC078F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5C1D17">
        <w:rPr>
          <w:rFonts w:eastAsia="Times New Roman"/>
          <w:b/>
          <w:sz w:val="20"/>
          <w:szCs w:val="20"/>
        </w:rPr>
        <w:t>CONCLUSÕES</w:t>
      </w:r>
    </w:p>
    <w:p w14:paraId="155E2ECE" w14:textId="77777777" w:rsidR="00AC078F" w:rsidRPr="005C1D17" w:rsidRDefault="00AC078F" w:rsidP="00AC078F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22A96730" w14:textId="1A7F50B0" w:rsidR="00B14407" w:rsidRDefault="007E0863" w:rsidP="00631548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 w:rsidRPr="005C1D17">
        <w:rPr>
          <w:rFonts w:eastAsia="Times New Roman"/>
          <w:sz w:val="20"/>
          <w:szCs w:val="20"/>
          <w:lang w:val="pt-BR"/>
        </w:rPr>
        <w:t xml:space="preserve">A análise de prevalência é uma </w:t>
      </w:r>
      <w:r w:rsidR="00631548" w:rsidRPr="005C1D17">
        <w:rPr>
          <w:rFonts w:eastAsia="Times New Roman"/>
          <w:sz w:val="20"/>
          <w:szCs w:val="20"/>
          <w:lang w:val="pt-BR"/>
        </w:rPr>
        <w:t>técnica</w:t>
      </w:r>
      <w:r w:rsidRPr="005C1D17">
        <w:rPr>
          <w:rFonts w:eastAsia="Times New Roman"/>
          <w:sz w:val="20"/>
          <w:szCs w:val="20"/>
          <w:lang w:val="pt-BR"/>
        </w:rPr>
        <w:t xml:space="preserve"> estatística utilizada constantemente</w:t>
      </w:r>
      <w:r w:rsidR="00023BA5" w:rsidRPr="005C1D17">
        <w:rPr>
          <w:rFonts w:eastAsia="Times New Roman"/>
          <w:sz w:val="20"/>
          <w:szCs w:val="20"/>
          <w:lang w:val="pt-BR"/>
        </w:rPr>
        <w:t xml:space="preserve"> </w:t>
      </w:r>
      <w:r w:rsidRPr="005C1D17">
        <w:rPr>
          <w:rFonts w:eastAsia="Times New Roman"/>
          <w:sz w:val="20"/>
          <w:szCs w:val="20"/>
          <w:lang w:val="pt-BR"/>
        </w:rPr>
        <w:t xml:space="preserve">para estimar a proporção de uma população que possui uma determinada condição ou característica em </w:t>
      </w:r>
      <w:r w:rsidR="00FC6E1A" w:rsidRPr="005C1D17">
        <w:rPr>
          <w:rFonts w:eastAsia="Times New Roman"/>
          <w:sz w:val="20"/>
          <w:szCs w:val="20"/>
          <w:lang w:val="pt-BR"/>
        </w:rPr>
        <w:t xml:space="preserve">um dado ponto no tempo, os diferentes estágios morfológicos encontrado na área estudada foi a ‘‘condição’’ necessária para que esse método de contagem fosse utilizado, sendo possível através </w:t>
      </w:r>
      <w:r w:rsidR="00E257EF" w:rsidRPr="005C1D17">
        <w:rPr>
          <w:rFonts w:eastAsia="Times New Roman"/>
          <w:sz w:val="20"/>
          <w:szCs w:val="20"/>
          <w:lang w:val="pt-BR"/>
        </w:rPr>
        <w:t>dele determinar a quantidade</w:t>
      </w:r>
      <w:r w:rsidR="000C553E" w:rsidRPr="005C1D17">
        <w:rPr>
          <w:rFonts w:eastAsia="Times New Roman"/>
          <w:sz w:val="20"/>
          <w:szCs w:val="20"/>
          <w:lang w:val="pt-BR"/>
        </w:rPr>
        <w:t xml:space="preserve"> e</w:t>
      </w:r>
      <w:r w:rsidR="00DC6CD0" w:rsidRPr="005C1D17">
        <w:rPr>
          <w:rFonts w:eastAsia="Times New Roman"/>
          <w:sz w:val="20"/>
          <w:szCs w:val="20"/>
          <w:lang w:val="pt-BR"/>
        </w:rPr>
        <w:t xml:space="preserve"> a</w:t>
      </w:r>
      <w:r w:rsidR="000C553E" w:rsidRPr="005C1D17">
        <w:rPr>
          <w:rFonts w:eastAsia="Times New Roman"/>
          <w:sz w:val="20"/>
          <w:szCs w:val="20"/>
          <w:lang w:val="pt-BR"/>
        </w:rPr>
        <w:t xml:space="preserve"> frequência </w:t>
      </w:r>
      <w:r w:rsidR="00E257EF" w:rsidRPr="005C1D17">
        <w:rPr>
          <w:rFonts w:eastAsia="Times New Roman"/>
          <w:sz w:val="20"/>
          <w:szCs w:val="20"/>
          <w:lang w:val="pt-BR"/>
        </w:rPr>
        <w:t xml:space="preserve"> mínima e máxima de 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larvas e </w:t>
      </w:r>
      <w:r w:rsidR="00E257EF" w:rsidRPr="005C1D17">
        <w:rPr>
          <w:rFonts w:eastAsia="Times New Roman"/>
          <w:sz w:val="20"/>
          <w:szCs w:val="20"/>
          <w:lang w:val="pt-BR"/>
        </w:rPr>
        <w:t>estágios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 encontrado</w:t>
      </w:r>
      <w:r w:rsidR="002F385B" w:rsidRPr="005C1D17">
        <w:rPr>
          <w:rFonts w:eastAsia="Times New Roman"/>
          <w:sz w:val="20"/>
          <w:szCs w:val="20"/>
          <w:lang w:val="pt-BR"/>
        </w:rPr>
        <w:t>s</w:t>
      </w:r>
      <w:r w:rsidR="00023BA5" w:rsidRPr="005C1D17">
        <w:rPr>
          <w:rFonts w:eastAsia="Times New Roman"/>
          <w:sz w:val="20"/>
          <w:szCs w:val="20"/>
          <w:lang w:val="pt-BR"/>
        </w:rPr>
        <w:t>,</w:t>
      </w:r>
      <w:r w:rsidR="00631548" w:rsidRPr="005C1D17">
        <w:rPr>
          <w:rFonts w:eastAsia="Times New Roman"/>
          <w:sz w:val="20"/>
          <w:szCs w:val="20"/>
          <w:lang w:val="pt-BR"/>
        </w:rPr>
        <w:t xml:space="preserve"> utilizando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 como </w:t>
      </w:r>
      <w:r w:rsidR="000C553E" w:rsidRPr="005C1D17">
        <w:rPr>
          <w:rFonts w:eastAsia="Times New Roman"/>
          <w:sz w:val="20"/>
          <w:szCs w:val="20"/>
          <w:lang w:val="pt-BR"/>
        </w:rPr>
        <w:t xml:space="preserve">auxílio </w:t>
      </w:r>
      <w:r w:rsidR="00631548" w:rsidRPr="005C1D17">
        <w:rPr>
          <w:rFonts w:eastAsia="Times New Roman"/>
          <w:sz w:val="20"/>
          <w:szCs w:val="20"/>
          <w:lang w:val="pt-BR"/>
        </w:rPr>
        <w:t>trabalhos já existentes para identificar</w:t>
      </w:r>
      <w:r w:rsidR="000C553E" w:rsidRPr="005C1D17">
        <w:rPr>
          <w:rFonts w:eastAsia="Times New Roman"/>
          <w:sz w:val="20"/>
          <w:szCs w:val="20"/>
          <w:lang w:val="pt-BR"/>
        </w:rPr>
        <w:t xml:space="preserve"> 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as </w:t>
      </w:r>
      <w:r w:rsidR="00631548" w:rsidRPr="005C1D17">
        <w:rPr>
          <w:rFonts w:eastAsia="Times New Roman"/>
          <w:sz w:val="20"/>
          <w:szCs w:val="20"/>
          <w:lang w:val="pt-BR"/>
        </w:rPr>
        <w:t>característica</w:t>
      </w:r>
      <w:r w:rsidR="005E6DF3" w:rsidRPr="005C1D17">
        <w:rPr>
          <w:rFonts w:eastAsia="Times New Roman"/>
          <w:sz w:val="20"/>
          <w:szCs w:val="20"/>
          <w:lang w:val="pt-BR"/>
        </w:rPr>
        <w:t xml:space="preserve">s morfológicas </w:t>
      </w:r>
      <w:r w:rsidR="000C553E" w:rsidRPr="005C1D17">
        <w:rPr>
          <w:rFonts w:eastAsia="Times New Roman"/>
          <w:sz w:val="20"/>
          <w:szCs w:val="20"/>
          <w:lang w:val="pt-BR"/>
        </w:rPr>
        <w:t>presentes nas larvas observada</w:t>
      </w:r>
      <w:r w:rsidR="00DC6CD0" w:rsidRPr="005C1D17">
        <w:rPr>
          <w:rFonts w:eastAsia="Times New Roman"/>
          <w:sz w:val="20"/>
          <w:szCs w:val="20"/>
          <w:lang w:val="pt-BR"/>
        </w:rPr>
        <w:t>s</w:t>
      </w:r>
      <w:r w:rsidR="000C553E" w:rsidRPr="005C1D17">
        <w:rPr>
          <w:rFonts w:eastAsia="Times New Roman"/>
          <w:sz w:val="20"/>
          <w:szCs w:val="20"/>
          <w:lang w:val="pt-BR"/>
        </w:rPr>
        <w:t xml:space="preserve"> durante o processo de triagem,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 os classificando</w:t>
      </w:r>
      <w:r w:rsidR="000C553E" w:rsidRPr="005C1D17">
        <w:rPr>
          <w:rFonts w:eastAsia="Times New Roman"/>
          <w:sz w:val="20"/>
          <w:szCs w:val="20"/>
          <w:lang w:val="pt-BR"/>
        </w:rPr>
        <w:t xml:space="preserve"> em diferentes estágios, </w:t>
      </w:r>
      <w:r w:rsidR="00397F4B" w:rsidRPr="005C1D17">
        <w:rPr>
          <w:rFonts w:eastAsia="Times New Roman"/>
          <w:sz w:val="20"/>
          <w:szCs w:val="20"/>
          <w:lang w:val="pt-BR"/>
        </w:rPr>
        <w:t>v</w:t>
      </w:r>
      <w:r w:rsidR="004A2494" w:rsidRPr="005C1D17">
        <w:rPr>
          <w:rFonts w:eastAsia="Times New Roman"/>
          <w:sz w:val="20"/>
          <w:szCs w:val="20"/>
          <w:lang w:val="pt-BR"/>
        </w:rPr>
        <w:t>isando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 também</w:t>
      </w:r>
      <w:r w:rsidR="004A2494" w:rsidRPr="005C1D17">
        <w:rPr>
          <w:rFonts w:eastAsia="Times New Roman"/>
          <w:sz w:val="20"/>
          <w:szCs w:val="20"/>
          <w:lang w:val="pt-BR"/>
        </w:rPr>
        <w:t xml:space="preserve"> </w:t>
      </w:r>
      <w:r w:rsidR="00023BA5" w:rsidRPr="005C1D17">
        <w:rPr>
          <w:rFonts w:eastAsia="Times New Roman"/>
          <w:sz w:val="20"/>
          <w:szCs w:val="20"/>
          <w:lang w:val="pt-BR"/>
        </w:rPr>
        <w:t xml:space="preserve">em enriquecer com </w:t>
      </w:r>
      <w:r w:rsidR="00631548" w:rsidRPr="005C1D17">
        <w:rPr>
          <w:rFonts w:eastAsia="Times New Roman"/>
          <w:sz w:val="20"/>
          <w:szCs w:val="20"/>
          <w:lang w:val="pt-BR"/>
        </w:rPr>
        <w:t xml:space="preserve">mais </w:t>
      </w:r>
      <w:r w:rsidR="004A2494" w:rsidRPr="005C1D17">
        <w:rPr>
          <w:rFonts w:eastAsia="Times New Roman"/>
          <w:sz w:val="20"/>
          <w:szCs w:val="20"/>
          <w:lang w:val="pt-BR"/>
        </w:rPr>
        <w:t>estudo</w:t>
      </w:r>
      <w:r w:rsidR="00631548" w:rsidRPr="005C1D17">
        <w:rPr>
          <w:rFonts w:eastAsia="Times New Roman"/>
          <w:sz w:val="20"/>
          <w:szCs w:val="20"/>
          <w:lang w:val="pt-BR"/>
        </w:rPr>
        <w:t>s</w:t>
      </w:r>
      <w:r w:rsidR="004A2494" w:rsidRPr="005C1D17">
        <w:rPr>
          <w:rFonts w:eastAsia="Times New Roman"/>
          <w:sz w:val="20"/>
          <w:szCs w:val="20"/>
          <w:lang w:val="pt-BR"/>
        </w:rPr>
        <w:t xml:space="preserve"> em pesquisas </w:t>
      </w:r>
      <w:r w:rsidR="000317AF" w:rsidRPr="005C1D17">
        <w:rPr>
          <w:rFonts w:eastAsia="Times New Roman"/>
          <w:sz w:val="20"/>
          <w:szCs w:val="20"/>
          <w:lang w:val="pt-BR"/>
        </w:rPr>
        <w:t>com</w:t>
      </w:r>
      <w:r w:rsidR="004A2494" w:rsidRPr="005C1D17">
        <w:rPr>
          <w:rFonts w:eastAsia="Times New Roman"/>
          <w:sz w:val="20"/>
          <w:szCs w:val="20"/>
          <w:lang w:val="pt-BR"/>
        </w:rPr>
        <w:t xml:space="preserve"> girinos, já que </w:t>
      </w:r>
      <w:r w:rsidR="00B14407" w:rsidRPr="005C1D17">
        <w:rPr>
          <w:rFonts w:eastAsia="Times New Roman"/>
          <w:sz w:val="20"/>
          <w:szCs w:val="20"/>
          <w:lang w:val="pt-BR"/>
        </w:rPr>
        <w:t xml:space="preserve">ainda </w:t>
      </w:r>
      <w:r w:rsidR="005E6DF3" w:rsidRPr="005C1D17">
        <w:rPr>
          <w:rFonts w:eastAsia="Times New Roman"/>
          <w:sz w:val="20"/>
          <w:szCs w:val="20"/>
          <w:lang w:val="pt-BR"/>
        </w:rPr>
        <w:t>há</w:t>
      </w:r>
      <w:r w:rsidR="00750434" w:rsidRPr="005C1D17">
        <w:rPr>
          <w:rFonts w:eastAsia="Times New Roman"/>
          <w:sz w:val="20"/>
          <w:szCs w:val="20"/>
          <w:lang w:val="pt-BR"/>
        </w:rPr>
        <w:t xml:space="preserve"> presença de </w:t>
      </w:r>
      <w:r w:rsidR="00B14407" w:rsidRPr="005C1D17">
        <w:rPr>
          <w:rFonts w:eastAsia="Times New Roman"/>
          <w:sz w:val="20"/>
          <w:szCs w:val="20"/>
          <w:lang w:val="pt-BR"/>
        </w:rPr>
        <w:t xml:space="preserve">lacunas nesse âmbito de pesquisa. </w:t>
      </w:r>
    </w:p>
    <w:p w14:paraId="259C1F05" w14:textId="77777777" w:rsidR="00C26583" w:rsidRPr="005C1D17" w:rsidRDefault="00C26583" w:rsidP="00631548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</w:p>
    <w:p w14:paraId="15B4EFF5" w14:textId="0AEDDAF8" w:rsidR="00414E88" w:rsidRPr="005C1D17" w:rsidRDefault="00E46CC8">
      <w:pPr>
        <w:spacing w:line="240" w:lineRule="auto"/>
        <w:jc w:val="both"/>
        <w:rPr>
          <w:rFonts w:eastAsiaTheme="minorEastAsia"/>
          <w:b/>
          <w:sz w:val="20"/>
          <w:szCs w:val="20"/>
          <w:lang w:val="pt-BR" w:eastAsia="zh-CN"/>
        </w:rPr>
      </w:pPr>
      <w:r w:rsidRPr="005C1D17">
        <w:rPr>
          <w:rFonts w:eastAsia="Times New Roman"/>
          <w:b/>
          <w:sz w:val="20"/>
          <w:szCs w:val="20"/>
        </w:rPr>
        <w:t xml:space="preserve">REFERÊNCIAS </w:t>
      </w:r>
      <w:r w:rsidR="000833CE" w:rsidRPr="005C1D17">
        <w:rPr>
          <w:rFonts w:eastAsia="Times New Roman"/>
          <w:b/>
          <w:sz w:val="20"/>
          <w:szCs w:val="20"/>
          <w:lang w:val="pt-BR"/>
        </w:rPr>
        <w:t xml:space="preserve">  </w:t>
      </w:r>
    </w:p>
    <w:p w14:paraId="596646C5" w14:textId="77777777" w:rsidR="00EF3458" w:rsidRPr="005C1D17" w:rsidRDefault="00EF3458" w:rsidP="005C1D1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325EEBE4" w14:textId="754FA6F6" w:rsidR="00930357" w:rsidRPr="005C1D17" w:rsidRDefault="00F53164" w:rsidP="005C1D17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5C1D17">
        <w:rPr>
          <w:rFonts w:eastAsiaTheme="minorEastAsia"/>
          <w:sz w:val="20"/>
          <w:szCs w:val="20"/>
          <w:lang w:val="pt-BR" w:eastAsia="zh-CN"/>
        </w:rPr>
        <w:t>Alting, R., McDiarmid, R, W. 2015</w:t>
      </w:r>
      <w:r w:rsidR="00EF3458" w:rsidRPr="005C1D17">
        <w:rPr>
          <w:rFonts w:eastAsiaTheme="minorEastAsia"/>
          <w:sz w:val="20"/>
          <w:szCs w:val="20"/>
          <w:lang w:val="pt-BR" w:eastAsia="zh-CN"/>
        </w:rPr>
        <w:t>. Body: development and morphology. In Tadpole</w:t>
      </w:r>
      <w:r w:rsidRPr="005C1D17">
        <w:rPr>
          <w:rFonts w:eastAsiaTheme="minorEastAsia"/>
          <w:sz w:val="20"/>
          <w:szCs w:val="20"/>
          <w:lang w:val="pt-BR" w:eastAsia="zh-CN"/>
        </w:rPr>
        <w:t xml:space="preserve">s: The Biology of Anuran Larvae, </w:t>
      </w:r>
      <w:r w:rsidR="00EF3458" w:rsidRPr="005C1D17">
        <w:rPr>
          <w:rFonts w:eastAsiaTheme="minorEastAsia"/>
          <w:sz w:val="20"/>
          <w:szCs w:val="20"/>
          <w:lang w:val="pt-BR" w:eastAsia="zh-CN"/>
        </w:rPr>
        <w:t>Universi</w:t>
      </w:r>
      <w:r w:rsidR="00005F24" w:rsidRPr="005C1D17">
        <w:rPr>
          <w:rFonts w:eastAsiaTheme="minorEastAsia"/>
          <w:sz w:val="20"/>
          <w:szCs w:val="20"/>
          <w:lang w:val="pt-BR" w:eastAsia="zh-CN"/>
        </w:rPr>
        <w:t>ty of chicago Press.</w:t>
      </w:r>
      <w:r w:rsidRPr="005C1D17">
        <w:rPr>
          <w:rFonts w:eastAsiaTheme="minorEastAsia"/>
          <w:sz w:val="20"/>
          <w:szCs w:val="20"/>
          <w:lang w:val="pt-BR" w:eastAsia="zh-CN"/>
        </w:rPr>
        <w:t xml:space="preserve"> pp. 24-62.</w:t>
      </w:r>
    </w:p>
    <w:p w14:paraId="24E20A62" w14:textId="77777777" w:rsidR="00691D6D" w:rsidRPr="005C1D17" w:rsidRDefault="00691D6D" w:rsidP="00512D40">
      <w:pPr>
        <w:spacing w:line="240" w:lineRule="auto"/>
        <w:rPr>
          <w:rFonts w:eastAsiaTheme="minorEastAsia"/>
          <w:sz w:val="20"/>
          <w:szCs w:val="20"/>
          <w:lang w:val="pt-BR" w:eastAsia="zh-CN"/>
        </w:rPr>
      </w:pPr>
    </w:p>
    <w:p w14:paraId="6A514EDE" w14:textId="0BC5285A" w:rsidR="00C81213" w:rsidRPr="005C1D17" w:rsidRDefault="00C81213" w:rsidP="00512D40">
      <w:pPr>
        <w:spacing w:line="240" w:lineRule="auto"/>
        <w:jc w:val="both"/>
        <w:rPr>
          <w:sz w:val="20"/>
          <w:szCs w:val="20"/>
          <w:lang w:val="pt-BR"/>
        </w:rPr>
      </w:pPr>
      <w:r w:rsidRPr="005C1D17">
        <w:rPr>
          <w:rFonts w:eastAsiaTheme="minorEastAsia"/>
          <w:sz w:val="20"/>
          <w:szCs w:val="20"/>
          <w:lang w:val="pt-BR" w:eastAsia="zh-CN"/>
        </w:rPr>
        <w:t xml:space="preserve">Alvez-Ferreira, G.; Paixão, I.B.F. &amp; Nomura, F. 2021. </w:t>
      </w:r>
      <w:r w:rsidRPr="005C1D17">
        <w:rPr>
          <w:sz w:val="20"/>
          <w:szCs w:val="20"/>
        </w:rPr>
        <w:t>Morphological characterization and diversity of tadpoles (Amphibia: Anura) at Emas National Park and its surrounding, Goiás State, Brazil</w:t>
      </w:r>
      <w:r w:rsidRPr="005C1D17">
        <w:rPr>
          <w:sz w:val="20"/>
          <w:szCs w:val="20"/>
          <w:lang w:val="pt-BR"/>
        </w:rPr>
        <w:t xml:space="preserve">. </w:t>
      </w:r>
      <w:r w:rsidRPr="005C1D17">
        <w:rPr>
          <w:sz w:val="20"/>
          <w:szCs w:val="20"/>
        </w:rPr>
        <w:t>Biota Neotropica 21(4): e20201178</w:t>
      </w:r>
      <w:r w:rsidRPr="005C1D17">
        <w:rPr>
          <w:sz w:val="20"/>
          <w:szCs w:val="20"/>
          <w:lang w:val="pt-BR"/>
        </w:rPr>
        <w:t>.</w:t>
      </w:r>
    </w:p>
    <w:p w14:paraId="0EB52334" w14:textId="77777777" w:rsidR="00691D6D" w:rsidRPr="005C1D17" w:rsidRDefault="00691D6D" w:rsidP="00512D40">
      <w:pPr>
        <w:spacing w:line="240" w:lineRule="auto"/>
        <w:jc w:val="both"/>
        <w:rPr>
          <w:sz w:val="20"/>
          <w:szCs w:val="20"/>
          <w:lang w:val="pt-BR"/>
        </w:rPr>
      </w:pPr>
    </w:p>
    <w:p w14:paraId="5F33959F" w14:textId="3B15E41F" w:rsidR="00691D6D" w:rsidRPr="005C1D17" w:rsidRDefault="00C81213" w:rsidP="000654DF">
      <w:pPr>
        <w:spacing w:line="240" w:lineRule="auto"/>
        <w:jc w:val="both"/>
        <w:rPr>
          <w:sz w:val="20"/>
          <w:szCs w:val="20"/>
          <w:lang w:val="pt-BR"/>
        </w:rPr>
      </w:pPr>
      <w:r w:rsidRPr="005C1D17">
        <w:rPr>
          <w:sz w:val="20"/>
          <w:szCs w:val="20"/>
          <w:lang w:val="pt-BR"/>
        </w:rPr>
        <w:t xml:space="preserve">Dubeux, M.J.M.; Nascimento, F.A.C.N.; Lima, L.R.; Magalhães, F.M.; Silva, I.R.S.; Gonçalves, U.; Almeida, J.P.F.; Correia, L.L.; Garda, A.A.; Mesquita, D.O.; Rossa-Feres, D.C. &amp; Mott, T. 2020. </w:t>
      </w:r>
      <w:r w:rsidRPr="005C1D17">
        <w:rPr>
          <w:sz w:val="20"/>
          <w:szCs w:val="20"/>
        </w:rPr>
        <w:t>Morphological characterization and taxonomic key of tadpoles (Amphibia: Anura) from the northern region of the Atlantic Forest</w:t>
      </w:r>
      <w:r w:rsidRPr="005C1D17">
        <w:rPr>
          <w:sz w:val="20"/>
          <w:szCs w:val="20"/>
          <w:lang w:val="pt-BR"/>
        </w:rPr>
        <w:t xml:space="preserve">. </w:t>
      </w:r>
      <w:r w:rsidRPr="005C1D17">
        <w:rPr>
          <w:sz w:val="20"/>
          <w:szCs w:val="20"/>
        </w:rPr>
        <w:t>Biota Neotropica 20(2): e20180718</w:t>
      </w:r>
      <w:r w:rsidRPr="005C1D17">
        <w:rPr>
          <w:sz w:val="20"/>
          <w:szCs w:val="20"/>
          <w:lang w:val="pt-BR"/>
        </w:rPr>
        <w:t>.</w:t>
      </w:r>
    </w:p>
    <w:p w14:paraId="51DD46F6" w14:textId="77777777" w:rsidR="000654DF" w:rsidRPr="005C1D17" w:rsidRDefault="000654DF" w:rsidP="000654DF">
      <w:pPr>
        <w:spacing w:line="240" w:lineRule="auto"/>
        <w:jc w:val="both"/>
        <w:rPr>
          <w:sz w:val="20"/>
          <w:szCs w:val="20"/>
          <w:lang w:val="pt-BR"/>
        </w:rPr>
      </w:pPr>
    </w:p>
    <w:p w14:paraId="0045D5EB" w14:textId="7AE8C334" w:rsidR="00C81213" w:rsidRPr="005C1D17" w:rsidRDefault="00AE5C77" w:rsidP="00512D40">
      <w:pPr>
        <w:spacing w:line="240" w:lineRule="auto"/>
        <w:jc w:val="both"/>
        <w:rPr>
          <w:bCs/>
          <w:color w:val="000000"/>
          <w:sz w:val="20"/>
          <w:szCs w:val="20"/>
          <w:shd w:val="clear" w:color="auto" w:fill="FFFFFF"/>
          <w:lang w:val="pt-BR"/>
        </w:rPr>
      </w:pPr>
      <w:r w:rsidRPr="005C1D17">
        <w:rPr>
          <w:sz w:val="20"/>
          <w:szCs w:val="20"/>
          <w:lang w:val="pt-BR"/>
        </w:rPr>
        <w:t xml:space="preserve">Duellman, W.E. &amp; Trueb, L. 1994. Biology of Aphibians. </w:t>
      </w:r>
      <w:r w:rsidRPr="005C1D17">
        <w:rPr>
          <w:bCs/>
          <w:color w:val="000000"/>
          <w:sz w:val="20"/>
          <w:szCs w:val="20"/>
          <w:shd w:val="clear" w:color="auto" w:fill="FFFFFF"/>
        </w:rPr>
        <w:t>The Johns Hopkins University Press</w:t>
      </w:r>
      <w:r w:rsidRPr="005C1D17">
        <w:rPr>
          <w:bCs/>
          <w:color w:val="000000"/>
          <w:sz w:val="20"/>
          <w:szCs w:val="20"/>
          <w:shd w:val="clear" w:color="auto" w:fill="FFFFFF"/>
          <w:lang w:val="pt-BR"/>
        </w:rPr>
        <w:t xml:space="preserve">. </w:t>
      </w:r>
      <w:r w:rsidR="00815131" w:rsidRPr="005C1D17">
        <w:rPr>
          <w:bCs/>
          <w:color w:val="000000"/>
          <w:sz w:val="20"/>
          <w:szCs w:val="20"/>
          <w:shd w:val="clear" w:color="auto" w:fill="FFFFFF"/>
          <w:lang w:val="pt-BR"/>
        </w:rPr>
        <w:t>2+670p</w:t>
      </w:r>
    </w:p>
    <w:p w14:paraId="17FDC317" w14:textId="77777777" w:rsidR="00D24EFA" w:rsidRPr="005C1D17" w:rsidRDefault="00D24EFA" w:rsidP="00512D40">
      <w:pPr>
        <w:spacing w:line="240" w:lineRule="auto"/>
        <w:jc w:val="both"/>
        <w:rPr>
          <w:sz w:val="20"/>
          <w:szCs w:val="20"/>
          <w:lang w:val="pt-BR"/>
        </w:rPr>
      </w:pPr>
    </w:p>
    <w:p w14:paraId="6C3AB25C" w14:textId="37B01AAD" w:rsidR="00691D6D" w:rsidRPr="005C1D17" w:rsidRDefault="00C81213" w:rsidP="00512D40">
      <w:pPr>
        <w:spacing w:line="240" w:lineRule="auto"/>
        <w:jc w:val="both"/>
        <w:rPr>
          <w:rStyle w:val="src"/>
          <w:rFonts w:eastAsiaTheme="minorEastAsia"/>
          <w:spacing w:val="-5"/>
          <w:sz w:val="20"/>
          <w:szCs w:val="20"/>
          <w:lang w:eastAsia="zh-CN"/>
        </w:rPr>
      </w:pPr>
      <w:r w:rsidRPr="005C1D17">
        <w:rPr>
          <w:sz w:val="20"/>
          <w:szCs w:val="20"/>
          <w:lang w:val="pt-BR"/>
        </w:rPr>
        <w:t xml:space="preserve">Gosner, K.L. 1960. </w:t>
      </w:r>
      <w:r w:rsidRPr="005C1D17">
        <w:rPr>
          <w:spacing w:val="-4"/>
          <w:sz w:val="20"/>
          <w:szCs w:val="20"/>
        </w:rPr>
        <w:t>A Simplified Table for Staging Anuran Embryos and Larvae with Notes on Identification</w:t>
      </w:r>
      <w:r w:rsidRPr="005C1D17">
        <w:rPr>
          <w:spacing w:val="-4"/>
          <w:sz w:val="20"/>
          <w:szCs w:val="20"/>
          <w:lang w:val="pt-BR"/>
        </w:rPr>
        <w:t xml:space="preserve">. Herpetologica, </w:t>
      </w:r>
      <w:r w:rsidRPr="005C1D17">
        <w:rPr>
          <w:rStyle w:val="src"/>
          <w:spacing w:val="-5"/>
          <w:sz w:val="20"/>
          <w:szCs w:val="20"/>
        </w:rPr>
        <w:t xml:space="preserve">Vol. 16, No. </w:t>
      </w:r>
      <w:r w:rsidR="00FC498F" w:rsidRPr="005C1D17">
        <w:rPr>
          <w:rStyle w:val="src"/>
          <w:spacing w:val="-5"/>
          <w:sz w:val="20"/>
          <w:szCs w:val="20"/>
          <w:lang w:val="pt-BR"/>
        </w:rPr>
        <w:t>(</w:t>
      </w:r>
      <w:r w:rsidRPr="005C1D17">
        <w:rPr>
          <w:rStyle w:val="src"/>
          <w:spacing w:val="-5"/>
          <w:sz w:val="20"/>
          <w:szCs w:val="20"/>
        </w:rPr>
        <w:t>3</w:t>
      </w:r>
      <w:r w:rsidR="00FC498F" w:rsidRPr="005C1D17">
        <w:rPr>
          <w:rStyle w:val="src"/>
          <w:spacing w:val="-5"/>
          <w:sz w:val="20"/>
          <w:szCs w:val="20"/>
          <w:lang w:val="pt-BR"/>
        </w:rPr>
        <w:t>)</w:t>
      </w:r>
      <w:r w:rsidRPr="005C1D17">
        <w:rPr>
          <w:rStyle w:val="src"/>
          <w:spacing w:val="-5"/>
          <w:sz w:val="20"/>
          <w:szCs w:val="20"/>
        </w:rPr>
        <w:t>, pp. 183-190</w:t>
      </w:r>
    </w:p>
    <w:p w14:paraId="79FC22CE" w14:textId="77777777" w:rsidR="00AE452F" w:rsidRPr="005C1D17" w:rsidRDefault="00AE452F" w:rsidP="00512D40">
      <w:pPr>
        <w:spacing w:line="240" w:lineRule="auto"/>
        <w:jc w:val="both"/>
        <w:rPr>
          <w:rFonts w:eastAsiaTheme="minorEastAsia"/>
          <w:spacing w:val="-5"/>
          <w:sz w:val="20"/>
          <w:szCs w:val="20"/>
          <w:lang w:eastAsia="zh-CN"/>
        </w:rPr>
      </w:pPr>
    </w:p>
    <w:p w14:paraId="7A7E8724" w14:textId="6F269F09" w:rsidR="00DE5F11" w:rsidRPr="005C1D17" w:rsidRDefault="00414E88" w:rsidP="00512D40">
      <w:pPr>
        <w:spacing w:line="240" w:lineRule="auto"/>
        <w:rPr>
          <w:rStyle w:val="eop"/>
          <w:rFonts w:eastAsiaTheme="minorEastAsia"/>
          <w:color w:val="000000"/>
          <w:sz w:val="20"/>
          <w:szCs w:val="20"/>
          <w:shd w:val="clear" w:color="auto" w:fill="FFFFFF"/>
          <w:lang w:eastAsia="zh-CN"/>
        </w:rPr>
      </w:pPr>
      <w:r w:rsidRPr="005C1D17">
        <w:rPr>
          <w:rStyle w:val="normaltextrun"/>
          <w:color w:val="000000"/>
          <w:sz w:val="20"/>
          <w:szCs w:val="20"/>
          <w:shd w:val="clear" w:color="auto" w:fill="FFFFFF"/>
          <w:lang w:eastAsia="zh-CN"/>
        </w:rPr>
        <w:t>Lima, M.S.C.S</w:t>
      </w:r>
      <w:r w:rsidR="000833CE" w:rsidRPr="005C1D17">
        <w:rPr>
          <w:rStyle w:val="normaltextrun"/>
          <w:color w:val="000000"/>
          <w:sz w:val="20"/>
          <w:szCs w:val="20"/>
          <w:shd w:val="clear" w:color="auto" w:fill="FFFFFF"/>
          <w:lang w:val="pt-BR" w:eastAsia="zh-CN"/>
        </w:rPr>
        <w:t>.</w:t>
      </w:r>
      <w:r w:rsidRPr="005C1D17">
        <w:rPr>
          <w:rStyle w:val="normaltextrun"/>
          <w:color w:val="000000"/>
          <w:sz w:val="20"/>
          <w:szCs w:val="20"/>
          <w:shd w:val="clear" w:color="auto" w:fill="FFFFFF"/>
          <w:lang w:eastAsia="zh-CN"/>
        </w:rPr>
        <w:t>; Pederassi, J</w:t>
      </w:r>
      <w:r w:rsidR="00930357" w:rsidRPr="005C1D17">
        <w:rPr>
          <w:rStyle w:val="normaltextrun"/>
          <w:color w:val="000000"/>
          <w:sz w:val="20"/>
          <w:szCs w:val="20"/>
          <w:shd w:val="clear" w:color="auto" w:fill="FFFFFF"/>
          <w:lang w:val="pt-BR" w:eastAsia="zh-CN"/>
        </w:rPr>
        <w:t>.</w:t>
      </w:r>
      <w:r w:rsidRPr="005C1D17">
        <w:rPr>
          <w:rStyle w:val="normaltextrun"/>
          <w:color w:val="000000"/>
          <w:sz w:val="20"/>
          <w:szCs w:val="20"/>
          <w:shd w:val="clear" w:color="auto" w:fill="FFFFFF"/>
          <w:lang w:eastAsia="zh-CN"/>
        </w:rPr>
        <w:t xml:space="preserve"> &amp;</w:t>
      </w:r>
      <w:r w:rsidR="000833CE" w:rsidRPr="005C1D17">
        <w:rPr>
          <w:rStyle w:val="normaltextrun"/>
          <w:color w:val="000000"/>
          <w:sz w:val="20"/>
          <w:szCs w:val="20"/>
          <w:shd w:val="clear" w:color="auto" w:fill="FFFFFF"/>
          <w:lang w:val="pt-BR" w:eastAsia="zh-CN"/>
        </w:rPr>
        <w:t xml:space="preserve"> </w:t>
      </w:r>
      <w:r w:rsidRPr="005C1D17">
        <w:rPr>
          <w:rStyle w:val="normaltextrun"/>
          <w:color w:val="000000"/>
          <w:sz w:val="20"/>
          <w:szCs w:val="20"/>
          <w:shd w:val="clear" w:color="auto" w:fill="FFFFFF"/>
          <w:lang w:eastAsia="zh-CN"/>
        </w:rPr>
        <w:t xml:space="preserve">Souza, C.A.S. 2022. Tadpole assemblage in temporary ponds in southern Piuaí, Brazil. Amphibian &amp; Reptile Conservation, 16(1): 257–264 </w:t>
      </w:r>
      <w:r w:rsidRPr="005C1D17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58D02F5F" w14:textId="77777777" w:rsidR="00AE452F" w:rsidRPr="005C1D17" w:rsidRDefault="00AE452F" w:rsidP="00512D40">
      <w:pPr>
        <w:spacing w:line="240" w:lineRule="auto"/>
        <w:rPr>
          <w:rStyle w:val="eop"/>
          <w:rFonts w:eastAsiaTheme="minorEastAsia"/>
          <w:color w:val="000000"/>
          <w:sz w:val="20"/>
          <w:szCs w:val="20"/>
          <w:shd w:val="clear" w:color="auto" w:fill="FFFFFF"/>
          <w:lang w:eastAsia="zh-CN"/>
        </w:rPr>
      </w:pPr>
    </w:p>
    <w:p w14:paraId="61214343" w14:textId="43A6C028" w:rsidR="00DE5F11" w:rsidRPr="005C1D17" w:rsidRDefault="00DE5F11" w:rsidP="00AE452F">
      <w:pPr>
        <w:spacing w:line="240" w:lineRule="auto"/>
        <w:jc w:val="both"/>
        <w:rPr>
          <w:rFonts w:eastAsiaTheme="minorEastAsia"/>
          <w:sz w:val="20"/>
          <w:szCs w:val="20"/>
          <w:shd w:val="clear" w:color="auto" w:fill="FFFFFF"/>
          <w:lang w:val="pt-BR" w:eastAsia="zh-CN"/>
        </w:rPr>
      </w:pPr>
      <w:r w:rsidRPr="005C1D17">
        <w:rPr>
          <w:rStyle w:val="eop"/>
          <w:rFonts w:eastAsiaTheme="minorEastAsia"/>
          <w:color w:val="000000"/>
          <w:sz w:val="20"/>
          <w:szCs w:val="20"/>
          <w:shd w:val="clear" w:color="auto" w:fill="FFFFFF"/>
          <w:lang w:eastAsia="zh-CN"/>
        </w:rPr>
        <w:t>P</w:t>
      </w:r>
      <w:r w:rsidRPr="005C1D17">
        <w:rPr>
          <w:rStyle w:val="eop"/>
          <w:rFonts w:eastAsiaTheme="minorEastAsia"/>
          <w:color w:val="000000"/>
          <w:sz w:val="20"/>
          <w:szCs w:val="20"/>
          <w:shd w:val="clear" w:color="auto" w:fill="FFFFFF"/>
          <w:lang w:val="pt-BR" w:eastAsia="zh-CN"/>
        </w:rPr>
        <w:t xml:space="preserve">rovete, D.B.; Guimarães, C.S.; Melo, L.S.O.; Rossa-Feres, D.C. Tadple of Proceratophrys Mantiqueira.  2023. Disponível em: </w:t>
      </w:r>
      <w:hyperlink r:id="rId9" w:history="1">
        <w:r w:rsidRPr="005C1D17">
          <w:rPr>
            <w:rStyle w:val="Hyperlink"/>
            <w:rFonts w:eastAsiaTheme="minorEastAsia"/>
            <w:color w:val="000000" w:themeColor="text1"/>
            <w:sz w:val="20"/>
            <w:szCs w:val="20"/>
            <w:u w:val="none"/>
            <w:shd w:val="clear" w:color="auto" w:fill="FFFFFF"/>
            <w:lang w:val="pt-BR" w:eastAsia="zh-CN"/>
          </w:rPr>
          <w:t>https://inbio.ufms.br/laboratorios/ecologia/biosyn/base-dados-girinos/</w:t>
        </w:r>
      </w:hyperlink>
      <w:r w:rsidRPr="005C1D17">
        <w:rPr>
          <w:rFonts w:eastAsiaTheme="minorEastAsia"/>
          <w:color w:val="000000" w:themeColor="text1"/>
          <w:sz w:val="20"/>
          <w:szCs w:val="20"/>
          <w:shd w:val="clear" w:color="auto" w:fill="FFFFFF"/>
          <w:lang w:val="pt-BR" w:eastAsia="zh-CN"/>
        </w:rPr>
        <w:t xml:space="preserve"> </w:t>
      </w:r>
      <w:r w:rsidRPr="005C1D17">
        <w:rPr>
          <w:rFonts w:eastAsiaTheme="minorEastAsia"/>
          <w:sz w:val="20"/>
          <w:szCs w:val="20"/>
          <w:shd w:val="clear" w:color="auto" w:fill="FFFFFF"/>
          <w:lang w:val="pt-BR" w:eastAsia="zh-CN"/>
        </w:rPr>
        <w:t>Data de acesso [05/07/2023]</w:t>
      </w:r>
    </w:p>
    <w:p w14:paraId="45B63723" w14:textId="77777777" w:rsidR="00AE452F" w:rsidRPr="005C1D17" w:rsidRDefault="00AE452F" w:rsidP="00AE452F">
      <w:pPr>
        <w:spacing w:line="240" w:lineRule="auto"/>
        <w:jc w:val="both"/>
        <w:rPr>
          <w:rStyle w:val="eop"/>
          <w:rFonts w:eastAsiaTheme="minorEastAsia"/>
          <w:sz w:val="20"/>
          <w:szCs w:val="20"/>
          <w:shd w:val="clear" w:color="auto" w:fill="FFFFFF"/>
          <w:lang w:val="pt-BR" w:eastAsia="zh-CN"/>
        </w:rPr>
      </w:pPr>
    </w:p>
    <w:p w14:paraId="22D968E9" w14:textId="19BEB15B" w:rsidR="00691D6D" w:rsidRPr="005C1D17" w:rsidRDefault="00C81213" w:rsidP="00512D40">
      <w:pPr>
        <w:spacing w:line="240" w:lineRule="auto"/>
        <w:rPr>
          <w:sz w:val="20"/>
          <w:szCs w:val="20"/>
          <w:lang w:val="pt-BR"/>
        </w:rPr>
      </w:pPr>
      <w:r w:rsidRPr="005C1D17">
        <w:rPr>
          <w:rFonts w:eastAsiaTheme="minorEastAsia"/>
          <w:sz w:val="20"/>
          <w:szCs w:val="20"/>
          <w:lang w:val="pt-BR" w:eastAsia="zh-CN"/>
        </w:rPr>
        <w:t xml:space="preserve">Schulze, A.; Jansen, M. &amp; Kõhler, G. 2015. </w:t>
      </w:r>
      <w:r w:rsidRPr="005C1D17">
        <w:rPr>
          <w:sz w:val="20"/>
          <w:szCs w:val="20"/>
        </w:rPr>
        <w:t>Tadpole diversity of Bolivia's lowland anuran communities: molecular identification, morphological characterisation, and ecological assignment</w:t>
      </w:r>
      <w:r w:rsidRPr="005C1D17">
        <w:rPr>
          <w:sz w:val="20"/>
          <w:szCs w:val="20"/>
          <w:lang w:val="pt-BR"/>
        </w:rPr>
        <w:t>. Zootaxa 4016 (1). 1-111.</w:t>
      </w:r>
    </w:p>
    <w:p w14:paraId="7A6E1B91" w14:textId="77777777" w:rsidR="00AE452F" w:rsidRPr="005C1D17" w:rsidRDefault="00AE452F" w:rsidP="00512D40">
      <w:pPr>
        <w:spacing w:line="240" w:lineRule="auto"/>
        <w:rPr>
          <w:rStyle w:val="eop"/>
          <w:sz w:val="20"/>
          <w:szCs w:val="20"/>
          <w:lang w:val="pt-BR"/>
        </w:rPr>
      </w:pPr>
    </w:p>
    <w:p w14:paraId="30F83312" w14:textId="78A980CA" w:rsidR="000654DF" w:rsidRPr="005C1D17" w:rsidRDefault="00C81213" w:rsidP="00512D40">
      <w:pPr>
        <w:spacing w:line="240" w:lineRule="auto"/>
        <w:jc w:val="both"/>
        <w:rPr>
          <w:rStyle w:val="src"/>
          <w:rFonts w:eastAsiaTheme="minorEastAsia"/>
          <w:spacing w:val="-5"/>
          <w:sz w:val="20"/>
          <w:szCs w:val="20"/>
          <w:lang w:val="pt-BR" w:eastAsia="zh-CN"/>
        </w:rPr>
      </w:pPr>
      <w:r w:rsidRPr="005C1D17">
        <w:rPr>
          <w:rStyle w:val="src"/>
          <w:rFonts w:eastAsiaTheme="minorEastAsia"/>
          <w:spacing w:val="-5"/>
          <w:sz w:val="20"/>
          <w:szCs w:val="20"/>
          <w:lang w:eastAsia="zh-CN"/>
        </w:rPr>
        <w:t>S</w:t>
      </w:r>
      <w:r w:rsidRPr="005C1D17">
        <w:rPr>
          <w:rStyle w:val="src"/>
          <w:rFonts w:eastAsiaTheme="minorEastAsia"/>
          <w:spacing w:val="-5"/>
          <w:sz w:val="20"/>
          <w:szCs w:val="20"/>
          <w:lang w:val="pt-BR" w:eastAsia="zh-CN"/>
        </w:rPr>
        <w:t xml:space="preserve">egalla, M.V.; Berneck, B.; Canedo, C.; Caramaschi, U.; Cruz, C.A.G.; Garcia, P.C.A.; Grant, T.; Haddad, C.F.B.; Lourenço, A.C.C.; Mângia, S.; Mott, T.; Nascimento, L.B.N.; Toledo, L.F.; Werneck, F.P.; Langone, J.A. 2021. List of Brazilian Amphibians. </w:t>
      </w:r>
    </w:p>
    <w:p w14:paraId="6D24926B" w14:textId="77777777" w:rsidR="00AE452F" w:rsidRPr="005C1D17" w:rsidRDefault="00AE452F" w:rsidP="00512D40">
      <w:pPr>
        <w:spacing w:line="240" w:lineRule="auto"/>
        <w:jc w:val="both"/>
        <w:rPr>
          <w:rStyle w:val="src"/>
          <w:rFonts w:eastAsiaTheme="minorEastAsia"/>
          <w:spacing w:val="-5"/>
          <w:sz w:val="20"/>
          <w:szCs w:val="20"/>
          <w:lang w:val="pt-BR" w:eastAsia="zh-CN"/>
        </w:rPr>
      </w:pPr>
    </w:p>
    <w:p w14:paraId="4F19BEB3" w14:textId="6AF5F449" w:rsidR="000654DF" w:rsidRPr="005C1D17" w:rsidRDefault="000654DF" w:rsidP="00AE452F">
      <w:pPr>
        <w:suppressAutoHyphens/>
        <w:spacing w:after="26" w:line="240" w:lineRule="auto"/>
        <w:jc w:val="both"/>
        <w:rPr>
          <w:color w:val="000000"/>
          <w:sz w:val="20"/>
          <w:szCs w:val="20"/>
          <w:lang w:val="pt-BR" w:eastAsia="zh-CN" w:bidi="hi-IN"/>
        </w:rPr>
      </w:pPr>
      <w:r w:rsidRPr="005C1D17">
        <w:rPr>
          <w:sz w:val="20"/>
          <w:szCs w:val="20"/>
        </w:rPr>
        <w:t>Silva-Soares, T.</w:t>
      </w:r>
      <w:r w:rsidR="00216EBD" w:rsidRPr="005C1D17">
        <w:rPr>
          <w:sz w:val="20"/>
          <w:szCs w:val="20"/>
          <w:lang w:val="pt-BR"/>
        </w:rPr>
        <w:t>; Monjardim, M.;</w:t>
      </w:r>
      <w:r w:rsidR="00216EBD" w:rsidRPr="005C1D17">
        <w:rPr>
          <w:sz w:val="20"/>
          <w:szCs w:val="20"/>
        </w:rPr>
        <w:t xml:space="preserve"> </w:t>
      </w:r>
      <w:r w:rsidRPr="005C1D17">
        <w:rPr>
          <w:sz w:val="20"/>
          <w:szCs w:val="20"/>
        </w:rPr>
        <w:t>Figueiredo, R.G. 2023</w:t>
      </w:r>
      <w:r w:rsidRPr="005C1D17">
        <w:rPr>
          <w:sz w:val="20"/>
          <w:szCs w:val="20"/>
          <w:lang w:val="pt-BR"/>
        </w:rPr>
        <w:t xml:space="preserve">. </w:t>
      </w:r>
      <w:r w:rsidRPr="005C1D17">
        <w:rPr>
          <w:color w:val="000000"/>
          <w:sz w:val="20"/>
          <w:szCs w:val="20"/>
          <w:lang w:eastAsia="zh-CN" w:bidi="hi-IN"/>
        </w:rPr>
        <w:t>Uma introdução ao estudo dos girinos. pp.48-71. In Dubeux, M. J. M. &amp; Nascimento. (eds), Herpetologia para todos. Editora Instituto Biodiversidade Neotropical</w:t>
      </w:r>
      <w:r w:rsidRPr="005C1D17">
        <w:rPr>
          <w:color w:val="000000"/>
          <w:sz w:val="20"/>
          <w:szCs w:val="20"/>
          <w:lang w:val="pt-BR" w:eastAsia="zh-CN" w:bidi="hi-IN"/>
        </w:rPr>
        <w:t>. 218p</w:t>
      </w:r>
    </w:p>
    <w:p w14:paraId="2F11FFBE" w14:textId="77777777" w:rsidR="00AE452F" w:rsidRPr="005C1D17" w:rsidRDefault="00AE452F" w:rsidP="00AE452F">
      <w:pPr>
        <w:suppressAutoHyphens/>
        <w:spacing w:after="26" w:line="240" w:lineRule="auto"/>
        <w:jc w:val="both"/>
        <w:rPr>
          <w:color w:val="000000"/>
          <w:sz w:val="20"/>
          <w:szCs w:val="20"/>
          <w:lang w:val="pt-BR" w:eastAsia="zh-CN" w:bidi="hi-IN"/>
        </w:rPr>
      </w:pPr>
    </w:p>
    <w:p w14:paraId="10C5FB7C" w14:textId="77777777" w:rsidR="00F53164" w:rsidRPr="005C1D17" w:rsidRDefault="00005F24" w:rsidP="00512D4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5C1D17">
        <w:rPr>
          <w:sz w:val="20"/>
          <w:szCs w:val="20"/>
          <w:lang w:val="pt-BR"/>
        </w:rPr>
        <w:t>Z</w:t>
      </w:r>
      <w:r w:rsidRPr="005C1D17">
        <w:rPr>
          <w:sz w:val="20"/>
          <w:szCs w:val="20"/>
        </w:rPr>
        <w:t>ar JH. 2010.</w:t>
      </w:r>
      <w:r w:rsidR="00805137" w:rsidRPr="005C1D17">
        <w:rPr>
          <w:sz w:val="20"/>
          <w:szCs w:val="20"/>
          <w:lang w:val="pt-BR"/>
        </w:rPr>
        <w:t xml:space="preserve"> </w:t>
      </w:r>
      <w:r w:rsidRPr="005C1D17">
        <w:rPr>
          <w:sz w:val="20"/>
          <w:szCs w:val="20"/>
        </w:rPr>
        <w:t>Análise Bioestatística. 5ºEdição. Prentice-Hall/Pearson, Upper Saddle River, Nova Jersey, EUA. 944 pág.</w:t>
      </w:r>
    </w:p>
    <w:p w14:paraId="61F6133D" w14:textId="75155A47" w:rsidR="00DD3053" w:rsidRPr="005C1D17" w:rsidRDefault="00DD3053" w:rsidP="00512D40">
      <w:pPr>
        <w:spacing w:line="240" w:lineRule="auto"/>
        <w:rPr>
          <w:rFonts w:eastAsiaTheme="minorEastAsia"/>
          <w:sz w:val="20"/>
          <w:szCs w:val="20"/>
          <w:lang w:val="pt-BR" w:eastAsia="zh-CN"/>
        </w:rPr>
      </w:pPr>
      <w:bookmarkStart w:id="0" w:name="_GoBack"/>
      <w:bookmarkEnd w:id="0"/>
    </w:p>
    <w:sectPr w:rsidR="00DD3053" w:rsidRPr="005C1D17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DDDCE" w14:textId="77777777" w:rsidR="003C1B9E" w:rsidRDefault="003C1B9E">
      <w:pPr>
        <w:spacing w:line="240" w:lineRule="auto"/>
      </w:pPr>
      <w:r>
        <w:separator/>
      </w:r>
    </w:p>
  </w:endnote>
  <w:endnote w:type="continuationSeparator" w:id="0">
    <w:p w14:paraId="405DFE9B" w14:textId="77777777" w:rsidR="003C1B9E" w:rsidRDefault="003C1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92F32" w14:textId="77777777" w:rsidR="003C1B9E" w:rsidRDefault="003C1B9E">
      <w:r>
        <w:separator/>
      </w:r>
    </w:p>
  </w:footnote>
  <w:footnote w:type="continuationSeparator" w:id="0">
    <w:p w14:paraId="43FE939E" w14:textId="77777777" w:rsidR="003C1B9E" w:rsidRDefault="003C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268BD" w14:textId="77777777" w:rsidR="000654DF" w:rsidRPr="003B0B44" w:rsidRDefault="000654DF">
    <w:pPr>
      <w:tabs>
        <w:tab w:val="center" w:pos="4252"/>
        <w:tab w:val="right" w:pos="8504"/>
      </w:tabs>
      <w:spacing w:before="708" w:line="240" w:lineRule="auto"/>
      <w:jc w:val="both"/>
      <w:rPr>
        <w:rFonts w:eastAsiaTheme="minorEastAsia"/>
        <w:lang w:eastAsia="zh-CN"/>
      </w:rPr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6290B2E6" wp14:editId="642BFC4A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DD"/>
    <w:rsid w:val="00005F24"/>
    <w:rsid w:val="00010527"/>
    <w:rsid w:val="00023BA5"/>
    <w:rsid w:val="000317AF"/>
    <w:rsid w:val="00044DB8"/>
    <w:rsid w:val="000457F8"/>
    <w:rsid w:val="000654DF"/>
    <w:rsid w:val="000833CE"/>
    <w:rsid w:val="000841F7"/>
    <w:rsid w:val="000A4B7D"/>
    <w:rsid w:val="000B745E"/>
    <w:rsid w:val="000C553E"/>
    <w:rsid w:val="000D1860"/>
    <w:rsid w:val="000E5BBE"/>
    <w:rsid w:val="000F5B08"/>
    <w:rsid w:val="00130765"/>
    <w:rsid w:val="00130B05"/>
    <w:rsid w:val="00133AFA"/>
    <w:rsid w:val="00150833"/>
    <w:rsid w:val="00150866"/>
    <w:rsid w:val="00157636"/>
    <w:rsid w:val="0017066D"/>
    <w:rsid w:val="00173654"/>
    <w:rsid w:val="00196F25"/>
    <w:rsid w:val="001B73C6"/>
    <w:rsid w:val="001C4097"/>
    <w:rsid w:val="001D7F39"/>
    <w:rsid w:val="002137E6"/>
    <w:rsid w:val="00216DF2"/>
    <w:rsid w:val="00216E9C"/>
    <w:rsid w:val="00216EBD"/>
    <w:rsid w:val="00233348"/>
    <w:rsid w:val="002354FA"/>
    <w:rsid w:val="0024049C"/>
    <w:rsid w:val="00286E8B"/>
    <w:rsid w:val="00293063"/>
    <w:rsid w:val="002C062A"/>
    <w:rsid w:val="002C3EF1"/>
    <w:rsid w:val="002E7BD5"/>
    <w:rsid w:val="002F385B"/>
    <w:rsid w:val="002F38BF"/>
    <w:rsid w:val="002F6AC6"/>
    <w:rsid w:val="0034589F"/>
    <w:rsid w:val="00351665"/>
    <w:rsid w:val="00352AF2"/>
    <w:rsid w:val="00364064"/>
    <w:rsid w:val="003772B7"/>
    <w:rsid w:val="00395729"/>
    <w:rsid w:val="00397F4B"/>
    <w:rsid w:val="003B0B44"/>
    <w:rsid w:val="003C1B9E"/>
    <w:rsid w:val="003C3D14"/>
    <w:rsid w:val="003F118F"/>
    <w:rsid w:val="00411669"/>
    <w:rsid w:val="00414E88"/>
    <w:rsid w:val="004322E2"/>
    <w:rsid w:val="00445C2D"/>
    <w:rsid w:val="00446EED"/>
    <w:rsid w:val="00480B67"/>
    <w:rsid w:val="0048518D"/>
    <w:rsid w:val="004A2494"/>
    <w:rsid w:val="004C4BF5"/>
    <w:rsid w:val="004E377B"/>
    <w:rsid w:val="004F427F"/>
    <w:rsid w:val="004F6F60"/>
    <w:rsid w:val="005065B4"/>
    <w:rsid w:val="00507BFB"/>
    <w:rsid w:val="00511891"/>
    <w:rsid w:val="0051220C"/>
    <w:rsid w:val="00512D40"/>
    <w:rsid w:val="00532525"/>
    <w:rsid w:val="00541D55"/>
    <w:rsid w:val="00550319"/>
    <w:rsid w:val="00557225"/>
    <w:rsid w:val="00565A6A"/>
    <w:rsid w:val="00572B46"/>
    <w:rsid w:val="00592072"/>
    <w:rsid w:val="005A7941"/>
    <w:rsid w:val="005C1D17"/>
    <w:rsid w:val="005D77EA"/>
    <w:rsid w:val="005E6DF3"/>
    <w:rsid w:val="005F4831"/>
    <w:rsid w:val="005F7D47"/>
    <w:rsid w:val="00614112"/>
    <w:rsid w:val="00617EDB"/>
    <w:rsid w:val="00631548"/>
    <w:rsid w:val="0063623C"/>
    <w:rsid w:val="006918EF"/>
    <w:rsid w:val="00691D6D"/>
    <w:rsid w:val="006B58AD"/>
    <w:rsid w:val="006C2EAC"/>
    <w:rsid w:val="006E6593"/>
    <w:rsid w:val="006E6E3C"/>
    <w:rsid w:val="006F0D4C"/>
    <w:rsid w:val="006F5C34"/>
    <w:rsid w:val="00701493"/>
    <w:rsid w:val="00706CB0"/>
    <w:rsid w:val="00750434"/>
    <w:rsid w:val="0076350A"/>
    <w:rsid w:val="00767B88"/>
    <w:rsid w:val="00776AFD"/>
    <w:rsid w:val="0078051C"/>
    <w:rsid w:val="00783C33"/>
    <w:rsid w:val="007B7A9A"/>
    <w:rsid w:val="007D03F8"/>
    <w:rsid w:val="007D780A"/>
    <w:rsid w:val="007E0863"/>
    <w:rsid w:val="007E0B5A"/>
    <w:rsid w:val="00805137"/>
    <w:rsid w:val="00811DCA"/>
    <w:rsid w:val="00815131"/>
    <w:rsid w:val="00846409"/>
    <w:rsid w:val="008668A4"/>
    <w:rsid w:val="00871AF3"/>
    <w:rsid w:val="008B7C1F"/>
    <w:rsid w:val="008C6FBC"/>
    <w:rsid w:val="008E528B"/>
    <w:rsid w:val="008F0895"/>
    <w:rsid w:val="00910BB0"/>
    <w:rsid w:val="00922D6D"/>
    <w:rsid w:val="00926821"/>
    <w:rsid w:val="00930357"/>
    <w:rsid w:val="00941F2A"/>
    <w:rsid w:val="00991753"/>
    <w:rsid w:val="009D7224"/>
    <w:rsid w:val="009E5504"/>
    <w:rsid w:val="009F2E49"/>
    <w:rsid w:val="00A077BD"/>
    <w:rsid w:val="00A118BC"/>
    <w:rsid w:val="00A23F17"/>
    <w:rsid w:val="00A40B36"/>
    <w:rsid w:val="00A625AD"/>
    <w:rsid w:val="00A811F9"/>
    <w:rsid w:val="00A942DD"/>
    <w:rsid w:val="00AB6A29"/>
    <w:rsid w:val="00AC078F"/>
    <w:rsid w:val="00AC1847"/>
    <w:rsid w:val="00AE452F"/>
    <w:rsid w:val="00AE4BB5"/>
    <w:rsid w:val="00AE5C77"/>
    <w:rsid w:val="00AF30D1"/>
    <w:rsid w:val="00AF5E01"/>
    <w:rsid w:val="00AF67EF"/>
    <w:rsid w:val="00AF7D4C"/>
    <w:rsid w:val="00B14407"/>
    <w:rsid w:val="00B21383"/>
    <w:rsid w:val="00B4636E"/>
    <w:rsid w:val="00B72B5C"/>
    <w:rsid w:val="00BA13C3"/>
    <w:rsid w:val="00BA42D5"/>
    <w:rsid w:val="00BA5454"/>
    <w:rsid w:val="00BA7CBD"/>
    <w:rsid w:val="00BF2E56"/>
    <w:rsid w:val="00BF449B"/>
    <w:rsid w:val="00C26583"/>
    <w:rsid w:val="00C35982"/>
    <w:rsid w:val="00C5569B"/>
    <w:rsid w:val="00C61464"/>
    <w:rsid w:val="00C81213"/>
    <w:rsid w:val="00D11129"/>
    <w:rsid w:val="00D24EFA"/>
    <w:rsid w:val="00D555EE"/>
    <w:rsid w:val="00D702AA"/>
    <w:rsid w:val="00D94C5B"/>
    <w:rsid w:val="00D96498"/>
    <w:rsid w:val="00DB459F"/>
    <w:rsid w:val="00DC0BBF"/>
    <w:rsid w:val="00DC5C11"/>
    <w:rsid w:val="00DC6CD0"/>
    <w:rsid w:val="00DD3053"/>
    <w:rsid w:val="00DE5F11"/>
    <w:rsid w:val="00E00FC5"/>
    <w:rsid w:val="00E02593"/>
    <w:rsid w:val="00E257EF"/>
    <w:rsid w:val="00E26274"/>
    <w:rsid w:val="00E41FCA"/>
    <w:rsid w:val="00E42554"/>
    <w:rsid w:val="00E46CC8"/>
    <w:rsid w:val="00E52136"/>
    <w:rsid w:val="00E659E8"/>
    <w:rsid w:val="00EF2D47"/>
    <w:rsid w:val="00EF3458"/>
    <w:rsid w:val="00F016F2"/>
    <w:rsid w:val="00F0320D"/>
    <w:rsid w:val="00F47019"/>
    <w:rsid w:val="00F53164"/>
    <w:rsid w:val="00FB4EB2"/>
    <w:rsid w:val="00FB6D06"/>
    <w:rsid w:val="00FC498F"/>
    <w:rsid w:val="00FC6E1A"/>
    <w:rsid w:val="00FD26B8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76DD"/>
  <w15:docId w15:val="{0FB3656C-6A7E-4067-885F-EC5CA88D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Cite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F2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4xlpa">
    <w:name w:val="_04xlpa"/>
    <w:basedOn w:val="Normal"/>
    <w:rsid w:val="0001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dyuqq">
    <w:name w:val="wdyuqq"/>
    <w:basedOn w:val="Fontepargpadro"/>
    <w:rsid w:val="00010527"/>
  </w:style>
  <w:style w:type="character" w:styleId="nfase">
    <w:name w:val="Emphasis"/>
    <w:basedOn w:val="Fontepargpadro"/>
    <w:uiPriority w:val="20"/>
    <w:qFormat/>
    <w:rsid w:val="0034589F"/>
    <w:rPr>
      <w:i/>
      <w:iCs/>
    </w:rPr>
  </w:style>
  <w:style w:type="character" w:customStyle="1" w:styleId="normaltextrun">
    <w:name w:val="normaltextrun"/>
    <w:basedOn w:val="Fontepargpadro"/>
    <w:rsid w:val="00414E88"/>
  </w:style>
  <w:style w:type="character" w:customStyle="1" w:styleId="eop">
    <w:name w:val="eop"/>
    <w:basedOn w:val="Fontepargpadro"/>
    <w:rsid w:val="00414E88"/>
  </w:style>
  <w:style w:type="character" w:styleId="Hyperlink">
    <w:name w:val="Hyperlink"/>
    <w:basedOn w:val="Fontepargpadro"/>
    <w:rsid w:val="00701493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811DCA"/>
    <w:rPr>
      <w:i/>
      <w:iCs/>
    </w:rPr>
  </w:style>
  <w:style w:type="character" w:customStyle="1" w:styleId="src">
    <w:name w:val="src"/>
    <w:basedOn w:val="Fontepargpadro"/>
    <w:rsid w:val="00811DCA"/>
  </w:style>
  <w:style w:type="paragraph" w:styleId="Cabealho">
    <w:name w:val="header"/>
    <w:basedOn w:val="Normal"/>
    <w:link w:val="CabealhoChar"/>
    <w:rsid w:val="00C359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35982"/>
    <w:rPr>
      <w:rFonts w:eastAsia="Arial"/>
      <w:sz w:val="22"/>
      <w:szCs w:val="22"/>
      <w:lang w:val="zh-CN"/>
    </w:rPr>
  </w:style>
  <w:style w:type="paragraph" w:styleId="Reviso">
    <w:name w:val="Revision"/>
    <w:hidden/>
    <w:uiPriority w:val="99"/>
    <w:semiHidden/>
    <w:rsid w:val="00D702AA"/>
    <w:rPr>
      <w:rFonts w:eastAsia="Arial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ogorodrigued.d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bio.ufms.br/laboratorios/ecologia/biosyn/base-dados-girin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9F31-4C2A-45EB-A25E-E5C7809F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3</Pages>
  <Words>1566</Words>
  <Characters>8459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cp:lastModifiedBy>Conta da Microsoft</cp:lastModifiedBy>
  <cp:revision>34</cp:revision>
  <dcterms:created xsi:type="dcterms:W3CDTF">2023-07-27T00:36:00Z</dcterms:created>
  <dcterms:modified xsi:type="dcterms:W3CDTF">2023-10-04T23:09:00Z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