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hint="default" w:eastAsia="Times New Roman"/>
          <w:b/>
          <w:sz w:val="20"/>
          <w:szCs w:val="20"/>
          <w:lang w:val="pt-BR"/>
        </w:rPr>
      </w:pPr>
      <w:bookmarkStart w:id="0" w:name="_gjdgxs" w:colFirst="0" w:colLast="0"/>
      <w:bookmarkEnd w:id="0"/>
    </w:p>
    <w:p>
      <w:pPr>
        <w:spacing w:line="240" w:lineRule="auto"/>
        <w:jc w:val="both"/>
        <w:rPr>
          <w:rFonts w:hint="default"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ARÉA TEMÁTICA:</w:t>
      </w:r>
      <w:r>
        <w:rPr>
          <w:rFonts w:hint="default" w:eastAsia="Times New Roman"/>
          <w:b/>
          <w:sz w:val="20"/>
          <w:szCs w:val="20"/>
          <w:lang w:val="pt-BR"/>
        </w:rPr>
        <w:t xml:space="preserve"> Ecologia</w:t>
      </w:r>
    </w:p>
    <w:p>
      <w:pPr>
        <w:spacing w:line="240" w:lineRule="auto"/>
        <w:jc w:val="both"/>
        <w:rPr>
          <w:rFonts w:hint="default"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SUBÁREA TEMÁTICA:</w:t>
      </w:r>
      <w:r>
        <w:rPr>
          <w:rFonts w:hint="default" w:eastAsia="Times New Roman"/>
          <w:b/>
          <w:sz w:val="20"/>
          <w:szCs w:val="20"/>
          <w:lang w:val="pt-BR"/>
        </w:rPr>
        <w:t xml:space="preserve"> Vertebrados</w:t>
      </w:r>
    </w:p>
    <w:p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>
      <w:pPr>
        <w:spacing w:line="240" w:lineRule="auto"/>
        <w:jc w:val="center"/>
        <w:rPr>
          <w:rFonts w:hint="default" w:eastAsia="Times New Roman"/>
          <w:b/>
          <w:sz w:val="20"/>
          <w:szCs w:val="20"/>
          <w:lang w:val="pt-BR"/>
        </w:rPr>
      </w:pPr>
      <w:r>
        <w:rPr>
          <w:rFonts w:hint="default" w:eastAsia="Times New Roman"/>
          <w:b/>
          <w:sz w:val="20"/>
          <w:szCs w:val="20"/>
          <w:lang w:val="pt-BR"/>
        </w:rPr>
        <w:t>ACÚMULO DE MICROPLÁSTICOS NO TRATO DIGESTIVO E BRÂNQUIA DE PEIXES-LANTERNA (HYGOPHUM TAANINGI E LEPIDOPHANES GUENTHERI) DO ATLÂNTICO SUL TROPICAL</w:t>
      </w:r>
    </w:p>
    <w:p>
      <w:pPr>
        <w:spacing w:line="240" w:lineRule="auto"/>
        <w:jc w:val="center"/>
        <w:rPr>
          <w:rFonts w:hint="default" w:eastAsia="Times New Roman"/>
          <w:sz w:val="20"/>
          <w:szCs w:val="20"/>
          <w:lang w:val="pt-BR"/>
        </w:rPr>
      </w:pPr>
      <w:r>
        <w:rPr>
          <w:rFonts w:hint="default" w:eastAsia="Times New Roman"/>
          <w:sz w:val="20"/>
          <w:szCs w:val="20"/>
          <w:lang w:val="pt-BR"/>
        </w:rPr>
        <w:t>Amanda G. F. Catunda</w:t>
      </w:r>
      <w:r>
        <w:rPr>
          <w:rFonts w:eastAsia="Times New Roman"/>
          <w:sz w:val="20"/>
          <w:szCs w:val="20"/>
        </w:rPr>
        <w:t xml:space="preserve">¹, </w:t>
      </w:r>
      <w:r>
        <w:rPr>
          <w:rFonts w:hint="default" w:eastAsia="Times New Roman"/>
          <w:sz w:val="20"/>
          <w:szCs w:val="20"/>
          <w:lang w:val="pt-BR"/>
        </w:rPr>
        <w:t>Guilherme V. B. Ferreira</w:t>
      </w:r>
      <w:r>
        <w:rPr>
          <w:rFonts w:eastAsia="Times New Roman"/>
          <w:sz w:val="20"/>
          <w:szCs w:val="20"/>
        </w:rPr>
        <w:t>²</w:t>
      </w:r>
      <w:r>
        <w:rPr>
          <w:rFonts w:hint="default" w:eastAsia="Times New Roman"/>
          <w:sz w:val="20"/>
          <w:szCs w:val="20"/>
          <w:lang w:val="pt-BR"/>
        </w:rPr>
        <w:t>, Anne K. S. Justino</w:t>
      </w:r>
      <w:r>
        <w:rPr>
          <w:rFonts w:eastAsia="Times New Roman"/>
          <w:sz w:val="20"/>
          <w:szCs w:val="20"/>
        </w:rPr>
        <w:t>²</w:t>
      </w:r>
      <w:r>
        <w:rPr>
          <w:rFonts w:hint="default" w:eastAsia="Times New Roman"/>
          <w:sz w:val="20"/>
          <w:szCs w:val="20"/>
          <w:lang w:val="pt-BR"/>
        </w:rPr>
        <w:t>, Flávia Lucena-Frédou</w:t>
      </w:r>
      <w:r>
        <w:rPr>
          <w:rFonts w:eastAsia="Times New Roman"/>
          <w:sz w:val="20"/>
          <w:szCs w:val="20"/>
        </w:rPr>
        <w:t>²</w:t>
      </w:r>
      <w:r>
        <w:rPr>
          <w:rFonts w:hint="default" w:eastAsia="Times New Roman"/>
          <w:sz w:val="20"/>
          <w:szCs w:val="20"/>
          <w:lang w:val="pt-BR"/>
        </w:rPr>
        <w:t>, Thierry Frédou</w:t>
      </w:r>
      <w:r>
        <w:rPr>
          <w:rFonts w:eastAsia="Times New Roman"/>
          <w:sz w:val="20"/>
          <w:szCs w:val="20"/>
        </w:rPr>
        <w:t>²</w:t>
      </w:r>
    </w:p>
    <w:p>
      <w:pPr>
        <w:spacing w:line="240" w:lineRule="auto"/>
        <w:jc w:val="center"/>
        <w:rPr>
          <w:rFonts w:hint="default"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</w:rPr>
        <w:t xml:space="preserve">¹ Universidade de </w:t>
      </w:r>
      <w:r>
        <w:rPr>
          <w:rFonts w:eastAsia="Times New Roman"/>
          <w:sz w:val="20"/>
          <w:szCs w:val="20"/>
          <w:lang w:val="pt-BR"/>
        </w:rPr>
        <w:t xml:space="preserve">Pernambuco </w:t>
      </w:r>
      <w:r>
        <w:rPr>
          <w:rFonts w:eastAsia="Times New Roman"/>
          <w:sz w:val="20"/>
          <w:szCs w:val="20"/>
        </w:rPr>
        <w:t>(</w:t>
      </w:r>
      <w:r>
        <w:rPr>
          <w:rFonts w:eastAsia="Times New Roman"/>
          <w:sz w:val="20"/>
          <w:szCs w:val="20"/>
          <w:lang w:val="pt-BR"/>
        </w:rPr>
        <w:t>UPE</w:t>
      </w:r>
      <w:r>
        <w:rPr>
          <w:rFonts w:eastAsia="Times New Roman"/>
          <w:sz w:val="20"/>
          <w:szCs w:val="20"/>
        </w:rPr>
        <w:t xml:space="preserve">), </w:t>
      </w:r>
      <w:r>
        <w:rPr>
          <w:rFonts w:eastAsia="Times New Roman"/>
          <w:iCs/>
          <w:sz w:val="20"/>
          <w:szCs w:val="20"/>
        </w:rPr>
        <w:t xml:space="preserve">Campus </w:t>
      </w:r>
      <w:r>
        <w:rPr>
          <w:rFonts w:hint="default" w:eastAsia="Times New Roman"/>
          <w:iCs/>
          <w:sz w:val="20"/>
          <w:szCs w:val="20"/>
          <w:lang w:val="pt-BR"/>
        </w:rPr>
        <w:t>Santo Amaro</w:t>
      </w:r>
      <w:r>
        <w:rPr>
          <w:rFonts w:eastAsia="Times New Roman"/>
          <w:iCs/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hint="default" w:eastAsia="Times New Roman"/>
          <w:sz w:val="20"/>
          <w:szCs w:val="20"/>
          <w:lang w:val="pt-BR"/>
        </w:rPr>
        <w:t>amandacatunda200125@gmail.com</w:t>
      </w:r>
    </w:p>
    <w:p>
      <w:pPr>
        <w:spacing w:line="240" w:lineRule="auto"/>
        <w:jc w:val="center"/>
        <w:rPr>
          <w:rFonts w:hint="default" w:eastAsia="Times New Roman"/>
          <w:i w:val="0"/>
          <w:iCs/>
          <w:sz w:val="20"/>
          <w:szCs w:val="20"/>
          <w:lang w:val="pt-BR"/>
        </w:rPr>
      </w:pPr>
      <w:r>
        <w:rPr>
          <w:rFonts w:eastAsia="Times New Roman"/>
          <w:sz w:val="20"/>
          <w:szCs w:val="20"/>
        </w:rPr>
        <w:t xml:space="preserve">² Universidade Federal </w:t>
      </w:r>
      <w:r>
        <w:rPr>
          <w:rFonts w:hint="default" w:eastAsia="Times New Roman"/>
          <w:sz w:val="20"/>
          <w:szCs w:val="20"/>
          <w:lang w:val="pt-BR"/>
        </w:rPr>
        <w:t xml:space="preserve">Rural </w:t>
      </w:r>
      <w:r>
        <w:rPr>
          <w:rFonts w:eastAsia="Times New Roman"/>
          <w:sz w:val="20"/>
          <w:szCs w:val="20"/>
        </w:rPr>
        <w:t xml:space="preserve">de </w:t>
      </w:r>
      <w:r>
        <w:rPr>
          <w:rFonts w:eastAsia="Times New Roman"/>
          <w:sz w:val="20"/>
          <w:szCs w:val="20"/>
          <w:lang w:val="pt-BR"/>
        </w:rPr>
        <w:t xml:space="preserve">Pernambuco </w:t>
      </w:r>
      <w:r>
        <w:rPr>
          <w:rFonts w:eastAsia="Times New Roman"/>
          <w:sz w:val="20"/>
          <w:szCs w:val="20"/>
        </w:rPr>
        <w:t>(</w:t>
      </w:r>
      <w:r>
        <w:rPr>
          <w:rFonts w:eastAsia="Times New Roman"/>
          <w:sz w:val="20"/>
          <w:szCs w:val="20"/>
          <w:lang w:val="pt-BR"/>
        </w:rPr>
        <w:t>UF</w:t>
      </w:r>
      <w:r>
        <w:rPr>
          <w:rFonts w:hint="default" w:eastAsia="Times New Roman"/>
          <w:sz w:val="20"/>
          <w:szCs w:val="20"/>
          <w:lang w:val="pt-BR"/>
        </w:rPr>
        <w:t>R</w:t>
      </w:r>
      <w:r>
        <w:rPr>
          <w:rFonts w:eastAsia="Times New Roman"/>
          <w:sz w:val="20"/>
          <w:szCs w:val="20"/>
          <w:lang w:val="pt-BR"/>
        </w:rPr>
        <w:t>PE</w:t>
      </w:r>
      <w:r>
        <w:rPr>
          <w:rFonts w:eastAsia="Times New Roman"/>
          <w:sz w:val="20"/>
          <w:szCs w:val="20"/>
        </w:rPr>
        <w:t xml:space="preserve">), </w:t>
      </w:r>
      <w:r>
        <w:rPr>
          <w:rFonts w:eastAsia="Times New Roman"/>
          <w:iCs/>
          <w:sz w:val="20"/>
          <w:szCs w:val="20"/>
        </w:rPr>
        <w:t xml:space="preserve">Campus </w:t>
      </w:r>
      <w:r>
        <w:rPr>
          <w:rFonts w:eastAsia="Times New Roman"/>
          <w:iCs/>
          <w:sz w:val="20"/>
          <w:szCs w:val="20"/>
          <w:lang w:val="pt-BR"/>
        </w:rPr>
        <w:t>Recife</w:t>
      </w:r>
      <w:r>
        <w:rPr>
          <w:rFonts w:eastAsia="Times New Roman"/>
          <w:i/>
          <w:sz w:val="20"/>
          <w:szCs w:val="20"/>
          <w:lang w:val="pt-BR"/>
        </w:rPr>
        <w:t>.</w:t>
      </w:r>
      <w:r>
        <w:rPr>
          <w:rFonts w:hint="default" w:eastAsia="Times New Roman"/>
          <w:i w:val="0"/>
          <w:iCs/>
          <w:sz w:val="20"/>
          <w:szCs w:val="20"/>
          <w:lang w:val="pt-BR"/>
        </w:rPr>
        <w:t xml:space="preserve"> guilherme.vbf@gmail.com</w:t>
      </w:r>
    </w:p>
    <w:p>
      <w:pPr>
        <w:spacing w:line="240" w:lineRule="auto"/>
        <w:jc w:val="center"/>
        <w:rPr>
          <w:rFonts w:hint="default" w:eastAsia="Times New Roman"/>
          <w:i w:val="0"/>
          <w:iCs/>
          <w:sz w:val="20"/>
          <w:szCs w:val="20"/>
          <w:lang w:val="pt-BR"/>
        </w:rPr>
      </w:pPr>
      <w:r>
        <w:rPr>
          <w:rFonts w:eastAsia="Times New Roman"/>
          <w:sz w:val="20"/>
          <w:szCs w:val="20"/>
        </w:rPr>
        <w:t xml:space="preserve">² Universidade Federal </w:t>
      </w:r>
      <w:r>
        <w:rPr>
          <w:rFonts w:hint="default" w:eastAsia="Times New Roman"/>
          <w:sz w:val="20"/>
          <w:szCs w:val="20"/>
          <w:lang w:val="pt-BR"/>
        </w:rPr>
        <w:t xml:space="preserve">Rural </w:t>
      </w:r>
      <w:r>
        <w:rPr>
          <w:rFonts w:eastAsia="Times New Roman"/>
          <w:sz w:val="20"/>
          <w:szCs w:val="20"/>
        </w:rPr>
        <w:t xml:space="preserve">de </w:t>
      </w:r>
      <w:r>
        <w:rPr>
          <w:rFonts w:eastAsia="Times New Roman"/>
          <w:sz w:val="20"/>
          <w:szCs w:val="20"/>
          <w:lang w:val="pt-BR"/>
        </w:rPr>
        <w:t xml:space="preserve">Pernambuco </w:t>
      </w:r>
      <w:r>
        <w:rPr>
          <w:rFonts w:eastAsia="Times New Roman"/>
          <w:sz w:val="20"/>
          <w:szCs w:val="20"/>
        </w:rPr>
        <w:t>(</w:t>
      </w:r>
      <w:r>
        <w:rPr>
          <w:rFonts w:eastAsia="Times New Roman"/>
          <w:sz w:val="20"/>
          <w:szCs w:val="20"/>
          <w:lang w:val="pt-BR"/>
        </w:rPr>
        <w:t>UF</w:t>
      </w:r>
      <w:r>
        <w:rPr>
          <w:rFonts w:hint="default" w:eastAsia="Times New Roman"/>
          <w:sz w:val="20"/>
          <w:szCs w:val="20"/>
          <w:lang w:val="pt-BR"/>
        </w:rPr>
        <w:t>R</w:t>
      </w:r>
      <w:r>
        <w:rPr>
          <w:rFonts w:eastAsia="Times New Roman"/>
          <w:sz w:val="20"/>
          <w:szCs w:val="20"/>
          <w:lang w:val="pt-BR"/>
        </w:rPr>
        <w:t>PE</w:t>
      </w:r>
      <w:r>
        <w:rPr>
          <w:rFonts w:eastAsia="Times New Roman"/>
          <w:sz w:val="20"/>
          <w:szCs w:val="20"/>
        </w:rPr>
        <w:t xml:space="preserve">), </w:t>
      </w:r>
      <w:r>
        <w:rPr>
          <w:rFonts w:eastAsia="Times New Roman"/>
          <w:iCs/>
          <w:sz w:val="20"/>
          <w:szCs w:val="20"/>
        </w:rPr>
        <w:t xml:space="preserve">Campus </w:t>
      </w:r>
      <w:r>
        <w:rPr>
          <w:rFonts w:eastAsia="Times New Roman"/>
          <w:iCs/>
          <w:sz w:val="20"/>
          <w:szCs w:val="20"/>
          <w:lang w:val="pt-BR"/>
        </w:rPr>
        <w:t>Recife</w:t>
      </w:r>
      <w:r>
        <w:rPr>
          <w:rFonts w:eastAsia="Times New Roman"/>
          <w:i/>
          <w:sz w:val="20"/>
          <w:szCs w:val="20"/>
          <w:lang w:val="pt-BR"/>
        </w:rPr>
        <w:t>.</w:t>
      </w:r>
      <w:r>
        <w:rPr>
          <w:rFonts w:hint="default" w:eastAsia="Times New Roman"/>
          <w:i w:val="0"/>
          <w:iCs/>
          <w:sz w:val="20"/>
          <w:szCs w:val="20"/>
          <w:lang w:val="pt-BR"/>
        </w:rPr>
        <w:t xml:space="preserve"> anne.karen@hotmail.com</w:t>
      </w:r>
    </w:p>
    <w:p>
      <w:pPr>
        <w:spacing w:line="240" w:lineRule="auto"/>
        <w:jc w:val="center"/>
        <w:rPr>
          <w:rFonts w:hint="default" w:eastAsia="Times New Roman"/>
          <w:i w:val="0"/>
          <w:iCs/>
          <w:sz w:val="20"/>
          <w:szCs w:val="20"/>
          <w:lang w:val="pt-BR"/>
        </w:rPr>
      </w:pPr>
      <w:r>
        <w:rPr>
          <w:rFonts w:eastAsia="Times New Roman"/>
          <w:sz w:val="20"/>
          <w:szCs w:val="20"/>
        </w:rPr>
        <w:t xml:space="preserve">² Universidade Federal </w:t>
      </w:r>
      <w:r>
        <w:rPr>
          <w:rFonts w:hint="default" w:eastAsia="Times New Roman"/>
          <w:sz w:val="20"/>
          <w:szCs w:val="20"/>
          <w:lang w:val="pt-BR"/>
        </w:rPr>
        <w:t xml:space="preserve">Rural </w:t>
      </w:r>
      <w:r>
        <w:rPr>
          <w:rFonts w:eastAsia="Times New Roman"/>
          <w:sz w:val="20"/>
          <w:szCs w:val="20"/>
        </w:rPr>
        <w:t xml:space="preserve">de </w:t>
      </w:r>
      <w:r>
        <w:rPr>
          <w:rFonts w:eastAsia="Times New Roman"/>
          <w:sz w:val="20"/>
          <w:szCs w:val="20"/>
          <w:lang w:val="pt-BR"/>
        </w:rPr>
        <w:t xml:space="preserve">Pernambuco </w:t>
      </w:r>
      <w:r>
        <w:rPr>
          <w:rFonts w:eastAsia="Times New Roman"/>
          <w:sz w:val="20"/>
          <w:szCs w:val="20"/>
        </w:rPr>
        <w:t>(</w:t>
      </w:r>
      <w:r>
        <w:rPr>
          <w:rFonts w:eastAsia="Times New Roman"/>
          <w:sz w:val="20"/>
          <w:szCs w:val="20"/>
          <w:lang w:val="pt-BR"/>
        </w:rPr>
        <w:t>UF</w:t>
      </w:r>
      <w:r>
        <w:rPr>
          <w:rFonts w:hint="default" w:eastAsia="Times New Roman"/>
          <w:sz w:val="20"/>
          <w:szCs w:val="20"/>
          <w:lang w:val="pt-BR"/>
        </w:rPr>
        <w:t>R</w:t>
      </w:r>
      <w:r>
        <w:rPr>
          <w:rFonts w:eastAsia="Times New Roman"/>
          <w:sz w:val="20"/>
          <w:szCs w:val="20"/>
          <w:lang w:val="pt-BR"/>
        </w:rPr>
        <w:t>PE</w:t>
      </w:r>
      <w:r>
        <w:rPr>
          <w:rFonts w:eastAsia="Times New Roman"/>
          <w:sz w:val="20"/>
          <w:szCs w:val="20"/>
        </w:rPr>
        <w:t xml:space="preserve">), </w:t>
      </w:r>
      <w:r>
        <w:rPr>
          <w:rFonts w:eastAsia="Times New Roman"/>
          <w:iCs/>
          <w:sz w:val="20"/>
          <w:szCs w:val="20"/>
        </w:rPr>
        <w:t xml:space="preserve">Campus </w:t>
      </w:r>
      <w:r>
        <w:rPr>
          <w:rFonts w:eastAsia="Times New Roman"/>
          <w:iCs/>
          <w:sz w:val="20"/>
          <w:szCs w:val="20"/>
          <w:lang w:val="pt-BR"/>
        </w:rPr>
        <w:t>Recife</w:t>
      </w:r>
      <w:r>
        <w:rPr>
          <w:rFonts w:eastAsia="Times New Roman"/>
          <w:i/>
          <w:sz w:val="20"/>
          <w:szCs w:val="20"/>
          <w:lang w:val="pt-BR"/>
        </w:rPr>
        <w:t>.</w:t>
      </w:r>
      <w:r>
        <w:rPr>
          <w:rFonts w:hint="default" w:eastAsia="Times New Roman"/>
          <w:i w:val="0"/>
          <w:iCs/>
          <w:sz w:val="20"/>
          <w:szCs w:val="20"/>
          <w:lang w:val="pt-BR"/>
        </w:rPr>
        <w:t xml:space="preserve"> flavialucena@hotmail.com</w:t>
      </w:r>
    </w:p>
    <w:p>
      <w:pPr>
        <w:spacing w:line="240" w:lineRule="auto"/>
        <w:jc w:val="center"/>
        <w:rPr>
          <w:rFonts w:hint="default" w:eastAsia="Times New Roman"/>
          <w:i w:val="0"/>
          <w:iCs/>
          <w:sz w:val="20"/>
          <w:szCs w:val="20"/>
          <w:lang w:val="pt-BR"/>
        </w:rPr>
      </w:pPr>
      <w:r>
        <w:rPr>
          <w:rFonts w:eastAsia="Times New Roman"/>
          <w:sz w:val="20"/>
          <w:szCs w:val="20"/>
        </w:rPr>
        <w:t xml:space="preserve">² Universidade Federal </w:t>
      </w:r>
      <w:r>
        <w:rPr>
          <w:rFonts w:hint="default" w:eastAsia="Times New Roman"/>
          <w:sz w:val="20"/>
          <w:szCs w:val="20"/>
          <w:lang w:val="pt-BR"/>
        </w:rPr>
        <w:t xml:space="preserve">Rural </w:t>
      </w:r>
      <w:r>
        <w:rPr>
          <w:rFonts w:eastAsia="Times New Roman"/>
          <w:sz w:val="20"/>
          <w:szCs w:val="20"/>
        </w:rPr>
        <w:t xml:space="preserve">de </w:t>
      </w:r>
      <w:r>
        <w:rPr>
          <w:rFonts w:eastAsia="Times New Roman"/>
          <w:sz w:val="20"/>
          <w:szCs w:val="20"/>
          <w:lang w:val="pt-BR"/>
        </w:rPr>
        <w:t xml:space="preserve">Pernambuco </w:t>
      </w:r>
      <w:r>
        <w:rPr>
          <w:rFonts w:eastAsia="Times New Roman"/>
          <w:sz w:val="20"/>
          <w:szCs w:val="20"/>
        </w:rPr>
        <w:t>(</w:t>
      </w:r>
      <w:r>
        <w:rPr>
          <w:rFonts w:eastAsia="Times New Roman"/>
          <w:sz w:val="20"/>
          <w:szCs w:val="20"/>
          <w:lang w:val="pt-BR"/>
        </w:rPr>
        <w:t>UF</w:t>
      </w:r>
      <w:r>
        <w:rPr>
          <w:rFonts w:hint="default" w:eastAsia="Times New Roman"/>
          <w:sz w:val="20"/>
          <w:szCs w:val="20"/>
          <w:lang w:val="pt-BR"/>
        </w:rPr>
        <w:t>R</w:t>
      </w:r>
      <w:r>
        <w:rPr>
          <w:rFonts w:eastAsia="Times New Roman"/>
          <w:sz w:val="20"/>
          <w:szCs w:val="20"/>
          <w:lang w:val="pt-BR"/>
        </w:rPr>
        <w:t>PE</w:t>
      </w:r>
      <w:r>
        <w:rPr>
          <w:rFonts w:eastAsia="Times New Roman"/>
          <w:sz w:val="20"/>
          <w:szCs w:val="20"/>
        </w:rPr>
        <w:t xml:space="preserve">), </w:t>
      </w:r>
      <w:r>
        <w:rPr>
          <w:rFonts w:eastAsia="Times New Roman"/>
          <w:iCs/>
          <w:sz w:val="20"/>
          <w:szCs w:val="20"/>
        </w:rPr>
        <w:t xml:space="preserve">Campus </w:t>
      </w:r>
      <w:r>
        <w:rPr>
          <w:rFonts w:eastAsia="Times New Roman"/>
          <w:iCs/>
          <w:sz w:val="20"/>
          <w:szCs w:val="20"/>
          <w:lang w:val="pt-BR"/>
        </w:rPr>
        <w:t>Recife</w:t>
      </w:r>
      <w:r>
        <w:rPr>
          <w:rFonts w:eastAsia="Times New Roman"/>
          <w:i/>
          <w:sz w:val="20"/>
          <w:szCs w:val="20"/>
          <w:lang w:val="pt-BR"/>
        </w:rPr>
        <w:t>.</w:t>
      </w:r>
      <w:r>
        <w:rPr>
          <w:rFonts w:hint="default" w:eastAsia="Times New Roman"/>
          <w:i w:val="0"/>
          <w:iCs/>
          <w:sz w:val="20"/>
          <w:szCs w:val="20"/>
          <w:lang w:val="pt-BR"/>
        </w:rPr>
        <w:t xml:space="preserve"> thierry.fredou@ufrpe.br</w:t>
      </w:r>
    </w:p>
    <w:p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>
      <w:pPr>
        <w:spacing w:line="240" w:lineRule="auto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INTRODUÇÃO</w:t>
      </w:r>
    </w:p>
    <w:p>
      <w:pPr>
        <w:spacing w:line="240" w:lineRule="auto"/>
        <w:rPr>
          <w:rFonts w:eastAsia="Times New Roman"/>
          <w:b/>
          <w:sz w:val="20"/>
          <w:szCs w:val="20"/>
        </w:rPr>
      </w:pPr>
    </w:p>
    <w:p>
      <w:pPr>
        <w:spacing w:line="240" w:lineRule="auto"/>
        <w:ind w:firstLine="567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</w:pPr>
      <w:r>
        <w:rPr>
          <w:rFonts w:ascii="Arial" w:hAnsi="Arial" w:eastAsia="SimSun" w:cs="Arial"/>
          <w:i w:val="0"/>
          <w:iCs w:val="0"/>
          <w:color w:val="000000"/>
          <w:sz w:val="20"/>
          <w:szCs w:val="20"/>
          <w:u w:val="none"/>
          <w:vertAlign w:val="baseline"/>
        </w:rPr>
        <w:t>Os microplásticos</w:t>
      </w:r>
      <w:r>
        <w:rPr>
          <w:rFonts w:hint="default" w:ascii="Arial" w:hAnsi="Arial" w:eastAsia="SimSun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 xml:space="preserve"> (MPs)</w:t>
      </w:r>
      <w:r>
        <w:rPr>
          <w:rFonts w:ascii="Arial" w:hAnsi="Arial" w:eastAsia="SimSun" w:cs="Arial"/>
          <w:i w:val="0"/>
          <w:iCs w:val="0"/>
          <w:color w:val="000000"/>
          <w:sz w:val="20"/>
          <w:szCs w:val="20"/>
          <w:u w:val="none"/>
          <w:vertAlign w:val="baseline"/>
        </w:rPr>
        <w:t xml:space="preserve"> são partículas plásticas menores que 5</w:t>
      </w:r>
      <w:r>
        <w:rPr>
          <w:rFonts w:hint="default" w:eastAsia="SimSun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 xml:space="preserve"> </w:t>
      </w:r>
      <w:r>
        <w:rPr>
          <w:rFonts w:ascii="Arial" w:hAnsi="Arial" w:eastAsia="SimSun" w:cs="Arial"/>
          <w:i w:val="0"/>
          <w:iCs w:val="0"/>
          <w:color w:val="000000"/>
          <w:sz w:val="20"/>
          <w:szCs w:val="20"/>
          <w:u w:val="none"/>
          <w:vertAlign w:val="baseline"/>
        </w:rPr>
        <w:t>mm (Arthur et al., 2009)</w:t>
      </w:r>
      <w:r>
        <w:rPr>
          <w:rFonts w:hint="default" w:ascii="Arial" w:hAnsi="Arial" w:eastAsia="SimSun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 xml:space="preserve">, sendo uma </w:t>
      </w:r>
      <w:r>
        <w:rPr>
          <w:rFonts w:ascii="Arial" w:hAnsi="Arial" w:eastAsia="SimSun" w:cs="Arial"/>
          <w:i w:val="0"/>
          <w:iCs w:val="0"/>
          <w:color w:val="000000"/>
          <w:sz w:val="20"/>
          <w:szCs w:val="20"/>
          <w:u w:val="none"/>
          <w:vertAlign w:val="baseline"/>
        </w:rPr>
        <w:t>grande ameaça para a biodiversidade</w:t>
      </w:r>
      <w:r>
        <w:rPr>
          <w:rFonts w:hint="default" w:ascii="Arial" w:hAnsi="Arial" w:eastAsia="SimSun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 xml:space="preserve"> de todos os</w:t>
      </w:r>
      <w:r>
        <w:rPr>
          <w:rFonts w:ascii="Arial" w:hAnsi="Arial" w:eastAsia="SimSun" w:cs="Arial"/>
          <w:i w:val="0"/>
          <w:iCs w:val="0"/>
          <w:color w:val="000000"/>
          <w:sz w:val="20"/>
          <w:szCs w:val="20"/>
          <w:u w:val="none"/>
          <w:vertAlign w:val="baseline"/>
        </w:rPr>
        <w:t xml:space="preserve"> ecossistemas</w:t>
      </w:r>
      <w:r>
        <w:rPr>
          <w:rFonts w:hint="default" w:ascii="Arial" w:hAnsi="Arial" w:eastAsia="SimSun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 xml:space="preserve"> (</w:t>
      </w:r>
      <w:r>
        <w:rPr>
          <w:rFonts w:ascii="Arial" w:hAnsi="Arial" w:eastAsia="SimSun" w:cs="Arial"/>
          <w:i w:val="0"/>
          <w:iCs w:val="0"/>
          <w:color w:val="000000"/>
          <w:sz w:val="20"/>
          <w:szCs w:val="20"/>
          <w:u w:val="none"/>
          <w:vertAlign w:val="baseline"/>
        </w:rPr>
        <w:t>Bhagat et al., 2020</w:t>
      </w:r>
      <w:r>
        <w:rPr>
          <w:rFonts w:hint="default" w:eastAsia="SimSun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>)</w:t>
      </w:r>
      <w:r>
        <w:rPr>
          <w:rFonts w:ascii="Arial" w:hAnsi="Arial" w:eastAsia="SimSun" w:cs="Arial"/>
          <w:i w:val="0"/>
          <w:iCs w:val="0"/>
          <w:color w:val="000000"/>
          <w:sz w:val="20"/>
          <w:szCs w:val="20"/>
          <w:u w:val="none"/>
          <w:vertAlign w:val="baseline"/>
        </w:rPr>
        <w:t>. Esses contaminantes são um problema mundial devido à sua onipresença</w:t>
      </w:r>
      <w:r>
        <w:rPr>
          <w:rFonts w:hint="default" w:ascii="Arial" w:hAnsi="Arial" w:eastAsia="SimSun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 xml:space="preserve">, podendo ser chamados de primários, quando produzidos em escala microscópica, e os MPs secundários, resultantes da fragmentação de um plástico maior </w:t>
      </w:r>
      <w:r>
        <w:rPr>
          <w:rFonts w:ascii="Arial" w:hAnsi="Arial" w:eastAsia="SimSun" w:cs="Arial"/>
          <w:i w:val="0"/>
          <w:iCs w:val="0"/>
          <w:color w:val="000000"/>
          <w:sz w:val="20"/>
          <w:szCs w:val="20"/>
          <w:u w:val="none"/>
          <w:vertAlign w:val="baseline"/>
        </w:rPr>
        <w:t>(Cole et al., 2011)</w:t>
      </w:r>
      <w:r>
        <w:rPr>
          <w:rFonts w:hint="default" w:ascii="Arial" w:hAnsi="Arial" w:eastAsia="SimSun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 xml:space="preserve">. A fragmentação dos plásticos pode ser iniciada através da absorção da luz ultravioleta (UV) </w:t>
      </w:r>
      <w:r>
        <w:rPr>
          <w:rFonts w:ascii="Arial" w:hAnsi="Arial" w:eastAsia="SimSun" w:cs="Arial"/>
          <w:i w:val="0"/>
          <w:iCs w:val="0"/>
          <w:color w:val="000000"/>
          <w:sz w:val="20"/>
          <w:szCs w:val="20"/>
          <w:u w:val="none"/>
          <w:vertAlign w:val="baseline"/>
        </w:rPr>
        <w:t>(Singh e Sharma, 2008</w:t>
      </w:r>
      <w:r>
        <w:rPr>
          <w:rFonts w:hint="default" w:eastAsia="SimSun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 xml:space="preserve">) </w:t>
      </w:r>
      <w:r>
        <w:rPr>
          <w:rFonts w:hint="default" w:ascii="Arial" w:hAnsi="Arial" w:eastAsia="SimSun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 xml:space="preserve">ou até mesmo pelo desgaste físico em contato com o ambiente. </w:t>
      </w:r>
      <w:r>
        <w:rPr>
          <w:rFonts w:hint="default" w:ascii="Arial" w:hAnsi="Arial" w:eastAsia="Times New Roman" w:cs="Arial"/>
          <w:sz w:val="20"/>
          <w:szCs w:val="20"/>
          <w:lang w:val="pt-BR"/>
        </w:rPr>
        <w:t xml:space="preserve">O objetivo desse estudo </w:t>
      </w:r>
      <w:r>
        <w:rPr>
          <w:rFonts w:hint="default" w:eastAsia="Times New Roman" w:cs="Arial"/>
          <w:sz w:val="20"/>
          <w:szCs w:val="20"/>
          <w:lang w:val="pt-BR"/>
        </w:rPr>
        <w:t>foi</w:t>
      </w:r>
      <w:r>
        <w:rPr>
          <w:rFonts w:hint="default" w:ascii="Arial" w:hAnsi="Arial" w:eastAsia="Times New Roman" w:cs="Arial"/>
          <w:sz w:val="20"/>
          <w:szCs w:val="20"/>
          <w:lang w:val="pt-BR"/>
        </w:rPr>
        <w:t xml:space="preserve"> quantificar a contaminação por MPs no trato digestivo</w:t>
      </w:r>
      <w:r>
        <w:rPr>
          <w:rFonts w:hint="default" w:eastAsia="Times New Roman" w:cs="Arial"/>
          <w:sz w:val="20"/>
          <w:szCs w:val="20"/>
          <w:lang w:val="pt-BR"/>
        </w:rPr>
        <w:t xml:space="preserve"> (estômago e intestino)</w:t>
      </w:r>
      <w:r>
        <w:rPr>
          <w:rFonts w:hint="default" w:ascii="Arial" w:hAnsi="Arial" w:eastAsia="Times New Roman" w:cs="Arial"/>
          <w:sz w:val="20"/>
          <w:szCs w:val="20"/>
          <w:lang w:val="pt-BR"/>
        </w:rPr>
        <w:t xml:space="preserve"> e brânquias da</w:t>
      </w:r>
      <w:r>
        <w:rPr>
          <w:rFonts w:hint="default" w:eastAsia="Times New Roman" w:cs="Arial"/>
          <w:sz w:val="20"/>
          <w:szCs w:val="20"/>
          <w:lang w:val="pt-BR"/>
        </w:rPr>
        <w:t>s</w:t>
      </w:r>
      <w:r>
        <w:rPr>
          <w:rFonts w:hint="default" w:ascii="Arial" w:hAnsi="Arial" w:eastAsia="Times New Roman" w:cs="Arial"/>
          <w:sz w:val="20"/>
          <w:szCs w:val="20"/>
          <w:lang w:val="pt-BR"/>
        </w:rPr>
        <w:t xml:space="preserve"> espécie</w:t>
      </w:r>
      <w:r>
        <w:rPr>
          <w:rFonts w:hint="default" w:eastAsia="Times New Roman" w:cs="Arial"/>
          <w:sz w:val="20"/>
          <w:szCs w:val="20"/>
          <w:lang w:val="pt-BR"/>
        </w:rPr>
        <w:t>s</w:t>
      </w:r>
      <w:r>
        <w:rPr>
          <w:rFonts w:hint="default" w:ascii="Arial" w:hAnsi="Arial" w:eastAsia="Times New Roman" w:cs="Arial"/>
          <w:sz w:val="20"/>
          <w:szCs w:val="20"/>
          <w:lang w:val="pt-BR"/>
        </w:rPr>
        <w:t xml:space="preserve"> </w:t>
      </w:r>
      <w:r>
        <w:rPr>
          <w:rFonts w:hint="default" w:ascii="Arial" w:hAnsi="Arial" w:eastAsia="Times New Roman" w:cs="Arial"/>
          <w:i/>
          <w:iCs/>
          <w:sz w:val="20"/>
          <w:szCs w:val="20"/>
          <w:lang w:val="pt-BR"/>
        </w:rPr>
        <w:t>Hygophum taaningi</w:t>
      </w:r>
      <w:r>
        <w:rPr>
          <w:rFonts w:hint="default" w:eastAsia="Times New Roman" w:cs="Arial"/>
          <w:i w:val="0"/>
          <w:iCs w:val="0"/>
          <w:sz w:val="20"/>
          <w:szCs w:val="20"/>
          <w:lang w:val="pt-BR"/>
        </w:rPr>
        <w:t xml:space="preserve"> </w:t>
      </w:r>
      <w:r>
        <w:rPr>
          <w:rFonts w:hint="default" w:ascii="Arial" w:hAnsi="Arial" w:eastAsia="SimSun" w:cs="Arial"/>
          <w:i w:val="0"/>
          <w:iCs w:val="0"/>
          <w:color w:val="000000"/>
          <w:sz w:val="20"/>
          <w:szCs w:val="20"/>
          <w:u w:val="none"/>
          <w:vertAlign w:val="baseline"/>
        </w:rPr>
        <w:t>(Bekker, 1965)</w:t>
      </w:r>
      <w:r>
        <w:rPr>
          <w:rFonts w:hint="default" w:ascii="Arial" w:hAnsi="Arial" w:eastAsia="SimSun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 xml:space="preserve"> </w:t>
      </w:r>
      <w:r>
        <w:rPr>
          <w:rFonts w:hint="default" w:eastAsia="Times New Roman" w:cs="Arial"/>
          <w:i w:val="0"/>
          <w:iCs w:val="0"/>
          <w:sz w:val="20"/>
          <w:szCs w:val="20"/>
          <w:lang w:val="pt-BR"/>
        </w:rPr>
        <w:t xml:space="preserve">e </w:t>
      </w:r>
      <w:r>
        <w:rPr>
          <w:rFonts w:hint="default" w:eastAsia="Times New Roman" w:cs="Arial"/>
          <w:i/>
          <w:iCs/>
          <w:sz w:val="20"/>
          <w:szCs w:val="20"/>
          <w:lang w:val="pt-BR"/>
        </w:rPr>
        <w:t xml:space="preserve">Lepidophanes guentheri </w:t>
      </w:r>
      <w:r>
        <w:rPr>
          <w:rFonts w:hint="default" w:ascii="Arial" w:hAnsi="Arial" w:eastAsia="SimSun" w:cs="Arial"/>
          <w:i w:val="0"/>
          <w:iCs w:val="0"/>
          <w:color w:val="000000"/>
          <w:sz w:val="20"/>
          <w:szCs w:val="20"/>
          <w:u w:val="none"/>
          <w:vertAlign w:val="baseline"/>
        </w:rPr>
        <w:t>(Goode e Bean, 1896)</w:t>
      </w:r>
      <w:r>
        <w:rPr>
          <w:rFonts w:hint="default" w:ascii="Arial" w:hAnsi="Arial" w:eastAsia="Times New Roman" w:cs="Arial"/>
          <w:i w:val="0"/>
          <w:iCs w:val="0"/>
          <w:sz w:val="20"/>
          <w:szCs w:val="20"/>
          <w:lang w:val="pt-BR"/>
        </w:rPr>
        <w:t xml:space="preserve">, muito </w:t>
      </w:r>
      <w:r>
        <w:rPr>
          <w:rFonts w:hint="default" w:ascii="Arial" w:hAnsi="Arial" w:eastAsia="Times New Roman" w:cs="Arial"/>
          <w:sz w:val="20"/>
          <w:szCs w:val="20"/>
          <w:lang w:val="pt-BR"/>
        </w:rPr>
        <w:t>abundante</w:t>
      </w:r>
      <w:r>
        <w:rPr>
          <w:rFonts w:hint="default" w:eastAsia="Times New Roman" w:cs="Arial"/>
          <w:sz w:val="20"/>
          <w:szCs w:val="20"/>
          <w:lang w:val="pt-BR"/>
        </w:rPr>
        <w:t>s</w:t>
      </w:r>
      <w:r>
        <w:rPr>
          <w:rFonts w:hint="default" w:ascii="Arial" w:hAnsi="Arial" w:eastAsia="Times New Roman" w:cs="Arial"/>
          <w:sz w:val="20"/>
          <w:szCs w:val="20"/>
          <w:lang w:val="pt-BR"/>
        </w:rPr>
        <w:t xml:space="preserve"> em mar profundo, para avaliar</w:t>
      </w:r>
      <w:r>
        <w:rPr>
          <w:rFonts w:hint="default" w:eastAsia="Times New Roman" w:cs="Arial"/>
          <w:sz w:val="20"/>
          <w:szCs w:val="20"/>
          <w:lang w:val="pt-BR"/>
        </w:rPr>
        <w:t xml:space="preserve"> se</w:t>
      </w:r>
      <w:r>
        <w:rPr>
          <w:rFonts w:hint="default" w:ascii="Arial" w:hAnsi="Arial" w:eastAsia="Times New Roman" w:cs="Arial"/>
          <w:sz w:val="20"/>
          <w:szCs w:val="20"/>
          <w:lang w:val="pt-BR"/>
        </w:rPr>
        <w:t xml:space="preserve"> há maior potencial de acúmulo de MPs através da ingestão ou da inalação.</w:t>
      </w:r>
    </w:p>
    <w:p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MATERIAL E MÉTODOS</w:t>
      </w:r>
    </w:p>
    <w:p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</w:p>
    <w:p>
      <w:pPr>
        <w:spacing w:line="240" w:lineRule="auto"/>
        <w:ind w:firstLine="567"/>
        <w:jc w:val="both"/>
        <w:rPr>
          <w:rFonts w:hint="default" w:ascii="Arial" w:hAnsi="Arial" w:eastAsia="Times New Roman" w:cs="Arial"/>
          <w:sz w:val="20"/>
          <w:szCs w:val="20"/>
          <w:lang w:val="pt-BR"/>
        </w:rPr>
      </w:pPr>
      <w:r>
        <w:rPr>
          <w:rFonts w:hint="default" w:ascii="Arial" w:hAnsi="Arial" w:eastAsia="Times New Roman" w:cs="Arial"/>
          <w:sz w:val="20"/>
          <w:szCs w:val="20"/>
          <w:lang w:val="pt-BR"/>
        </w:rPr>
        <w:t xml:space="preserve">Desta forma, 44 indivíduos de </w:t>
      </w:r>
      <w:r>
        <w:rPr>
          <w:rFonts w:hint="default" w:ascii="Arial" w:hAnsi="Arial" w:eastAsia="Times New Roman" w:cs="Arial"/>
          <w:i/>
          <w:iCs/>
          <w:sz w:val="20"/>
          <w:szCs w:val="20"/>
          <w:lang w:val="pt-BR"/>
        </w:rPr>
        <w:t>Hygophum taaningi</w:t>
      </w:r>
      <w:r>
        <w:rPr>
          <w:rFonts w:hint="default" w:ascii="Arial" w:hAnsi="Arial" w:eastAsia="Times New Roman" w:cs="Arial"/>
          <w:sz w:val="20"/>
          <w:szCs w:val="20"/>
          <w:lang w:val="pt-BR"/>
        </w:rPr>
        <w:t xml:space="preserve"> (Myctophidae)</w:t>
      </w:r>
      <w:r>
        <w:rPr>
          <w:rFonts w:hint="default" w:eastAsia="Times New Roman" w:cs="Arial"/>
          <w:sz w:val="20"/>
          <w:szCs w:val="20"/>
          <w:lang w:val="pt-BR"/>
        </w:rPr>
        <w:t xml:space="preserve"> (Figura 1)</w:t>
      </w:r>
      <w:r>
        <w:rPr>
          <w:rFonts w:hint="default" w:ascii="Arial" w:hAnsi="Arial" w:eastAsia="Times New Roman" w:cs="Arial"/>
          <w:sz w:val="20"/>
          <w:szCs w:val="20"/>
          <w:lang w:val="pt-BR"/>
        </w:rPr>
        <w:t xml:space="preserve"> foram coletados</w:t>
      </w:r>
      <w:r>
        <w:rPr>
          <w:rFonts w:hint="default" w:eastAsia="Times New Roman" w:cs="Arial"/>
          <w:sz w:val="20"/>
          <w:szCs w:val="20"/>
          <w:lang w:val="pt-BR"/>
        </w:rPr>
        <w:t xml:space="preserve"> </w:t>
      </w:r>
      <w:r>
        <w:rPr>
          <w:rFonts w:hint="default" w:ascii="Arial" w:hAnsi="Arial" w:eastAsia="Times New Roman" w:cs="Arial"/>
          <w:sz w:val="20"/>
          <w:szCs w:val="20"/>
          <w:lang w:val="pt-BR"/>
        </w:rPr>
        <w:t>a</w:t>
      </w:r>
      <w:r>
        <w:rPr>
          <w:rFonts w:hint="default" w:eastAsia="Times New Roman" w:cs="Arial"/>
          <w:sz w:val="20"/>
          <w:szCs w:val="20"/>
          <w:lang w:val="pt-BR"/>
        </w:rPr>
        <w:t>o longo</w:t>
      </w:r>
      <w:r>
        <w:rPr>
          <w:rFonts w:hint="default" w:ascii="Arial" w:hAnsi="Arial" w:eastAsia="Times New Roman" w:cs="Arial"/>
          <w:sz w:val="20"/>
          <w:szCs w:val="20"/>
          <w:lang w:val="pt-BR"/>
        </w:rPr>
        <w:t xml:space="preserve"> do arquipélago de Fernando de Noronha</w:t>
      </w:r>
      <w:r>
        <w:rPr>
          <w:rFonts w:hint="default" w:eastAsia="Times New Roman" w:cs="Arial"/>
          <w:sz w:val="20"/>
          <w:szCs w:val="20"/>
          <w:lang w:val="pt-BR"/>
        </w:rPr>
        <w:t xml:space="preserve"> e 50 indivíduos da espécie </w:t>
      </w:r>
      <w:r>
        <w:rPr>
          <w:rFonts w:hint="default" w:eastAsia="Times New Roman" w:cs="Arial"/>
          <w:i/>
          <w:iCs/>
          <w:sz w:val="20"/>
          <w:szCs w:val="20"/>
          <w:lang w:val="pt-BR"/>
        </w:rPr>
        <w:t>Lepidophanes guentheri</w:t>
      </w:r>
      <w:r>
        <w:rPr>
          <w:rFonts w:hint="default" w:eastAsia="Times New Roman" w:cs="Arial"/>
          <w:i w:val="0"/>
          <w:iCs w:val="0"/>
          <w:sz w:val="20"/>
          <w:szCs w:val="20"/>
          <w:lang w:val="pt-BR"/>
        </w:rPr>
        <w:t xml:space="preserve"> (Myctophidae) (Figura 1) coletados no Atol das Rocas, ambos os locais são no talude da plataforma continental da região nordeste do Brasil</w:t>
      </w:r>
      <w:r>
        <w:rPr>
          <w:rFonts w:hint="default" w:ascii="Arial" w:hAnsi="Arial" w:eastAsia="Times New Roman" w:cs="Arial"/>
          <w:sz w:val="20"/>
          <w:szCs w:val="20"/>
          <w:lang w:val="pt-BR"/>
        </w:rPr>
        <w:t xml:space="preserve">, </w:t>
      </w:r>
      <w:r>
        <w:rPr>
          <w:rFonts w:hint="default" w:eastAsia="Times New Roman" w:cs="Arial"/>
          <w:sz w:val="20"/>
          <w:szCs w:val="20"/>
          <w:lang w:val="pt-BR"/>
        </w:rPr>
        <w:t xml:space="preserve">a coleta ocorreu </w:t>
      </w:r>
      <w:r>
        <w:rPr>
          <w:rFonts w:hint="default" w:ascii="Arial" w:hAnsi="Arial" w:eastAsia="Times New Roman" w:cs="Arial"/>
          <w:sz w:val="20"/>
          <w:szCs w:val="20"/>
          <w:lang w:val="pt-BR"/>
        </w:rPr>
        <w:t xml:space="preserve">durante o processo de migração vertical para forrageamento na região epipelágica. </w:t>
      </w:r>
    </w:p>
    <w:p>
      <w:pPr>
        <w:spacing w:line="240" w:lineRule="auto"/>
        <w:ind w:firstLine="567"/>
        <w:jc w:val="both"/>
        <w:rPr>
          <w:rFonts w:hint="default" w:eastAsia="Times New Roman" w:cs="Arial"/>
          <w:sz w:val="20"/>
          <w:szCs w:val="20"/>
          <w:lang w:val="pt-BR"/>
        </w:rPr>
      </w:pPr>
      <w:r>
        <w:rPr>
          <w:rFonts w:hint="default" w:ascii="Arial" w:hAnsi="Arial" w:eastAsia="Times New Roman" w:cs="Arial"/>
          <w:sz w:val="20"/>
          <w:szCs w:val="20"/>
          <w:lang w:val="pt-BR"/>
        </w:rPr>
        <w:t xml:space="preserve">O trato digestivo e as brânquias dos </w:t>
      </w:r>
      <w:r>
        <w:rPr>
          <w:rFonts w:hint="default" w:eastAsia="Times New Roman" w:cs="Arial"/>
          <w:sz w:val="20"/>
          <w:szCs w:val="20"/>
          <w:lang w:val="pt-BR"/>
        </w:rPr>
        <w:t xml:space="preserve">94 </w:t>
      </w:r>
      <w:r>
        <w:rPr>
          <w:rFonts w:hint="default" w:ascii="Arial" w:hAnsi="Arial" w:eastAsia="Times New Roman" w:cs="Arial"/>
          <w:sz w:val="20"/>
          <w:szCs w:val="20"/>
          <w:lang w:val="pt-BR"/>
        </w:rPr>
        <w:t>espécimes foram extraídos seguindo diversas medidas para evitar contaminação das amostras</w:t>
      </w:r>
      <w:r>
        <w:rPr>
          <w:rFonts w:hint="default" w:eastAsia="Times New Roman" w:cs="Arial"/>
          <w:sz w:val="20"/>
          <w:szCs w:val="20"/>
          <w:lang w:val="pt-BR"/>
        </w:rPr>
        <w:t xml:space="preserve">, como realização de todo o processo em uma capela de fluxo laminar, utilização de um branco de método para que fosse possível mensurar as possíveis contaminações </w:t>
      </w:r>
      <w:r>
        <w:rPr>
          <w:rFonts w:hint="default" w:ascii="Arial" w:hAnsi="Arial" w:eastAsia="SimSun" w:cs="Arial"/>
          <w:i w:val="0"/>
          <w:iCs w:val="0"/>
          <w:color w:val="000000"/>
          <w:sz w:val="20"/>
          <w:szCs w:val="20"/>
          <w:u w:val="none"/>
          <w:vertAlign w:val="baseline"/>
        </w:rPr>
        <w:t>(Lusher et al., 2017)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sz w:val="24"/>
          <w:szCs w:val="24"/>
          <w:u w:val="none"/>
          <w:vertAlign w:val="baseline"/>
          <w:lang w:val="pt-BR"/>
        </w:rPr>
        <w:t xml:space="preserve">, </w:t>
      </w:r>
      <w:r>
        <w:rPr>
          <w:rFonts w:hint="default" w:eastAsia="Times New Roman" w:cs="Arial"/>
          <w:sz w:val="20"/>
          <w:szCs w:val="20"/>
          <w:lang w:val="pt-BR"/>
        </w:rPr>
        <w:t>a limpeza rigorosa da estação de trabalho com álcool absoluto filtrado</w:t>
      </w:r>
      <w:r>
        <w:rPr>
          <w:rFonts w:hint="default" w:ascii="Arial" w:hAnsi="Arial" w:eastAsia="Times New Roman" w:cs="Arial"/>
          <w:sz w:val="20"/>
          <w:szCs w:val="20"/>
          <w:lang w:val="pt-BR"/>
        </w:rPr>
        <w:t xml:space="preserve">. Posteriormente os órgãos foram submetidos à digestão alcalina (NaOH/1Mol) para </w:t>
      </w:r>
      <w:r>
        <w:rPr>
          <w:rFonts w:hint="default" w:eastAsia="Times New Roman" w:cs="Arial"/>
          <w:sz w:val="20"/>
          <w:szCs w:val="20"/>
          <w:lang w:val="pt-BR"/>
        </w:rPr>
        <w:t>degradação da matéria orgânica</w:t>
      </w:r>
      <w:r>
        <w:rPr>
          <w:rFonts w:hint="default" w:ascii="Arial" w:hAnsi="Arial" w:eastAsia="Times New Roman" w:cs="Arial"/>
          <w:sz w:val="20"/>
          <w:szCs w:val="20"/>
          <w:lang w:val="pt-BR"/>
        </w:rPr>
        <w:t xml:space="preserve"> </w:t>
      </w:r>
      <w:r>
        <w:rPr>
          <w:rFonts w:hint="default" w:ascii="Arial" w:hAnsi="Arial" w:eastAsia="SimSun" w:cs="Arial"/>
          <w:i w:val="0"/>
          <w:iCs w:val="0"/>
          <w:color w:val="000000"/>
          <w:sz w:val="20"/>
          <w:szCs w:val="20"/>
          <w:u w:val="none"/>
          <w:vertAlign w:val="baseline"/>
        </w:rPr>
        <w:t>(Justino et al., 2022)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sz w:val="24"/>
          <w:szCs w:val="24"/>
          <w:u w:val="none"/>
          <w:vertAlign w:val="baseline"/>
          <w:lang w:val="pt-BR"/>
        </w:rPr>
        <w:t xml:space="preserve"> </w:t>
      </w:r>
      <w:r>
        <w:rPr>
          <w:rFonts w:hint="default" w:eastAsia="Times New Roman" w:cs="Arial"/>
          <w:sz w:val="20"/>
          <w:szCs w:val="20"/>
          <w:lang w:val="pt-BR"/>
        </w:rPr>
        <w:t xml:space="preserve">e </w:t>
      </w:r>
      <w:r>
        <w:rPr>
          <w:rFonts w:hint="default" w:ascii="Arial" w:hAnsi="Arial" w:eastAsia="Times New Roman" w:cs="Arial"/>
          <w:sz w:val="20"/>
          <w:szCs w:val="20"/>
          <w:lang w:val="pt-BR"/>
        </w:rPr>
        <w:t>extração de MPs que foram identificados, fotografados e mesurados com o auxílio de um estereomicroscópio.</w:t>
      </w:r>
      <w:r>
        <w:rPr>
          <w:rFonts w:hint="default" w:eastAsia="Times New Roman" w:cs="Arial"/>
          <w:sz w:val="20"/>
          <w:szCs w:val="20"/>
          <w:lang w:val="pt-BR"/>
        </w:rPr>
        <w:t xml:space="preserve"> </w:t>
      </w:r>
    </w:p>
    <w:p>
      <w:pPr>
        <w:spacing w:line="240" w:lineRule="auto"/>
        <w:ind w:firstLine="567"/>
        <w:jc w:val="both"/>
        <w:rPr>
          <w:rFonts w:hint="default" w:eastAsia="Times New Roman" w:cs="Arial"/>
          <w:sz w:val="20"/>
          <w:szCs w:val="20"/>
          <w:lang w:val="pt-BR"/>
        </w:rPr>
      </w:pPr>
      <w:r>
        <w:rPr>
          <w:rFonts w:hint="default" w:eastAsia="Times New Roman"/>
          <w:sz w:val="20"/>
          <w:szCs w:val="20"/>
          <w:lang w:val="pt-BR"/>
        </w:rPr>
        <w:t xml:space="preserve">O gráfico de caixa pode ser analisado pelo intervalo interquartil, </w:t>
      </w:r>
      <w:r>
        <w:rPr>
          <w:rFonts w:eastAsia="SimSun"/>
          <w:color w:val="000000"/>
          <w:sz w:val="20"/>
          <w:szCs w:val="20"/>
          <w:lang w:val="pt-BR"/>
        </w:rPr>
        <w:t>que é a diferença entre o terceiro e o primeiro quartil, que são a linha horizontal acima e abaixo, respectivamente, os pontos representam a distribuição de MPs por indivíduo analisado.</w:t>
      </w:r>
    </w:p>
    <w:p>
      <w:pPr>
        <w:spacing w:line="240" w:lineRule="auto"/>
        <w:ind w:firstLine="567"/>
        <w:jc w:val="both"/>
        <w:rPr>
          <w:rFonts w:hint="default" w:eastAsia="Times New Roman" w:cs="Arial"/>
          <w:sz w:val="20"/>
          <w:szCs w:val="20"/>
          <w:lang w:val="pt-BR"/>
        </w:rPr>
      </w:pPr>
    </w:p>
    <w:p>
      <w:pPr>
        <w:spacing w:line="240" w:lineRule="auto"/>
        <w:ind w:firstLine="567"/>
        <w:jc w:val="center"/>
        <w:rPr>
          <w:rFonts w:eastAsia="Times New Roman"/>
          <w:b/>
          <w:sz w:val="20"/>
          <w:szCs w:val="20"/>
          <w:lang w:val="pt-B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drawing>
          <wp:inline distT="0" distB="0" distL="114300" distR="114300">
            <wp:extent cx="3827145" cy="1227455"/>
            <wp:effectExtent l="0" t="0" r="1905" b="10795"/>
            <wp:docPr id="6" name="Imagem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l="32256" t="29015" r="20451" b="45503"/>
                    <a:stretch>
                      <a:fillRect/>
                    </a:stretch>
                  </pic:blipFill>
                  <pic:spPr>
                    <a:xfrm>
                      <a:off x="0" y="0"/>
                      <a:ext cx="3827145" cy="1227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hint="default" w:ascii="Arial" w:hAnsi="Arial" w:eastAsia="SimSun" w:cs="Arial"/>
          <w:i w:val="0"/>
          <w:iCs w:val="0"/>
          <w:color w:val="000000"/>
          <w:sz w:val="20"/>
          <w:szCs w:val="20"/>
          <w:u w:val="none"/>
          <w:vertAlign w:val="baseline"/>
        </w:rPr>
      </w:pPr>
      <w:r>
        <w:rPr>
          <w:rFonts w:eastAsia="Times New Roman"/>
          <w:sz w:val="20"/>
          <w:szCs w:val="20"/>
        </w:rPr>
        <w:t xml:space="preserve">Figura 1.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 </w:t>
      </w:r>
      <w:r>
        <w:rPr>
          <w:rFonts w:hint="default" w:ascii="Arial" w:hAnsi="Arial" w:eastAsia="SimSun" w:cs="Arial"/>
          <w:i w:val="0"/>
          <w:iCs w:val="0"/>
          <w:color w:val="000000"/>
          <w:sz w:val="20"/>
          <w:szCs w:val="20"/>
          <w:u w:val="none"/>
          <w:vertAlign w:val="baseline"/>
        </w:rPr>
        <w:t>Representantes das espécies (a)</w:t>
      </w:r>
      <w:r>
        <w:rPr>
          <w:rFonts w:hint="default" w:ascii="Arial" w:hAnsi="Arial" w:eastAsia="SimSun" w:cs="Arial"/>
          <w:i/>
          <w:iCs/>
          <w:color w:val="000000"/>
          <w:sz w:val="20"/>
          <w:szCs w:val="20"/>
          <w:u w:val="none"/>
          <w:vertAlign w:val="baseline"/>
        </w:rPr>
        <w:t xml:space="preserve"> Hygophum taaningi</w:t>
      </w:r>
      <w:r>
        <w:rPr>
          <w:rFonts w:hint="default" w:ascii="Arial" w:hAnsi="Arial" w:eastAsia="SimSun" w:cs="Arial"/>
          <w:i w:val="0"/>
          <w:iCs w:val="0"/>
          <w:color w:val="000000"/>
          <w:sz w:val="20"/>
          <w:szCs w:val="20"/>
          <w:u w:val="none"/>
          <w:vertAlign w:val="baseline"/>
        </w:rPr>
        <w:t xml:space="preserve"> e (b) </w:t>
      </w:r>
      <w:r>
        <w:rPr>
          <w:rFonts w:hint="default" w:ascii="Arial" w:hAnsi="Arial" w:eastAsia="SimSun" w:cs="Arial"/>
          <w:i/>
          <w:iCs/>
          <w:color w:val="000000"/>
          <w:sz w:val="20"/>
          <w:szCs w:val="20"/>
          <w:u w:val="none"/>
          <w:vertAlign w:val="baseline"/>
        </w:rPr>
        <w:t>Lepidophanes guentheri</w:t>
      </w:r>
      <w:r>
        <w:rPr>
          <w:rFonts w:hint="default" w:ascii="Arial" w:hAnsi="Arial" w:eastAsia="SimSun" w:cs="Arial"/>
          <w:i w:val="0"/>
          <w:iCs w:val="0"/>
          <w:color w:val="000000"/>
          <w:sz w:val="20"/>
          <w:szCs w:val="20"/>
          <w:u w:val="none"/>
          <w:vertAlign w:val="baseline"/>
        </w:rPr>
        <w:t xml:space="preserve"> capturadas na região mesopelágica do Atlântico Tropical Sudoeste.</w:t>
      </w:r>
    </w:p>
    <w:p>
      <w:pPr>
        <w:spacing w:line="240" w:lineRule="auto"/>
        <w:jc w:val="both"/>
        <w:rPr>
          <w:rFonts w:hint="default" w:ascii="Arial" w:hAnsi="Arial" w:eastAsia="SimSun" w:cs="Arial"/>
          <w:i w:val="0"/>
          <w:iCs w:val="0"/>
          <w:color w:val="000000"/>
          <w:sz w:val="20"/>
          <w:szCs w:val="20"/>
          <w:u w:val="none"/>
          <w:vertAlign w:val="baseline"/>
        </w:rPr>
      </w:pPr>
    </w:p>
    <w:p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RESULTADOS E DISCUSSÃO</w:t>
      </w:r>
    </w:p>
    <w:p>
      <w:pPr>
        <w:spacing w:line="240" w:lineRule="auto"/>
        <w:ind w:firstLine="567"/>
        <w:jc w:val="both"/>
        <w:rPr>
          <w:rFonts w:hint="default" w:ascii="Arial" w:hAnsi="Arial" w:eastAsia="Times New Roman" w:cs="Arial"/>
          <w:color w:val="000000" w:themeColor="text1" w:themeTint="FF"/>
          <w:sz w:val="20"/>
          <w:szCs w:val="20"/>
          <w:lang w:val="pt-BR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</w:p>
    <w:p>
      <w:pPr>
        <w:spacing w:line="240" w:lineRule="auto"/>
        <w:ind w:firstLine="567"/>
        <w:jc w:val="both"/>
        <w:rPr>
          <w:rFonts w:hint="default" w:ascii="Times New Roman" w:hAnsi="Times New Roman" w:eastAsia="SimSun" w:cs="Times New Roman"/>
          <w:i w:val="0"/>
          <w:iCs w:val="0"/>
          <w:color w:val="000000"/>
          <w:sz w:val="24"/>
          <w:szCs w:val="24"/>
          <w:u w:val="none"/>
          <w:vertAlign w:val="baseline"/>
        </w:rPr>
      </w:pPr>
      <w:r>
        <w:rPr>
          <w:rFonts w:hint="default" w:eastAsia="SimSun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>O</w:t>
      </w:r>
      <w:r>
        <w:rPr>
          <w:rFonts w:hint="default" w:ascii="Arial" w:hAnsi="Arial" w:eastAsia="SimSun" w:cs="Arial"/>
          <w:i w:val="0"/>
          <w:iCs w:val="0"/>
          <w:color w:val="000000"/>
          <w:sz w:val="20"/>
          <w:szCs w:val="20"/>
          <w:u w:val="none"/>
          <w:vertAlign w:val="baseline"/>
        </w:rPr>
        <w:t>s MPs detectados nos Myctophidae são di</w:t>
      </w:r>
      <w:r>
        <w:rPr>
          <w:rFonts w:hint="default" w:eastAsia="SimSun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>ferenciados</w:t>
      </w:r>
      <w:r>
        <w:rPr>
          <w:rFonts w:hint="default" w:ascii="Arial" w:hAnsi="Arial" w:eastAsia="SimSun" w:cs="Arial"/>
          <w:i w:val="0"/>
          <w:iCs w:val="0"/>
          <w:color w:val="000000"/>
          <w:sz w:val="20"/>
          <w:szCs w:val="20"/>
          <w:u w:val="none"/>
          <w:vertAlign w:val="baseline"/>
        </w:rPr>
        <w:t xml:space="preserve"> em relação aos órgãos em que foram extraídos, o trato digestivo registrou um número significativamente menor de partículas</w:t>
      </w:r>
      <w:r>
        <w:rPr>
          <w:rFonts w:eastAsia="SimSun"/>
          <w:color w:val="000000"/>
          <w:sz w:val="20"/>
          <w:szCs w:val="20"/>
        </w:rPr>
        <w:t>(0,89 ± 1,14</w:t>
      </w:r>
      <w:r>
        <w:rPr>
          <w:rFonts w:hint="default" w:eastAsia="SimSun"/>
          <w:color w:val="000000"/>
          <w:sz w:val="20"/>
          <w:szCs w:val="20"/>
          <w:lang w:val="pt-BR"/>
        </w:rPr>
        <w:t xml:space="preserve"> </w:t>
      </w:r>
      <w:r>
        <w:rPr>
          <w:rFonts w:eastAsia="SimSun"/>
          <w:color w:val="000000"/>
          <w:sz w:val="20"/>
          <w:szCs w:val="20"/>
        </w:rPr>
        <w:t>MPs indivíduo</w:t>
      </w:r>
      <w:r>
        <w:rPr>
          <w:rFonts w:eastAsia="SimSun"/>
          <w:color w:val="000000"/>
          <w:sz w:val="20"/>
          <w:szCs w:val="20"/>
          <w:vertAlign w:val="superscript"/>
        </w:rPr>
        <w:t>-1</w:t>
      </w:r>
      <w:r>
        <w:rPr>
          <w:rFonts w:eastAsia="SimSun"/>
          <w:color w:val="000000"/>
          <w:sz w:val="20"/>
          <w:szCs w:val="20"/>
          <w:lang w:val="pt-BR"/>
        </w:rPr>
        <w:t xml:space="preserve">), </w:t>
      </w:r>
      <w:r>
        <w:rPr>
          <w:rFonts w:eastAsia="SimSun"/>
          <w:color w:val="000000"/>
          <w:sz w:val="20"/>
          <w:szCs w:val="20"/>
        </w:rPr>
        <w:t>do que as brânquias</w:t>
      </w:r>
      <w:r>
        <w:rPr>
          <w:rFonts w:eastAsia="SimSun"/>
          <w:color w:val="000000"/>
          <w:sz w:val="20"/>
          <w:szCs w:val="20"/>
          <w:vertAlign w:val="superscript"/>
          <w:lang w:val="pt-BR"/>
        </w:rPr>
        <w:t xml:space="preserve"> </w:t>
      </w:r>
      <w:r>
        <w:rPr>
          <w:rFonts w:eastAsia="SimSun"/>
          <w:color w:val="000000"/>
          <w:sz w:val="20"/>
          <w:szCs w:val="20"/>
        </w:rPr>
        <w:t>(1,31</w:t>
      </w:r>
      <w:r>
        <w:rPr>
          <w:rFonts w:hint="default" w:eastAsia="SimSun"/>
          <w:color w:val="000000"/>
          <w:sz w:val="20"/>
          <w:szCs w:val="20"/>
          <w:lang w:val="pt-BR"/>
        </w:rPr>
        <w:t xml:space="preserve"> </w:t>
      </w:r>
      <w:r>
        <w:rPr>
          <w:rFonts w:eastAsia="SimSun"/>
          <w:color w:val="000000"/>
          <w:sz w:val="20"/>
          <w:szCs w:val="20"/>
        </w:rPr>
        <w:t>± 1,45</w:t>
      </w:r>
      <w:r>
        <w:rPr>
          <w:rFonts w:hint="default" w:eastAsia="SimSun"/>
          <w:color w:val="000000"/>
          <w:sz w:val="20"/>
          <w:szCs w:val="20"/>
          <w:lang w:val="pt-BR"/>
        </w:rPr>
        <w:t xml:space="preserve"> </w:t>
      </w:r>
      <w:r>
        <w:rPr>
          <w:rFonts w:eastAsia="SimSun"/>
          <w:color w:val="000000"/>
          <w:sz w:val="20"/>
          <w:szCs w:val="20"/>
        </w:rPr>
        <w:t>MPs indivíduo</w:t>
      </w:r>
      <w:r>
        <w:rPr>
          <w:rFonts w:eastAsia="SimSun"/>
          <w:color w:val="000000"/>
          <w:sz w:val="20"/>
          <w:szCs w:val="20"/>
          <w:vertAlign w:val="superscript"/>
        </w:rPr>
        <w:t>-1</w:t>
      </w:r>
      <w:r>
        <w:rPr>
          <w:rFonts w:eastAsia="SimSun"/>
          <w:color w:val="000000"/>
          <w:sz w:val="20"/>
          <w:szCs w:val="20"/>
        </w:rPr>
        <w:t xml:space="preserve">) (W= 3671.5, </w:t>
      </w:r>
      <w:r>
        <w:rPr>
          <w:rFonts w:eastAsia="SimSun"/>
          <w:i/>
          <w:iCs/>
          <w:color w:val="000000"/>
          <w:sz w:val="20"/>
          <w:szCs w:val="20"/>
        </w:rPr>
        <w:t>p</w:t>
      </w:r>
      <w:r>
        <w:rPr>
          <w:rFonts w:eastAsia="SimSun"/>
          <w:color w:val="000000"/>
          <w:sz w:val="20"/>
          <w:szCs w:val="20"/>
        </w:rPr>
        <w:t xml:space="preserve">-value = 0.03442) (Figura </w:t>
      </w:r>
      <w:r>
        <w:rPr>
          <w:rFonts w:eastAsia="SimSun"/>
          <w:color w:val="000000"/>
          <w:sz w:val="20"/>
          <w:szCs w:val="20"/>
          <w:lang w:val="pt-BR"/>
        </w:rPr>
        <w:t>2</w:t>
      </w:r>
      <w:r>
        <w:rPr>
          <w:rFonts w:eastAsia="SimSun"/>
          <w:color w:val="000000"/>
          <w:sz w:val="20"/>
          <w:szCs w:val="20"/>
        </w:rPr>
        <w:t xml:space="preserve">). Na espécie </w:t>
      </w:r>
      <w:r>
        <w:rPr>
          <w:rFonts w:eastAsia="SimSun"/>
          <w:i/>
          <w:iCs/>
          <w:color w:val="000000"/>
          <w:sz w:val="20"/>
          <w:szCs w:val="20"/>
        </w:rPr>
        <w:t>H. taaningi</w:t>
      </w:r>
      <w:r>
        <w:rPr>
          <w:rFonts w:eastAsia="SimSun"/>
          <w:color w:val="000000"/>
          <w:sz w:val="20"/>
          <w:szCs w:val="20"/>
        </w:rPr>
        <w:t xml:space="preserve"> as análises não registraram uma diferença significativa entre o trato digestivo (0,95 ±</w:t>
      </w:r>
      <w:r>
        <w:rPr>
          <w:rFonts w:hint="default" w:eastAsia="SimSun"/>
          <w:color w:val="000000"/>
          <w:sz w:val="20"/>
          <w:szCs w:val="20"/>
          <w:lang w:val="pt-BR"/>
        </w:rPr>
        <w:t xml:space="preserve"> 1,22</w:t>
      </w:r>
      <w:r>
        <w:rPr>
          <w:rFonts w:eastAsia="SimSun"/>
          <w:color w:val="000000"/>
          <w:sz w:val="20"/>
          <w:szCs w:val="20"/>
        </w:rPr>
        <w:t xml:space="preserve"> MPs indivíduo</w:t>
      </w:r>
      <w:r>
        <w:rPr>
          <w:rFonts w:eastAsia="SimSun"/>
          <w:color w:val="000000"/>
          <w:sz w:val="20"/>
          <w:szCs w:val="20"/>
          <w:vertAlign w:val="superscript"/>
        </w:rPr>
        <w:t>-1</w:t>
      </w:r>
      <w:r>
        <w:rPr>
          <w:rFonts w:eastAsia="SimSun"/>
          <w:color w:val="000000"/>
          <w:sz w:val="20"/>
          <w:szCs w:val="20"/>
        </w:rPr>
        <w:t>) e brânquia (1,20 ± 1,55 MPs indivíduo</w:t>
      </w:r>
      <w:r>
        <w:rPr>
          <w:rFonts w:eastAsia="SimSun"/>
          <w:color w:val="000000"/>
          <w:sz w:val="20"/>
          <w:szCs w:val="20"/>
          <w:vertAlign w:val="superscript"/>
        </w:rPr>
        <w:t>-1</w:t>
      </w:r>
      <w:r>
        <w:rPr>
          <w:rFonts w:eastAsia="SimSun"/>
          <w:color w:val="000000"/>
          <w:sz w:val="20"/>
          <w:szCs w:val="20"/>
        </w:rPr>
        <w:t xml:space="preserve">), já em  </w:t>
      </w:r>
      <w:r>
        <w:rPr>
          <w:rFonts w:eastAsia="SimSun"/>
          <w:i/>
          <w:iCs/>
          <w:color w:val="000000"/>
          <w:sz w:val="20"/>
          <w:szCs w:val="20"/>
        </w:rPr>
        <w:t>L. guentheri</w:t>
      </w:r>
      <w:r>
        <w:rPr>
          <w:rFonts w:eastAsia="SimSun"/>
          <w:color w:val="000000"/>
          <w:sz w:val="20"/>
          <w:szCs w:val="20"/>
        </w:rPr>
        <w:t xml:space="preserve"> haviam significativamente mais partículas nas brânquias (1,4 ± 1,37 MPs indivíduo</w:t>
      </w:r>
      <w:r>
        <w:rPr>
          <w:rFonts w:eastAsia="SimSun"/>
          <w:color w:val="000000"/>
          <w:sz w:val="20"/>
          <w:szCs w:val="20"/>
          <w:vertAlign w:val="superscript"/>
        </w:rPr>
        <w:t>-1</w:t>
      </w:r>
      <w:r>
        <w:rPr>
          <w:rFonts w:eastAsia="SimSun"/>
          <w:color w:val="000000"/>
          <w:sz w:val="20"/>
          <w:szCs w:val="20"/>
        </w:rPr>
        <w:t>) do que no trato digestivo (0,72 ± 1,05 MPs indivíduo</w:t>
      </w:r>
      <w:r>
        <w:rPr>
          <w:rFonts w:eastAsia="SimSun"/>
          <w:color w:val="000000"/>
          <w:sz w:val="20"/>
          <w:szCs w:val="20"/>
          <w:vertAlign w:val="superscript"/>
        </w:rPr>
        <w:t>-1</w:t>
      </w:r>
      <w:r>
        <w:rPr>
          <w:rFonts w:eastAsia="SimSun"/>
          <w:color w:val="000000"/>
          <w:sz w:val="20"/>
          <w:szCs w:val="20"/>
        </w:rPr>
        <w:t xml:space="preserve">) (W= 842.5, </w:t>
      </w:r>
      <w:r>
        <w:rPr>
          <w:rFonts w:eastAsia="SimSun"/>
          <w:i/>
          <w:iCs/>
          <w:color w:val="000000"/>
          <w:sz w:val="20"/>
          <w:szCs w:val="20"/>
        </w:rPr>
        <w:t>p</w:t>
      </w:r>
      <w:r>
        <w:rPr>
          <w:rFonts w:eastAsia="SimSun"/>
          <w:color w:val="000000"/>
          <w:sz w:val="20"/>
          <w:szCs w:val="20"/>
        </w:rPr>
        <w:t>-value = 0.002948)</w:t>
      </w:r>
      <w:r>
        <w:rPr>
          <w:rFonts w:eastAsia="SimSun"/>
          <w:color w:val="000000"/>
          <w:sz w:val="20"/>
          <w:szCs w:val="20"/>
          <w:lang w:val="pt-BR"/>
        </w:rPr>
        <w:t xml:space="preserve"> (Figura 3)</w:t>
      </w:r>
      <w:r>
        <w:rPr>
          <w:rFonts w:eastAsia="SimSun"/>
          <w:color w:val="000000"/>
          <w:sz w:val="20"/>
          <w:szCs w:val="20"/>
        </w:rPr>
        <w:t>.</w:t>
      </w:r>
      <w:r>
        <w:rPr>
          <w:rFonts w:hint="default" w:eastAsia="SimSun"/>
          <w:color w:val="000000"/>
          <w:sz w:val="20"/>
          <w:szCs w:val="20"/>
          <w:lang w:val="pt-BR"/>
        </w:rPr>
        <w:t xml:space="preserve"> </w:t>
      </w:r>
    </w:p>
    <w:p>
      <w:pPr>
        <w:spacing w:line="240" w:lineRule="auto"/>
        <w:ind w:firstLine="567"/>
        <w:jc w:val="center"/>
        <w:rPr>
          <w:rFonts w:hint="default" w:ascii="Times New Roman" w:hAnsi="Times New Roman" w:eastAsia="SimSun" w:cs="Times New Roman"/>
          <w:i w:val="0"/>
          <w:iCs w:val="0"/>
          <w:color w:val="000000"/>
          <w:sz w:val="24"/>
          <w:szCs w:val="24"/>
          <w:u w:val="none"/>
          <w:vertAlign w:val="baseline"/>
        </w:rPr>
      </w:pPr>
    </w:p>
    <w:p>
      <w:pPr>
        <w:spacing w:line="240" w:lineRule="auto"/>
        <w:ind w:firstLine="567"/>
        <w:jc w:val="center"/>
        <w:rPr>
          <w:rFonts w:eastAsia="Times New Roman"/>
          <w:b/>
          <w:sz w:val="20"/>
          <w:szCs w:val="20"/>
          <w:lang w:val="pt-BR"/>
        </w:rPr>
      </w:pPr>
      <w:r>
        <w:rPr>
          <w:rFonts w:hint="default" w:ascii="Times New Roman" w:hAnsi="Times New Roman" w:eastAsia="SimSu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drawing>
          <wp:inline distT="0" distB="0" distL="114300" distR="114300">
            <wp:extent cx="5570220" cy="2402205"/>
            <wp:effectExtent l="0" t="0" r="11430" b="17145"/>
            <wp:docPr id="1" name="Imagem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l="19938" t="21377" r="19803" b="29613"/>
                    <a:stretch>
                      <a:fillRect/>
                    </a:stretch>
                  </pic:blipFill>
                  <pic:spPr>
                    <a:xfrm>
                      <a:off x="0" y="0"/>
                      <a:ext cx="5570220" cy="2402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hint="default" w:ascii="Times New Roman" w:hAnsi="Times New Roman" w:eastAsia="SimSun" w:cs="Times New Roman"/>
          <w:i w:val="0"/>
          <w:iCs w:val="0"/>
          <w:color w:val="000000"/>
          <w:sz w:val="24"/>
          <w:szCs w:val="24"/>
          <w:u w:val="none"/>
          <w:vertAlign w:val="baseline"/>
        </w:rPr>
      </w:pPr>
      <w:r>
        <w:rPr>
          <w:rFonts w:eastAsia="Times New Roman"/>
          <w:sz w:val="20"/>
          <w:szCs w:val="20"/>
        </w:rPr>
        <w:t xml:space="preserve">Figura </w:t>
      </w:r>
      <w:r>
        <w:rPr>
          <w:rFonts w:hint="default" w:eastAsia="Times New Roman"/>
          <w:sz w:val="20"/>
          <w:szCs w:val="20"/>
          <w:lang w:val="pt-BR"/>
        </w:rPr>
        <w:t>2</w:t>
      </w:r>
      <w:r>
        <w:rPr>
          <w:rFonts w:eastAsia="Times New Roman"/>
          <w:sz w:val="20"/>
          <w:szCs w:val="20"/>
        </w:rPr>
        <w:t xml:space="preserve">. </w:t>
      </w:r>
      <w:r>
        <w:rPr>
          <w:rFonts w:hint="default" w:eastAsia="Times New Roman"/>
          <w:sz w:val="20"/>
          <w:szCs w:val="20"/>
          <w:lang w:val="pt-BR"/>
        </w:rPr>
        <w:t>Distribuição do n</w:t>
      </w:r>
      <w:r>
        <w:rPr>
          <w:rFonts w:hint="default" w:ascii="Arial" w:hAnsi="Arial" w:eastAsia="SimSun" w:cs="Arial"/>
          <w:i w:val="0"/>
          <w:iCs w:val="0"/>
          <w:color w:val="000000"/>
          <w:sz w:val="20"/>
          <w:szCs w:val="20"/>
          <w:u w:val="none"/>
          <w:vertAlign w:val="baseline"/>
        </w:rPr>
        <w:t xml:space="preserve">úmero de MPs detectado </w:t>
      </w:r>
      <w:r>
        <w:rPr>
          <w:rFonts w:hint="default" w:eastAsia="SimSun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 xml:space="preserve">por indivíduo </w:t>
      </w:r>
      <w:r>
        <w:rPr>
          <w:rFonts w:hint="default" w:ascii="Arial" w:hAnsi="Arial" w:eastAsia="SimSun" w:cs="Arial"/>
          <w:i w:val="0"/>
          <w:iCs w:val="0"/>
          <w:color w:val="000000"/>
          <w:sz w:val="20"/>
          <w:szCs w:val="20"/>
          <w:u w:val="none"/>
          <w:vertAlign w:val="baseline"/>
        </w:rPr>
        <w:t xml:space="preserve">no trato digestivo de (a) </w:t>
      </w:r>
      <w:r>
        <w:rPr>
          <w:rFonts w:hint="default" w:ascii="Arial" w:hAnsi="Arial" w:eastAsia="SimSun" w:cs="Arial"/>
          <w:i/>
          <w:iCs/>
          <w:color w:val="000000"/>
          <w:sz w:val="20"/>
          <w:szCs w:val="20"/>
          <w:u w:val="none"/>
          <w:vertAlign w:val="baseline"/>
        </w:rPr>
        <w:t>Hygophum taaningi</w:t>
      </w:r>
      <w:r>
        <w:rPr>
          <w:rFonts w:hint="default" w:ascii="Arial" w:hAnsi="Arial" w:eastAsia="SimSun" w:cs="Arial"/>
          <w:i w:val="0"/>
          <w:iCs w:val="0"/>
          <w:color w:val="000000"/>
          <w:sz w:val="20"/>
          <w:szCs w:val="20"/>
          <w:u w:val="none"/>
          <w:vertAlign w:val="baseline"/>
        </w:rPr>
        <w:t xml:space="preserve"> e (b) </w:t>
      </w:r>
      <w:r>
        <w:rPr>
          <w:rFonts w:hint="default" w:ascii="Arial" w:hAnsi="Arial" w:eastAsia="SimSun" w:cs="Arial"/>
          <w:i/>
          <w:iCs/>
          <w:color w:val="000000"/>
          <w:sz w:val="20"/>
          <w:szCs w:val="20"/>
          <w:u w:val="none"/>
          <w:vertAlign w:val="baseline"/>
        </w:rPr>
        <w:t xml:space="preserve">Lepidophanes guentheri </w:t>
      </w:r>
      <w:r>
        <w:rPr>
          <w:rFonts w:hint="default" w:ascii="Arial" w:hAnsi="Arial" w:eastAsia="SimSun" w:cs="Arial"/>
          <w:i w:val="0"/>
          <w:iCs w:val="0"/>
          <w:color w:val="000000"/>
          <w:sz w:val="20"/>
          <w:szCs w:val="20"/>
          <w:u w:val="none"/>
          <w:vertAlign w:val="baseline"/>
        </w:rPr>
        <w:t>do Atlântico Sul Ocidental.</w:t>
      </w:r>
      <w:r>
        <w:rPr>
          <w:rFonts w:hint="default" w:eastAsia="SimSun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 xml:space="preserve"> </w:t>
      </w:r>
      <w:r>
        <w:rPr>
          <w:rFonts w:hint="default" w:eastAsia="SimSun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>A linha horizontal dentro dos gráficos de caixa mostra o intervalo interquartil, os pontos representam a  distribuição de MPs por indivíduo analisado.</w:t>
      </w:r>
      <w:r>
        <w:rPr>
          <w:rFonts w:hint="default" w:eastAsia="SimSun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 xml:space="preserve"> </w:t>
      </w:r>
    </w:p>
    <w:p>
      <w:pPr>
        <w:spacing w:line="240" w:lineRule="auto"/>
        <w:jc w:val="center"/>
        <w:rPr>
          <w:rFonts w:hint="default" w:ascii="Times New Roman" w:hAnsi="Times New Roman" w:eastAsia="SimSun" w:cs="Times New Roman"/>
          <w:i w:val="0"/>
          <w:iCs w:val="0"/>
          <w:color w:val="000000"/>
          <w:sz w:val="24"/>
          <w:szCs w:val="24"/>
          <w:u w:val="none"/>
          <w:vertAlign w:val="baseline"/>
        </w:rPr>
      </w:pPr>
    </w:p>
    <w:p>
      <w:pPr>
        <w:spacing w:line="240" w:lineRule="auto"/>
        <w:jc w:val="center"/>
        <w:rPr>
          <w:rFonts w:hint="default" w:ascii="Times New Roman" w:hAnsi="Times New Roman" w:eastAsia="SimSun" w:cs="Times New Roman"/>
          <w:i w:val="0"/>
          <w:iCs w:val="0"/>
          <w:color w:val="000000"/>
          <w:sz w:val="24"/>
          <w:szCs w:val="24"/>
          <w:u w:val="none"/>
          <w:vertAlign w:val="baseline"/>
          <w:lang w:val="pt-BR"/>
        </w:rPr>
      </w:pPr>
      <w:r>
        <w:rPr>
          <w:rFonts w:hint="default" w:ascii="Times New Roman" w:hAnsi="Times New Roman" w:eastAsia="SimSu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drawing>
          <wp:inline distT="0" distB="0" distL="114300" distR="114300">
            <wp:extent cx="5557520" cy="2395855"/>
            <wp:effectExtent l="0" t="0" r="5080" b="4445"/>
            <wp:docPr id="2" name="Imagem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rcRect l="19833" t="21319" r="23826" b="29625"/>
                    <a:stretch>
                      <a:fillRect/>
                    </a:stretch>
                  </pic:blipFill>
                  <pic:spPr>
                    <a:xfrm>
                      <a:off x="0" y="0"/>
                      <a:ext cx="5557520" cy="2395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hint="default" w:eastAsia="SimSun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</w:pPr>
      <w:r>
        <w:rPr>
          <w:rFonts w:hint="default" w:eastAsia="SimSun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>Figura 3. Distribuição do n</w:t>
      </w:r>
      <w:r>
        <w:rPr>
          <w:rFonts w:hint="default" w:ascii="Arial" w:hAnsi="Arial" w:eastAsia="SimSun" w:cs="Arial"/>
          <w:i w:val="0"/>
          <w:iCs w:val="0"/>
          <w:color w:val="000000"/>
          <w:sz w:val="20"/>
          <w:szCs w:val="20"/>
          <w:u w:val="none"/>
          <w:vertAlign w:val="baseline"/>
        </w:rPr>
        <w:t xml:space="preserve">úmero de MPs </w:t>
      </w:r>
      <w:r>
        <w:rPr>
          <w:rFonts w:hint="default" w:eastAsia="SimSun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>detectado por indivíduo</w:t>
      </w:r>
      <w:r>
        <w:rPr>
          <w:rFonts w:hint="default" w:ascii="Arial" w:hAnsi="Arial" w:eastAsia="SimSun" w:cs="Arial"/>
          <w:i w:val="0"/>
          <w:iCs w:val="0"/>
          <w:color w:val="000000"/>
          <w:sz w:val="20"/>
          <w:szCs w:val="20"/>
          <w:u w:val="none"/>
          <w:vertAlign w:val="baseline"/>
        </w:rPr>
        <w:t xml:space="preserve"> nas brânquias de (a) </w:t>
      </w:r>
      <w:r>
        <w:rPr>
          <w:rFonts w:hint="default" w:ascii="Arial" w:hAnsi="Arial" w:eastAsia="SimSun" w:cs="Arial"/>
          <w:i/>
          <w:iCs/>
          <w:color w:val="000000"/>
          <w:sz w:val="20"/>
          <w:szCs w:val="20"/>
          <w:u w:val="none"/>
          <w:vertAlign w:val="baseline"/>
        </w:rPr>
        <w:t>Hygophum taaningi</w:t>
      </w:r>
      <w:r>
        <w:rPr>
          <w:rFonts w:hint="default" w:ascii="Arial" w:hAnsi="Arial" w:eastAsia="SimSun" w:cs="Arial"/>
          <w:i w:val="0"/>
          <w:iCs w:val="0"/>
          <w:color w:val="000000"/>
          <w:sz w:val="20"/>
          <w:szCs w:val="20"/>
          <w:u w:val="none"/>
          <w:vertAlign w:val="baseline"/>
        </w:rPr>
        <w:t xml:space="preserve"> e (b) </w:t>
      </w:r>
      <w:r>
        <w:rPr>
          <w:rFonts w:hint="default" w:ascii="Arial" w:hAnsi="Arial" w:eastAsia="SimSun" w:cs="Arial"/>
          <w:i/>
          <w:iCs/>
          <w:color w:val="000000"/>
          <w:sz w:val="20"/>
          <w:szCs w:val="20"/>
          <w:u w:val="none"/>
          <w:vertAlign w:val="baseline"/>
        </w:rPr>
        <w:t>Lepidophanes guentheri</w:t>
      </w:r>
      <w:r>
        <w:rPr>
          <w:rFonts w:hint="default" w:ascii="Arial" w:hAnsi="Arial" w:eastAsia="SimSun" w:cs="Arial"/>
          <w:i w:val="0"/>
          <w:iCs w:val="0"/>
          <w:color w:val="000000"/>
          <w:sz w:val="20"/>
          <w:szCs w:val="20"/>
          <w:u w:val="none"/>
          <w:vertAlign w:val="baseline"/>
        </w:rPr>
        <w:t>.</w:t>
      </w:r>
      <w:r>
        <w:rPr>
          <w:rFonts w:hint="default" w:eastAsia="SimSun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>A linha horizontal dentro dos gráficos de caixa mostra o intervalo interquartil.</w:t>
      </w:r>
      <w:r>
        <w:rPr>
          <w:rFonts w:hint="default" w:eastAsia="SimSun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 xml:space="preserve"> </w:t>
      </w:r>
    </w:p>
    <w:p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CONCLUSÕES</w:t>
      </w:r>
    </w:p>
    <w:p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>
      <w:pPr>
        <w:spacing w:line="240" w:lineRule="auto"/>
        <w:ind w:firstLine="567"/>
        <w:jc w:val="both"/>
        <w:rPr>
          <w:rFonts w:hint="default" w:eastAsia="Times New Roman" w:cs="Arial"/>
          <w:sz w:val="20"/>
          <w:szCs w:val="20"/>
          <w:lang w:val="pt-BR"/>
        </w:rPr>
      </w:pPr>
      <w:r>
        <w:rPr>
          <w:rFonts w:hint="default" w:eastAsia="Times New Roman" w:cs="Arial"/>
          <w:sz w:val="20"/>
          <w:szCs w:val="20"/>
          <w:lang w:val="pt-BR"/>
        </w:rPr>
        <w:t>C</w:t>
      </w:r>
      <w:r>
        <w:rPr>
          <w:rFonts w:eastAsia="Times New Roman"/>
          <w:sz w:val="20"/>
          <w:szCs w:val="20"/>
          <w:lang w:val="pt-BR"/>
        </w:rPr>
        <w:t>omo um número maior de partículas estava presente na brânquia, pode-se concluir que a brânquia possui um maior potencial de acúmulo do que o trato digestivo nas amostras das duas espécies analisadas, sendo assim o processo de inalação propicia que os indivíduos se contaminem mais em relação a contaminação através da ingestão, já que os indivíduos precisam respirar muito mais vezes do que se alimentam. O presente estudo dispõe informações sobre padrões de contaminação de peixes-lanterna, mostrando a inalação como uma fonte significativa de contaminação por MPs, oferecendo dados dos impactos causados pela poluição de MPs nos ecossistemas marinhos.</w:t>
      </w:r>
      <w:bookmarkStart w:id="1" w:name="_GoBack"/>
      <w:bookmarkEnd w:id="1"/>
    </w:p>
    <w:p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REFERÊNCIAS </w:t>
      </w:r>
    </w:p>
    <w:p>
      <w:pPr>
        <w:spacing w:line="240" w:lineRule="auto"/>
        <w:jc w:val="both"/>
        <w:rPr>
          <w:rFonts w:eastAsia="Times New Roman"/>
          <w:b/>
          <w:bCs/>
          <w:sz w:val="20"/>
          <w:szCs w:val="20"/>
        </w:rPr>
      </w:pPr>
    </w:p>
    <w:p>
      <w:pPr>
        <w:spacing w:line="240" w:lineRule="auto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Periódicos:</w:t>
      </w:r>
    </w:p>
    <w:p>
      <w:pPr>
        <w:spacing w:line="240" w:lineRule="auto"/>
        <w:jc w:val="both"/>
        <w:rPr>
          <w:rFonts w:hint="default" w:eastAsia="SimSun" w:cs="Arial"/>
          <w:b w:val="0"/>
          <w:bCs w:val="0"/>
          <w:sz w:val="20"/>
          <w:szCs w:val="20"/>
          <w:u w:val="none"/>
          <w:lang w:val="pt-BR"/>
        </w:rPr>
      </w:pPr>
      <w:r>
        <w:rPr>
          <w:rFonts w:hint="default" w:ascii="Arial" w:hAnsi="Arial" w:eastAsia="SimSun" w:cs="Arial"/>
          <w:i w:val="0"/>
          <w:iCs w:val="0"/>
          <w:color w:val="000000"/>
          <w:sz w:val="20"/>
          <w:szCs w:val="20"/>
          <w:u w:val="none"/>
          <w:vertAlign w:val="baseline"/>
        </w:rPr>
        <w:t xml:space="preserve">Bhagat, J., Zang, L., Nishimura, N., Shimada, Y., 2020. Zebrafish: An emerging model to study microplastic and nanoplastic toxicity. Science of the Total Environment 728, 138707. </w:t>
      </w:r>
      <w:r>
        <w:rPr>
          <w:rFonts w:hint="default" w:ascii="Arial" w:hAnsi="Arial" w:eastAsia="SimSun" w:cs="Arial"/>
          <w:b w:val="0"/>
          <w:bCs w:val="0"/>
          <w:sz w:val="20"/>
          <w:szCs w:val="20"/>
          <w:u w:val="none"/>
        </w:rPr>
        <w:fldChar w:fldCharType="begin"/>
      </w:r>
      <w:r>
        <w:rPr>
          <w:rFonts w:hint="default" w:ascii="Arial" w:hAnsi="Arial" w:eastAsia="SimSun" w:cs="Arial"/>
          <w:b w:val="0"/>
          <w:bCs w:val="0"/>
          <w:sz w:val="20"/>
          <w:szCs w:val="20"/>
          <w:u w:val="none"/>
        </w:rPr>
        <w:instrText xml:space="preserve"> HYPERLINK "https://doi.org/10.1016/j.scitotenv.2020.138707" </w:instrText>
      </w:r>
      <w:r>
        <w:rPr>
          <w:rFonts w:hint="default" w:ascii="Arial" w:hAnsi="Arial" w:eastAsia="SimSun" w:cs="Arial"/>
          <w:b w:val="0"/>
          <w:bCs w:val="0"/>
          <w:sz w:val="20"/>
          <w:szCs w:val="20"/>
          <w:u w:val="none"/>
        </w:rPr>
        <w:fldChar w:fldCharType="separate"/>
      </w:r>
      <w:r>
        <w:rPr>
          <w:rStyle w:val="11"/>
          <w:rFonts w:hint="default" w:ascii="Arial" w:hAnsi="Arial" w:eastAsia="SimSun" w:cs="Arial"/>
          <w:i w:val="0"/>
          <w:iCs w:val="0"/>
          <w:color w:val="000000"/>
          <w:sz w:val="20"/>
          <w:szCs w:val="20"/>
          <w:u w:val="none"/>
          <w:vertAlign w:val="baseline"/>
        </w:rPr>
        <w:t>https://doi.org/10.1016/j.scitotenv.2020.138707</w:t>
      </w:r>
      <w:r>
        <w:rPr>
          <w:rFonts w:hint="default" w:ascii="Arial" w:hAnsi="Arial" w:eastAsia="SimSun" w:cs="Arial"/>
          <w:b w:val="0"/>
          <w:bCs w:val="0"/>
          <w:sz w:val="20"/>
          <w:szCs w:val="20"/>
          <w:u w:val="none"/>
        </w:rPr>
        <w:fldChar w:fldCharType="end"/>
      </w:r>
      <w:r>
        <w:rPr>
          <w:rFonts w:hint="default" w:eastAsia="SimSun" w:cs="Arial"/>
          <w:b w:val="0"/>
          <w:bCs w:val="0"/>
          <w:sz w:val="20"/>
          <w:szCs w:val="20"/>
          <w:u w:val="none"/>
          <w:lang w:val="pt-BR"/>
        </w:rPr>
        <w:t xml:space="preserve"> [data de acesso: 27 de Abril de 2023]</w:t>
      </w:r>
    </w:p>
    <w:p>
      <w:pPr>
        <w:spacing w:line="240" w:lineRule="auto"/>
        <w:jc w:val="both"/>
        <w:rPr>
          <w:rFonts w:hint="default" w:ascii="Arial" w:hAnsi="Arial" w:eastAsia="SimSun" w:cs="Arial"/>
          <w:b w:val="0"/>
          <w:bCs w:val="0"/>
          <w:sz w:val="20"/>
          <w:szCs w:val="20"/>
          <w:u w:val="none"/>
          <w:lang w:val="pt-BR"/>
        </w:rPr>
      </w:pPr>
      <w:r>
        <w:rPr>
          <w:rFonts w:hint="default" w:ascii="Arial" w:hAnsi="Arial" w:eastAsia="SimSun" w:cs="Arial"/>
          <w:sz w:val="20"/>
          <w:szCs w:val="20"/>
        </w:rPr>
        <w:t>Bekker, V.E., 1967. The lanternfishes (Myctophidae) from the “Petr Lebedev” Atlantic Expeditions 1961-1964. Trudy Instituta Okeanologii, 84:84-124. (em russo).</w:t>
      </w:r>
      <w:r>
        <w:rPr>
          <w:rFonts w:hint="default" w:eastAsia="sans-serif" w:cs="Arial"/>
          <w:i w:val="0"/>
          <w:iCs w:val="0"/>
          <w:caps w:val="0"/>
          <w:color w:val="000000"/>
          <w:spacing w:val="0"/>
          <w:sz w:val="20"/>
          <w:szCs w:val="20"/>
          <w:lang w:val="pt-BR"/>
        </w:rPr>
        <w:t>[data de acesso: 27 de Novembro de 2022]</w:t>
      </w:r>
    </w:p>
    <w:p>
      <w:pPr>
        <w:spacing w:line="240" w:lineRule="auto"/>
        <w:jc w:val="both"/>
        <w:rPr>
          <w:rFonts w:hint="default" w:eastAsia="SimSun" w:cs="Arial"/>
          <w:b w:val="0"/>
          <w:bCs w:val="0"/>
          <w:sz w:val="20"/>
          <w:szCs w:val="20"/>
          <w:u w:val="none"/>
          <w:lang w:val="pt-BR"/>
        </w:rPr>
      </w:pPr>
      <w:r>
        <w:rPr>
          <w:rFonts w:hint="default" w:ascii="Arial" w:hAnsi="Arial" w:eastAsia="SimSun" w:cs="Arial"/>
          <w:i w:val="0"/>
          <w:iCs w:val="0"/>
          <w:color w:val="000000"/>
          <w:sz w:val="20"/>
          <w:szCs w:val="20"/>
          <w:u w:val="none"/>
          <w:vertAlign w:val="baseline"/>
        </w:rPr>
        <w:t xml:space="preserve">Cole, M. Lindeque, P., Halsband, C.,  Galloway, T.S. 2011. Microplastics as contaminants in the marine environment: a review Mar. Pollut. Bull., 62, pp. 2588-2597, </w:t>
      </w:r>
      <w:r>
        <w:rPr>
          <w:rFonts w:hint="default" w:ascii="Arial" w:hAnsi="Arial" w:eastAsia="SimSun" w:cs="Arial"/>
          <w:b w:val="0"/>
          <w:bCs w:val="0"/>
          <w:sz w:val="20"/>
          <w:szCs w:val="20"/>
          <w:u w:val="none"/>
        </w:rPr>
        <w:fldChar w:fldCharType="begin"/>
      </w:r>
      <w:r>
        <w:rPr>
          <w:rFonts w:hint="default" w:ascii="Arial" w:hAnsi="Arial" w:eastAsia="SimSun" w:cs="Arial"/>
          <w:b w:val="0"/>
          <w:bCs w:val="0"/>
          <w:sz w:val="20"/>
          <w:szCs w:val="20"/>
          <w:u w:val="none"/>
        </w:rPr>
        <w:instrText xml:space="preserve"> HYPERLINK "https://doi.org/10.1016/j.marpolbul.2011.09.025" </w:instrText>
      </w:r>
      <w:r>
        <w:rPr>
          <w:rFonts w:hint="default" w:ascii="Arial" w:hAnsi="Arial" w:eastAsia="SimSun" w:cs="Arial"/>
          <w:b w:val="0"/>
          <w:bCs w:val="0"/>
          <w:sz w:val="20"/>
          <w:szCs w:val="20"/>
          <w:u w:val="none"/>
        </w:rPr>
        <w:fldChar w:fldCharType="separate"/>
      </w:r>
      <w:r>
        <w:rPr>
          <w:rStyle w:val="11"/>
          <w:rFonts w:hint="default" w:ascii="Arial" w:hAnsi="Arial" w:eastAsia="SimSun" w:cs="Arial"/>
          <w:i w:val="0"/>
          <w:iCs w:val="0"/>
          <w:color w:val="000000"/>
          <w:sz w:val="20"/>
          <w:szCs w:val="20"/>
          <w:u w:val="none"/>
          <w:vertAlign w:val="baseline"/>
        </w:rPr>
        <w:t>10.1016/j.marpolbul.2011.09.025</w:t>
      </w:r>
      <w:r>
        <w:rPr>
          <w:rFonts w:hint="default" w:ascii="Arial" w:hAnsi="Arial" w:eastAsia="SimSun" w:cs="Arial"/>
          <w:b w:val="0"/>
          <w:bCs w:val="0"/>
          <w:sz w:val="20"/>
          <w:szCs w:val="20"/>
          <w:u w:val="none"/>
        </w:rPr>
        <w:fldChar w:fldCharType="end"/>
      </w:r>
      <w:r>
        <w:rPr>
          <w:rFonts w:hint="default" w:ascii="Arial" w:hAnsi="Arial" w:eastAsia="SimSun" w:cs="Arial"/>
          <w:i w:val="0"/>
          <w:iCs w:val="0"/>
          <w:color w:val="000000"/>
          <w:sz w:val="20"/>
          <w:szCs w:val="20"/>
          <w:u w:val="none"/>
          <w:vertAlign w:val="baseline"/>
        </w:rPr>
        <w:t xml:space="preserve">. </w:t>
      </w:r>
      <w:r>
        <w:rPr>
          <w:rFonts w:hint="default" w:ascii="Arial" w:hAnsi="Arial" w:eastAsia="SimSun" w:cs="Arial"/>
          <w:b w:val="0"/>
          <w:bCs w:val="0"/>
          <w:sz w:val="20"/>
          <w:szCs w:val="20"/>
          <w:u w:val="none"/>
        </w:rPr>
        <w:fldChar w:fldCharType="begin"/>
      </w:r>
      <w:r>
        <w:rPr>
          <w:rFonts w:hint="default" w:ascii="Arial" w:hAnsi="Arial" w:eastAsia="SimSun" w:cs="Arial"/>
          <w:b w:val="0"/>
          <w:bCs w:val="0"/>
          <w:sz w:val="20"/>
          <w:szCs w:val="20"/>
          <w:u w:val="none"/>
        </w:rPr>
        <w:instrText xml:space="preserve"> HYPERLINK "https://doi.org/10.1021/es400663f" </w:instrText>
      </w:r>
      <w:r>
        <w:rPr>
          <w:rFonts w:hint="default" w:ascii="Arial" w:hAnsi="Arial" w:eastAsia="SimSun" w:cs="Arial"/>
          <w:b w:val="0"/>
          <w:bCs w:val="0"/>
          <w:sz w:val="20"/>
          <w:szCs w:val="20"/>
          <w:u w:val="none"/>
        </w:rPr>
        <w:fldChar w:fldCharType="separate"/>
      </w:r>
      <w:r>
        <w:rPr>
          <w:rStyle w:val="11"/>
          <w:rFonts w:hint="default" w:ascii="Arial" w:hAnsi="Arial" w:eastAsia="SimSun" w:cs="Arial"/>
          <w:i w:val="0"/>
          <w:iCs w:val="0"/>
          <w:color w:val="000000"/>
          <w:sz w:val="20"/>
          <w:szCs w:val="20"/>
          <w:u w:val="none"/>
          <w:vertAlign w:val="baseline"/>
        </w:rPr>
        <w:t>https://doi.org/10.1021/es400663f</w:t>
      </w:r>
      <w:r>
        <w:rPr>
          <w:rFonts w:hint="default" w:ascii="Arial" w:hAnsi="Arial" w:eastAsia="SimSun" w:cs="Arial"/>
          <w:b w:val="0"/>
          <w:bCs w:val="0"/>
          <w:sz w:val="20"/>
          <w:szCs w:val="20"/>
          <w:u w:val="none"/>
        </w:rPr>
        <w:fldChar w:fldCharType="end"/>
      </w:r>
      <w:r>
        <w:rPr>
          <w:rFonts w:hint="default" w:eastAsia="SimSun" w:cs="Arial"/>
          <w:b w:val="0"/>
          <w:bCs w:val="0"/>
          <w:sz w:val="20"/>
          <w:szCs w:val="20"/>
          <w:u w:val="none"/>
          <w:lang w:val="pt-BR"/>
        </w:rPr>
        <w:t xml:space="preserve"> [data de acesso: 13 de Maio de 2023]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jc w:val="both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0"/>
          <w:szCs w:val="20"/>
          <w:u w:val="none"/>
          <w:shd w:val="clear" w:color="auto" w:fill="auto"/>
          <w:lang w:val="pt-BR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0"/>
          <w:szCs w:val="20"/>
          <w:shd w:val="clear" w:color="auto" w:fill="auto"/>
          <w:lang w:val="pt-BR"/>
        </w:rPr>
        <w:t xml:space="preserve">Goode e Bean. 1896. 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0"/>
          <w:szCs w:val="20"/>
          <w:shd w:val="clear" w:color="auto" w:fill="auto"/>
        </w:rPr>
        <w:t>FishBase. </w:t>
      </w:r>
      <w:r>
        <w:rPr>
          <w:rFonts w:hint="default" w:ascii="Arial" w:hAnsi="Arial" w:eastAsia="sans-serif" w:cs="Arial"/>
          <w:i/>
          <w:iCs/>
          <w:caps w:val="0"/>
          <w:color w:val="auto"/>
          <w:spacing w:val="0"/>
          <w:sz w:val="20"/>
          <w:szCs w:val="20"/>
          <w:shd w:val="clear" w:color="auto" w:fill="auto"/>
        </w:rPr>
        <w:t>Lepidophanes guentheri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0"/>
          <w:szCs w:val="20"/>
          <w:shd w:val="clear" w:color="auto" w:fill="auto"/>
        </w:rPr>
        <w:t xml:space="preserve">. Acessado através de: Registro Mundial de Espécies Marinhas em: 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0"/>
          <w:szCs w:val="20"/>
          <w:u w:val="none"/>
          <w:shd w:val="clear" w:color="auto" w:fill="auto"/>
        </w:rPr>
        <w:t>https://www.marinespecies.org/aphia.php?p=taxdetails&amp;id=126621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0"/>
          <w:szCs w:val="20"/>
          <w:u w:val="none"/>
          <w:shd w:val="clear" w:color="auto" w:fill="auto"/>
          <w:lang w:val="pt-BR"/>
        </w:rPr>
        <w:t>. [data de acesso: 27 de Novembro de 2022]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jc w:val="both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0"/>
          <w:szCs w:val="20"/>
          <w:u w:val="none"/>
          <w:shd w:val="clear" w:color="auto" w:fill="auto"/>
          <w:lang w:val="pt-BR"/>
        </w:rPr>
      </w:pPr>
      <w:r>
        <w:rPr>
          <w:rFonts w:hint="default" w:ascii="Arial" w:hAnsi="Arial" w:eastAsia="SimSun" w:cs="Arial"/>
          <w:i w:val="0"/>
          <w:iCs w:val="0"/>
          <w:color w:val="000000"/>
          <w:sz w:val="20"/>
          <w:szCs w:val="20"/>
          <w:u w:val="none"/>
          <w:vertAlign w:val="baseline"/>
        </w:rPr>
        <w:t xml:space="preserve">Justino, A. K., Ferreira, G. V., Schmidt, N., Eduardo, L. N., Fauvelle, V., Lenoble, V., ... &amp; Lucena-Frédou, F. 2022. The role of mesopelagic fishes as microplastics vectors across the deep-sea layers from the Southwestern Tropical Atlantic. </w:t>
      </w:r>
      <w:r>
        <w:rPr>
          <w:rFonts w:hint="default" w:ascii="Arial" w:hAnsi="Arial" w:eastAsia="SimSun" w:cs="Arial"/>
          <w:i/>
          <w:iCs/>
          <w:color w:val="000000"/>
          <w:sz w:val="20"/>
          <w:szCs w:val="20"/>
          <w:u w:val="none"/>
          <w:vertAlign w:val="baseline"/>
        </w:rPr>
        <w:t>Environmental Pollution</w:t>
      </w:r>
      <w:r>
        <w:rPr>
          <w:rFonts w:hint="default" w:ascii="Arial" w:hAnsi="Arial" w:eastAsia="SimSun" w:cs="Arial"/>
          <w:i w:val="0"/>
          <w:iCs w:val="0"/>
          <w:color w:val="000000"/>
          <w:sz w:val="20"/>
          <w:szCs w:val="20"/>
          <w:u w:val="none"/>
          <w:vertAlign w:val="baseline"/>
        </w:rPr>
        <w:t xml:space="preserve">, </w:t>
      </w:r>
      <w:r>
        <w:rPr>
          <w:rFonts w:hint="default" w:ascii="Arial" w:hAnsi="Arial" w:eastAsia="SimSun" w:cs="Arial"/>
          <w:i/>
          <w:iCs/>
          <w:color w:val="000000"/>
          <w:sz w:val="20"/>
          <w:szCs w:val="20"/>
          <w:u w:val="none"/>
          <w:vertAlign w:val="baseline"/>
        </w:rPr>
        <w:t>300</w:t>
      </w:r>
      <w:r>
        <w:rPr>
          <w:rFonts w:hint="default" w:ascii="Arial" w:hAnsi="Arial" w:eastAsia="SimSun" w:cs="Arial"/>
          <w:i w:val="0"/>
          <w:iCs w:val="0"/>
          <w:color w:val="000000"/>
          <w:sz w:val="20"/>
          <w:szCs w:val="20"/>
          <w:u w:val="none"/>
          <w:vertAlign w:val="baseline"/>
        </w:rPr>
        <w:t xml:space="preserve">, 118988. </w:t>
      </w:r>
      <w:r>
        <w:rPr>
          <w:rFonts w:hint="default" w:ascii="Arial" w:hAnsi="Arial" w:eastAsia="SimSun" w:cs="Arial"/>
          <w:b w:val="0"/>
          <w:bCs w:val="0"/>
          <w:sz w:val="20"/>
          <w:szCs w:val="20"/>
          <w:u w:val="none"/>
        </w:rPr>
        <w:fldChar w:fldCharType="begin"/>
      </w:r>
      <w:r>
        <w:rPr>
          <w:rFonts w:hint="default" w:ascii="Arial" w:hAnsi="Arial" w:eastAsia="SimSun" w:cs="Arial"/>
          <w:b w:val="0"/>
          <w:bCs w:val="0"/>
          <w:sz w:val="20"/>
          <w:szCs w:val="20"/>
          <w:u w:val="none"/>
        </w:rPr>
        <w:instrText xml:space="preserve"> HYPERLINK "https://doi.org/10.1016/j.envpol.2022.118988" </w:instrText>
      </w:r>
      <w:r>
        <w:rPr>
          <w:rFonts w:hint="default" w:ascii="Arial" w:hAnsi="Arial" w:eastAsia="SimSun" w:cs="Arial"/>
          <w:b w:val="0"/>
          <w:bCs w:val="0"/>
          <w:sz w:val="20"/>
          <w:szCs w:val="20"/>
          <w:u w:val="none"/>
        </w:rPr>
        <w:fldChar w:fldCharType="separate"/>
      </w:r>
      <w:r>
        <w:rPr>
          <w:rStyle w:val="11"/>
          <w:rFonts w:hint="default" w:ascii="Arial" w:hAnsi="Arial" w:eastAsia="SimSun" w:cs="Arial"/>
          <w:i w:val="0"/>
          <w:iCs w:val="0"/>
          <w:color w:val="000000"/>
          <w:sz w:val="20"/>
          <w:szCs w:val="20"/>
          <w:u w:val="none"/>
          <w:vertAlign w:val="baseline"/>
        </w:rPr>
        <w:t>https://doi.org/10.1016/j.envpol.2022.118988</w:t>
      </w:r>
      <w:r>
        <w:rPr>
          <w:rFonts w:hint="default" w:ascii="Arial" w:hAnsi="Arial" w:eastAsia="SimSun" w:cs="Arial"/>
          <w:b w:val="0"/>
          <w:bCs w:val="0"/>
          <w:sz w:val="20"/>
          <w:szCs w:val="20"/>
          <w:u w:val="none"/>
        </w:rPr>
        <w:fldChar w:fldCharType="end"/>
      </w:r>
      <w:r>
        <w:rPr>
          <w:rFonts w:hint="default" w:ascii="Arial" w:hAnsi="Arial" w:eastAsia="SimSun" w:cs="Arial"/>
          <w:b w:val="0"/>
          <w:bCs w:val="0"/>
          <w:sz w:val="20"/>
          <w:szCs w:val="20"/>
          <w:u w:val="none"/>
          <w:lang w:val="pt-BR"/>
        </w:rPr>
        <w:t>. [data de acesso: 06 de Outubro de 2022]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jc w:val="both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0"/>
          <w:szCs w:val="20"/>
          <w:u w:val="none"/>
          <w:shd w:val="clear" w:color="auto" w:fill="auto"/>
          <w:lang w:val="pt-BR"/>
        </w:rPr>
      </w:pPr>
      <w:r>
        <w:rPr>
          <w:rFonts w:hint="default" w:ascii="Arial" w:hAnsi="Arial" w:eastAsia="SimSun" w:cs="Arial"/>
          <w:i w:val="0"/>
          <w:iCs w:val="0"/>
          <w:color w:val="000000"/>
          <w:sz w:val="20"/>
          <w:szCs w:val="20"/>
          <w:u w:val="none"/>
          <w:vertAlign w:val="baseline"/>
        </w:rPr>
        <w:t xml:space="preserve">Lusher, A.L., Welden, N.A., Sobral, P., Cole, M., 2017. Sampling, isolating and identifying microplastics ingested by fish and invertebrates. Anal. Methods 9, 1346–1360. </w:t>
      </w:r>
      <w:r>
        <w:rPr>
          <w:rFonts w:hint="default" w:ascii="Arial" w:hAnsi="Arial" w:eastAsia="SimSun" w:cs="Arial"/>
          <w:b w:val="0"/>
          <w:bCs w:val="0"/>
          <w:sz w:val="20"/>
          <w:szCs w:val="20"/>
          <w:u w:val="none"/>
        </w:rPr>
        <w:fldChar w:fldCharType="begin"/>
      </w:r>
      <w:r>
        <w:rPr>
          <w:rFonts w:hint="default" w:ascii="Arial" w:hAnsi="Arial" w:eastAsia="SimSun" w:cs="Arial"/>
          <w:b w:val="0"/>
          <w:bCs w:val="0"/>
          <w:sz w:val="20"/>
          <w:szCs w:val="20"/>
          <w:u w:val="none"/>
        </w:rPr>
        <w:instrText xml:space="preserve"> HYPERLINK "https://doi.org/10.1039/C6AY02415G" </w:instrText>
      </w:r>
      <w:r>
        <w:rPr>
          <w:rFonts w:hint="default" w:ascii="Arial" w:hAnsi="Arial" w:eastAsia="SimSun" w:cs="Arial"/>
          <w:b w:val="0"/>
          <w:bCs w:val="0"/>
          <w:sz w:val="20"/>
          <w:szCs w:val="20"/>
          <w:u w:val="none"/>
        </w:rPr>
        <w:fldChar w:fldCharType="separate"/>
      </w:r>
      <w:r>
        <w:rPr>
          <w:rStyle w:val="11"/>
          <w:rFonts w:hint="default" w:ascii="Arial" w:hAnsi="Arial" w:eastAsia="SimSun" w:cs="Arial"/>
          <w:i w:val="0"/>
          <w:iCs w:val="0"/>
          <w:color w:val="000000"/>
          <w:sz w:val="20"/>
          <w:szCs w:val="20"/>
          <w:u w:val="none"/>
          <w:vertAlign w:val="baseline"/>
        </w:rPr>
        <w:t>https://doi.org/10.1039/C6AY02415G</w:t>
      </w:r>
      <w:r>
        <w:rPr>
          <w:rFonts w:hint="default" w:ascii="Arial" w:hAnsi="Arial" w:eastAsia="SimSun" w:cs="Arial"/>
          <w:b w:val="0"/>
          <w:bCs w:val="0"/>
          <w:sz w:val="20"/>
          <w:szCs w:val="20"/>
          <w:u w:val="none"/>
        </w:rPr>
        <w:fldChar w:fldCharType="end"/>
      </w:r>
      <w:r>
        <w:rPr>
          <w:rFonts w:hint="default" w:ascii="Arial" w:hAnsi="Arial" w:eastAsia="SimSun" w:cs="Arial"/>
          <w:b w:val="0"/>
          <w:bCs w:val="0"/>
          <w:sz w:val="20"/>
          <w:szCs w:val="20"/>
          <w:u w:val="none"/>
          <w:lang w:val="pt-BR"/>
        </w:rPr>
        <w:t xml:space="preserve"> [data de acesso: 23 de Junho de 2023]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jc w:val="both"/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</w:pP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</w:rPr>
        <w:t xml:space="preserve">Singh, B., &amp; Sharma, N. 2008. </w:t>
      </w:r>
      <w:r>
        <w:rPr>
          <w:rFonts w:hint="default" w:ascii="Arial" w:hAnsi="Arial" w:cs="Arial"/>
          <w:i/>
          <w:iCs/>
          <w:color w:val="000000"/>
          <w:sz w:val="20"/>
          <w:szCs w:val="20"/>
          <w:u w:val="none"/>
          <w:vertAlign w:val="baseline"/>
        </w:rPr>
        <w:t>Mechanistic implications of plastic degradation. Polymer Degradation and Stability, 93(3), 561–584.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</w:rPr>
        <w:t xml:space="preserve"> doi:10.1016/j.polymdegradstab.200</w:t>
      </w:r>
      <w:r>
        <w:rPr>
          <w:rFonts w:hint="default" w:ascii="Arial" w:hAnsi="Arial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 xml:space="preserve"> [data de acesso: 09 de Dezembro de 2022]</w:t>
      </w:r>
    </w:p>
    <w:p>
      <w:pPr>
        <w:spacing w:line="240" w:lineRule="auto"/>
        <w:jc w:val="both"/>
        <w:rPr>
          <w:rFonts w:eastAsia="Times New Roman"/>
          <w:b/>
          <w:bCs/>
          <w:sz w:val="20"/>
          <w:szCs w:val="20"/>
        </w:rPr>
      </w:pPr>
    </w:p>
    <w:p>
      <w:pPr>
        <w:spacing w:line="240" w:lineRule="auto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Publicações em eventos:</w:t>
      </w:r>
    </w:p>
    <w:p>
      <w:pPr>
        <w:spacing w:line="240" w:lineRule="auto"/>
        <w:jc w:val="both"/>
        <w:rPr>
          <w:rFonts w:hint="default" w:ascii="Arial" w:hAnsi="Arial" w:eastAsia="Times New Roman" w:cs="Arial"/>
          <w:b/>
          <w:sz w:val="20"/>
          <w:szCs w:val="20"/>
        </w:rPr>
      </w:pPr>
      <w:r>
        <w:rPr>
          <w:rFonts w:hint="default" w:ascii="Arial" w:hAnsi="Arial" w:eastAsia="SimSun" w:cs="Arial"/>
          <w:i w:val="0"/>
          <w:iCs w:val="0"/>
          <w:color w:val="000000"/>
          <w:sz w:val="20"/>
          <w:szCs w:val="20"/>
          <w:u w:val="none"/>
          <w:vertAlign w:val="baseline"/>
        </w:rPr>
        <w:t>A</w:t>
      </w:r>
      <w:r>
        <w:rPr>
          <w:rFonts w:hint="default" w:eastAsia="SimSun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>r</w:t>
      </w:r>
      <w:r>
        <w:rPr>
          <w:rFonts w:hint="default" w:ascii="Arial" w:hAnsi="Arial" w:eastAsia="SimSun" w:cs="Arial"/>
          <w:i w:val="0"/>
          <w:iCs w:val="0"/>
          <w:color w:val="000000"/>
          <w:sz w:val="20"/>
          <w:szCs w:val="20"/>
          <w:u w:val="none"/>
          <w:vertAlign w:val="baseline"/>
        </w:rPr>
        <w:t>thur, C., Baker, J., and Bamford, H. 2009. In Proceedings of the International Research Workshop on the Occurrence, Effects and Fate of Microplastic Marine Debris, September 2008, NOAA Technical Memorandum NOS-OR&amp;R30.</w:t>
      </w:r>
    </w:p>
    <w:p>
      <w:pPr>
        <w:spacing w:line="240" w:lineRule="auto"/>
        <w:rPr>
          <w:sz w:val="20"/>
          <w:szCs w:val="20"/>
        </w:rPr>
      </w:pPr>
    </w:p>
    <w:sectPr>
      <w:headerReference r:id="rId5" w:type="default"/>
      <w:pgSz w:w="11909" w:h="16834"/>
      <w:pgMar w:top="2540" w:right="1440" w:bottom="1440" w:left="1440" w:header="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Coura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hAnsi="Calibri" w:eastAsia="Calibri" w:cs="Calibri"/>
        <w:color w:val="FFFFFF"/>
      </w:rPr>
      <w:drawing>
        <wp:inline distT="0" distB="0" distL="114300" distR="114300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eastAsia="Calibri" w:cs="Calibri"/>
        <w:color w:val="FFFFFF"/>
      </w:rPr>
      <w:t xml:space="preserve">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5C8"/>
    <w:rsid w:val="00B555C8"/>
    <w:rsid w:val="00E1011C"/>
    <w:rsid w:val="00FC6916"/>
    <w:rsid w:val="06AB2D99"/>
    <w:rsid w:val="0A2F1F5A"/>
    <w:rsid w:val="0CB662BA"/>
    <w:rsid w:val="14132507"/>
    <w:rsid w:val="167B494E"/>
    <w:rsid w:val="1B2924F9"/>
    <w:rsid w:val="1CA26503"/>
    <w:rsid w:val="1F2C3C5E"/>
    <w:rsid w:val="251A3BA0"/>
    <w:rsid w:val="2A8665B3"/>
    <w:rsid w:val="30B874AF"/>
    <w:rsid w:val="34C11F07"/>
    <w:rsid w:val="3533180D"/>
    <w:rsid w:val="371A057C"/>
    <w:rsid w:val="3CF24186"/>
    <w:rsid w:val="3E300685"/>
    <w:rsid w:val="3EE93036"/>
    <w:rsid w:val="41A362F5"/>
    <w:rsid w:val="42346118"/>
    <w:rsid w:val="42794539"/>
    <w:rsid w:val="466B4905"/>
    <w:rsid w:val="499E328F"/>
    <w:rsid w:val="4AE65A17"/>
    <w:rsid w:val="527C4B7E"/>
    <w:rsid w:val="5ABF5100"/>
    <w:rsid w:val="5BF777B8"/>
    <w:rsid w:val="62913658"/>
    <w:rsid w:val="663764A0"/>
    <w:rsid w:val="6F814935"/>
    <w:rsid w:val="75D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8"/>
    <w:qFormat/>
    <w:uiPriority w:val="0"/>
    <w:rPr>
      <w:i/>
      <w:iCs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Title"/>
    <w:basedOn w:val="1"/>
    <w:next w:val="1"/>
    <w:qFormat/>
    <w:uiPriority w:val="0"/>
    <w:pPr>
      <w:keepNext/>
      <w:keepLines/>
      <w:spacing w:after="60"/>
    </w:pPr>
    <w:rPr>
      <w:sz w:val="52"/>
      <w:szCs w:val="52"/>
    </w:rPr>
  </w:style>
  <w:style w:type="paragraph" w:styleId="13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Cs w:val="24"/>
      <w:lang w:val="en-US" w:eastAsia="zh-CN" w:bidi="ar"/>
    </w:rPr>
  </w:style>
  <w:style w:type="paragraph" w:styleId="14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5">
    <w:name w:val="Subtitle"/>
    <w:basedOn w:val="1"/>
    <w:next w:val="1"/>
    <w:qFormat/>
    <w:uiPriority w:val="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579</Words>
  <Characters>3296</Characters>
  <Lines>70</Lines>
  <Paragraphs>37</Paragraphs>
  <TotalTime>0</TotalTime>
  <ScaleCrop>false</ScaleCrop>
  <LinksUpToDate>false</LinksUpToDate>
  <CharactersWithSpaces>3838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2023-04-12T17:44:00Z</dcterms:created>
  <dc:creator>jesse</dc:creator>
  <cp:lastModifiedBy>AMANDA GABRIELA DE FREITAS CAT</cp:lastModifiedBy>
  <dcterms:modified xsi:type="dcterms:W3CDTF">2023-10-03T01:44:24Z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1046-12.2.0.13215</vt:lpwstr>
  </property>
  <property fmtid="{D5CDD505-2E9C-101B-9397-08002B2CF9AE}" pid="3" name="ICV">
    <vt:lpwstr>72DE21DEC1A84E559D7BB609DCEDA745</vt:lpwstr>
  </property>
  <property fmtid="{D5CDD505-2E9C-101B-9397-08002B2CF9AE}" pid="4" name="GrammarlyDocumentId">
    <vt:lpwstr>effd6cd44c9ef69f915020a947ce0ec4f367a8d184ba27a4b078de75c837e13a</vt:lpwstr>
  </property>
</Properties>
</file>