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4630" w14:textId="77777777" w:rsidR="006B5B5E" w:rsidRDefault="006B5B5E">
      <w:pPr>
        <w:spacing w:line="240" w:lineRule="auto"/>
        <w:jc w:val="both"/>
        <w:rPr>
          <w:b/>
          <w:sz w:val="20"/>
          <w:szCs w:val="20"/>
        </w:rPr>
      </w:pPr>
      <w:bookmarkStart w:id="0" w:name="_heading=h.gjdgxs" w:colFirst="0" w:colLast="0"/>
      <w:bookmarkEnd w:id="0"/>
    </w:p>
    <w:p w14:paraId="38087B6A" w14:textId="77777777" w:rsidR="006B5B5E" w:rsidRDefault="0071781F">
      <w:pPr>
        <w:spacing w:line="240" w:lineRule="auto"/>
        <w:jc w:val="both"/>
        <w:rPr>
          <w:b/>
          <w:sz w:val="20"/>
          <w:szCs w:val="20"/>
        </w:rPr>
      </w:pPr>
      <w:r>
        <w:rPr>
          <w:b/>
          <w:sz w:val="20"/>
          <w:szCs w:val="20"/>
        </w:rPr>
        <w:t>ÁREA TEMÁTICA: Ecologia (Vertebrados)</w:t>
      </w:r>
    </w:p>
    <w:p w14:paraId="387356BE" w14:textId="77777777" w:rsidR="006B5B5E" w:rsidRDefault="0071781F">
      <w:pPr>
        <w:spacing w:line="240" w:lineRule="auto"/>
        <w:jc w:val="both"/>
        <w:rPr>
          <w:b/>
          <w:sz w:val="20"/>
          <w:szCs w:val="20"/>
        </w:rPr>
      </w:pPr>
      <w:r>
        <w:rPr>
          <w:b/>
          <w:sz w:val="20"/>
          <w:szCs w:val="20"/>
        </w:rPr>
        <w:t>SUBÁREA TEMÁTICA: Herpetologia</w:t>
      </w:r>
    </w:p>
    <w:p w14:paraId="3BD38A92" w14:textId="77777777" w:rsidR="006B5B5E" w:rsidRDefault="006B5B5E">
      <w:pPr>
        <w:spacing w:line="240" w:lineRule="auto"/>
        <w:jc w:val="both"/>
        <w:rPr>
          <w:b/>
          <w:sz w:val="20"/>
          <w:szCs w:val="20"/>
        </w:rPr>
      </w:pPr>
    </w:p>
    <w:p w14:paraId="3D77CAD2" w14:textId="77777777" w:rsidR="006B5B5E" w:rsidRDefault="006B5B5E">
      <w:pPr>
        <w:spacing w:line="240" w:lineRule="auto"/>
        <w:jc w:val="center"/>
        <w:rPr>
          <w:b/>
          <w:sz w:val="20"/>
          <w:szCs w:val="20"/>
        </w:rPr>
      </w:pPr>
    </w:p>
    <w:p w14:paraId="37ACB494" w14:textId="77777777" w:rsidR="006B5B5E" w:rsidRDefault="0071781F">
      <w:pPr>
        <w:spacing w:line="240" w:lineRule="auto"/>
        <w:jc w:val="center"/>
        <w:rPr>
          <w:b/>
          <w:sz w:val="20"/>
          <w:szCs w:val="20"/>
        </w:rPr>
      </w:pPr>
      <w:r>
        <w:rPr>
          <w:b/>
          <w:sz w:val="20"/>
          <w:szCs w:val="20"/>
        </w:rPr>
        <w:t>DIVERSIDADE DE RÉPTEIS EM UMA PAISAGEM EM MOSAICO, NA FAZENDA RIACHÃO (SELA), SERRA DA SAUDINHA, MACEIÓ, ALAGOAS</w:t>
      </w:r>
    </w:p>
    <w:p w14:paraId="779866E2" w14:textId="77777777" w:rsidR="006B5B5E" w:rsidRDefault="006B5B5E">
      <w:pPr>
        <w:spacing w:line="240" w:lineRule="auto"/>
        <w:jc w:val="center"/>
        <w:rPr>
          <w:b/>
          <w:sz w:val="20"/>
          <w:szCs w:val="20"/>
        </w:rPr>
      </w:pPr>
    </w:p>
    <w:p w14:paraId="2CAFD321" w14:textId="77777777" w:rsidR="006B5B5E" w:rsidRDefault="0071781F">
      <w:pPr>
        <w:spacing w:line="240" w:lineRule="auto"/>
        <w:jc w:val="center"/>
        <w:rPr>
          <w:i/>
          <w:sz w:val="20"/>
          <w:szCs w:val="20"/>
        </w:rPr>
      </w:pPr>
      <w:r>
        <w:rPr>
          <w:sz w:val="20"/>
          <w:szCs w:val="20"/>
        </w:rPr>
        <w:t>Pedro Henrique Barros Pacheco</w:t>
      </w:r>
      <w:r>
        <w:rPr>
          <w:i/>
          <w:sz w:val="20"/>
          <w:szCs w:val="20"/>
        </w:rPr>
        <w:t xml:space="preserve">¹ </w:t>
      </w:r>
      <w:r>
        <w:rPr>
          <w:sz w:val="20"/>
          <w:szCs w:val="20"/>
        </w:rPr>
        <w:t>², Selma Torquato ¹, Jhenifer Ramalho da Paz¹ ², Marcelle Heliópolis de Oliveira¹ ², Thayná Felix Mota¹ ², Gabriel Nascimento da Silva¹ ², Michelly Silva Cordeiro</w:t>
      </w:r>
      <w:r>
        <w:rPr>
          <w:i/>
          <w:sz w:val="20"/>
          <w:szCs w:val="20"/>
        </w:rPr>
        <w:t xml:space="preserve">¹ </w:t>
      </w:r>
      <w:r>
        <w:rPr>
          <w:sz w:val="20"/>
          <w:szCs w:val="20"/>
        </w:rPr>
        <w:t>²</w:t>
      </w:r>
      <w:r>
        <w:rPr>
          <w:i/>
          <w:sz w:val="20"/>
          <w:szCs w:val="20"/>
        </w:rPr>
        <w:t xml:space="preserve"> </w:t>
      </w:r>
    </w:p>
    <w:p w14:paraId="70436989" w14:textId="77777777" w:rsidR="006B5B5E" w:rsidRDefault="0071781F">
      <w:pPr>
        <w:spacing w:line="240" w:lineRule="auto"/>
        <w:jc w:val="center"/>
        <w:rPr>
          <w:sz w:val="20"/>
          <w:szCs w:val="20"/>
        </w:rPr>
      </w:pPr>
      <w:r>
        <w:rPr>
          <w:sz w:val="20"/>
          <w:szCs w:val="20"/>
        </w:rPr>
        <w:t>¹ Museu de História Natural da Universidade Federal de Alagoas. E-mails: pedro.pacheco@icbs.ufal.br</w:t>
      </w:r>
    </w:p>
    <w:p w14:paraId="653490B9" w14:textId="77777777" w:rsidR="006B5B5E" w:rsidRDefault="0071781F">
      <w:pPr>
        <w:spacing w:line="240" w:lineRule="auto"/>
        <w:jc w:val="center"/>
        <w:rPr>
          <w:sz w:val="20"/>
          <w:szCs w:val="20"/>
        </w:rPr>
      </w:pPr>
      <w:r>
        <w:rPr>
          <w:sz w:val="20"/>
          <w:szCs w:val="20"/>
        </w:rPr>
        <w:t>Universidade Federal de Alagoas. E-mails: selma.torquato@proex.ufal.br</w:t>
      </w:r>
    </w:p>
    <w:p w14:paraId="2CA0EF09" w14:textId="77777777" w:rsidR="006B5B5E" w:rsidRDefault="006B5B5E">
      <w:pPr>
        <w:spacing w:line="240" w:lineRule="auto"/>
        <w:rPr>
          <w:b/>
          <w:sz w:val="20"/>
          <w:szCs w:val="20"/>
        </w:rPr>
      </w:pPr>
    </w:p>
    <w:p w14:paraId="34FF0057" w14:textId="77777777" w:rsidR="006B5B5E" w:rsidRDefault="0071781F">
      <w:pPr>
        <w:spacing w:line="240" w:lineRule="auto"/>
        <w:rPr>
          <w:b/>
          <w:sz w:val="20"/>
          <w:szCs w:val="20"/>
        </w:rPr>
      </w:pPr>
      <w:r>
        <w:rPr>
          <w:b/>
          <w:sz w:val="20"/>
          <w:szCs w:val="20"/>
        </w:rPr>
        <w:t>INTRODUÇÃO</w:t>
      </w:r>
    </w:p>
    <w:p w14:paraId="35BCDBCE" w14:textId="77777777" w:rsidR="006B5B5E" w:rsidRDefault="0071781F">
      <w:pPr>
        <w:spacing w:before="240" w:after="120" w:line="240" w:lineRule="auto"/>
        <w:ind w:firstLine="708"/>
        <w:jc w:val="both"/>
        <w:rPr>
          <w:rFonts w:ascii="Times New Roman" w:eastAsia="Times New Roman" w:hAnsi="Times New Roman" w:cs="Times New Roman"/>
          <w:sz w:val="24"/>
          <w:szCs w:val="24"/>
        </w:rPr>
      </w:pPr>
      <w:r>
        <w:rPr>
          <w:sz w:val="20"/>
          <w:szCs w:val="20"/>
        </w:rPr>
        <w:t>A porção leste do estado de Alagoas que é recoberta pela Mata Atlântica compreende a região mais ao sul de uma área de endemismo chamada Centro de Endemismo de Pernambuco (CEP), abrigando importantes remanescentes florestais, com grande diversidade biológica, endemismo e numerosas espécies ameaçadas. Apesar da riqueza e da quantidade de espécies descritas nos últimos anos, existem lacunas no conhecimento de diversos grupos zoológicos do CEP, e entre eles os répteis, que possuem carência em estudos de diversidade e composição de comunidades (PEREIRA et al., 2023). A expansão das atividades humanas têm dificultado os esforços voltados à pesquisa e conservação destes grupos zoológicos. A silvicultura de espécies exóticas amplia o efeito de borda, provocado pelo tamanho reduzido dos próprios remanescentes do CEP (RANTA et al., 1998; SILVA e TABARELLI, 2000; OLIVEIRA et al., 2004; PINTO, 2006</w:t>
      </w:r>
      <w:r>
        <w:rPr>
          <w:sz w:val="20"/>
          <w:szCs w:val="20"/>
          <w:highlight w:val="white"/>
        </w:rPr>
        <w:t>).</w:t>
      </w:r>
      <w:r>
        <w:rPr>
          <w:sz w:val="20"/>
          <w:szCs w:val="20"/>
        </w:rPr>
        <w:t xml:space="preserve"> Dentre as espécies vegetais utilizadas na silvicultura está o eucalipto australiano, onde GAINSBURY &amp; COLLI (2014) já evidenciaram os efeitos de uma plantação de eucalipto abandonada no Cerrado brasileiro em uma comunidade de lagartos. Neste estudo, procura-se comparar a diversidade encontrada em uma taxocenose de répteis nos diferentes elementos do mosaico da paisagem (remanescentes florestais e plantações de eucalipto), encontrados na Fazenda Riachão (SELA), na Serra da Saudinha, município de Maceió, Alagoas, nordeste do Brasil. </w:t>
      </w:r>
    </w:p>
    <w:p w14:paraId="29492B47" w14:textId="77777777" w:rsidR="006B5B5E" w:rsidRDefault="006B5B5E">
      <w:pPr>
        <w:spacing w:line="240" w:lineRule="auto"/>
        <w:jc w:val="both"/>
        <w:rPr>
          <w:b/>
          <w:sz w:val="20"/>
          <w:szCs w:val="20"/>
        </w:rPr>
      </w:pPr>
    </w:p>
    <w:p w14:paraId="770E1A88" w14:textId="77777777" w:rsidR="006B5B5E" w:rsidRDefault="0071781F">
      <w:pPr>
        <w:spacing w:line="240" w:lineRule="auto"/>
        <w:jc w:val="both"/>
        <w:rPr>
          <w:b/>
          <w:sz w:val="20"/>
          <w:szCs w:val="20"/>
        </w:rPr>
      </w:pPr>
      <w:r>
        <w:rPr>
          <w:b/>
          <w:sz w:val="20"/>
          <w:szCs w:val="20"/>
        </w:rPr>
        <w:t>MATERIAL E MÉTODOS</w:t>
      </w:r>
    </w:p>
    <w:p w14:paraId="144E2511" w14:textId="4AD47156" w:rsidR="00D73CA6" w:rsidRDefault="0071781F" w:rsidP="00616CEF">
      <w:pPr>
        <w:spacing w:before="240" w:after="120" w:line="240" w:lineRule="auto"/>
        <w:ind w:firstLine="720"/>
        <w:jc w:val="both"/>
        <w:rPr>
          <w:sz w:val="20"/>
          <w:szCs w:val="20"/>
        </w:rPr>
      </w:pPr>
      <w:r>
        <w:rPr>
          <w:sz w:val="20"/>
          <w:szCs w:val="20"/>
        </w:rPr>
        <w:t xml:space="preserve">A coleta de dados foi realizada na Fazenda Riachão (SELA), na Serra da Saudinha, município de Maceió, Alagoas. A área dessa fazenda consiste em um mosaico com 728 ha, distribuídos em remanescentes de floresta ombrófila de Mata Atlântica e lotes de monocultura de Eucalipto. Foram amostrados, com permissão do SISBIO (n° 70149-6), indivíduos da herpetofauna no remanescente florestal (RF) e  reflorestamento de eucalipto (RE). Os habitats amostrados foram 3: Silvicultura de eucaliptos (Eucalipto),Borda de mata ombrófila (Borda) e Interior de mata ombrófila (Mata) </w:t>
      </w:r>
      <w:r>
        <w:rPr>
          <w:sz w:val="20"/>
          <w:szCs w:val="20"/>
          <w:highlight w:val="white"/>
        </w:rPr>
        <w:t>separados 500 metros entre si</w:t>
      </w:r>
      <w:r>
        <w:rPr>
          <w:sz w:val="20"/>
          <w:szCs w:val="20"/>
        </w:rPr>
        <w:t xml:space="preserve">, cada um com duas réplicas de transectos de armadilhas de interceptação e queda com cerca guia. Cada transecto continha 5 estações consecutivas, separadas entre si por uma distância de 10 m. Cada estação foi composta por 4 baldes, dispostos em “Y”, com a seguinte configuração: 1 balde central e outros 3 periféricos. Os transectos de armadilhas de queda mediram 70 m de comprimento, e cada tipo de habitat teve 140 m (duas réplicas) amostrados por essa técnica. As armadilhas permaneceram 5 dias abertas em cada excursão. Foram 6 excursões mensais, sendo 3 nos meses da estação seca e 3 na chuvosa. A busca ativa foi realizada por duplas seguindo a metodologia de procura limitada por tempo, sendo duas horas por transectos, definidos aleatoriamente, somando então 590 h/pessoa. A cada encontro, foi feita a observação ou a coleta manual e anotada a hora. Indivíduos coletados foram processados e armazenados na coleção do Setor de Herpetologia do Museu de História Natural de Alagoas (MHN UFAL). Foram aferidas a riqueza e a abundância relativa (AR) de espécies para cada localidade. As análises de diversidade foram realizadas com auxílio do programa PAST, calculando-se os índices de diversidade Shannon (H’), de Berger-Parker (que calcula </w:t>
      </w:r>
      <w:r>
        <w:rPr>
          <w:sz w:val="20"/>
          <w:szCs w:val="20"/>
        </w:rPr>
        <w:lastRenderedPageBreak/>
        <w:t>o índice do táxon dominante em relação ao N), a equitabilidade de Buzas e Gibson (e^H/S) com intervalo de confiança calculado em 95%; para cada habitat amostrado. </w:t>
      </w:r>
    </w:p>
    <w:p w14:paraId="2CD0F7E1" w14:textId="77777777" w:rsidR="00616CEF" w:rsidRPr="00616CEF" w:rsidRDefault="00616CEF" w:rsidP="00F57A7B">
      <w:pPr>
        <w:spacing w:before="240" w:after="120" w:line="240" w:lineRule="auto"/>
        <w:jc w:val="both"/>
        <w:rPr>
          <w:sz w:val="20"/>
          <w:szCs w:val="20"/>
        </w:rPr>
      </w:pPr>
    </w:p>
    <w:p w14:paraId="3FA87FDF" w14:textId="3E3E600F" w:rsidR="00FB705D" w:rsidRDefault="0071781F">
      <w:pPr>
        <w:spacing w:line="240" w:lineRule="auto"/>
        <w:jc w:val="both"/>
        <w:rPr>
          <w:b/>
          <w:sz w:val="20"/>
          <w:szCs w:val="20"/>
        </w:rPr>
      </w:pPr>
      <w:r>
        <w:rPr>
          <w:b/>
          <w:sz w:val="20"/>
          <w:szCs w:val="20"/>
        </w:rPr>
        <w:t>RESULTADOS E DISCUSSÃO</w:t>
      </w:r>
    </w:p>
    <w:p w14:paraId="22E4083E" w14:textId="77777777" w:rsidR="00616CEF" w:rsidRDefault="00616CEF">
      <w:pPr>
        <w:spacing w:line="240" w:lineRule="auto"/>
        <w:jc w:val="both"/>
        <w:rPr>
          <w:b/>
          <w:sz w:val="20"/>
          <w:szCs w:val="20"/>
          <w:lang w:eastAsia="zh-CN"/>
        </w:rPr>
      </w:pPr>
    </w:p>
    <w:p w14:paraId="013E7239" w14:textId="1B90789C" w:rsidR="00D73CA6" w:rsidRDefault="0071781F" w:rsidP="00616CEF">
      <w:pPr>
        <w:spacing w:after="160" w:line="240" w:lineRule="auto"/>
        <w:ind w:firstLine="720"/>
        <w:jc w:val="both"/>
        <w:rPr>
          <w:sz w:val="20"/>
          <w:szCs w:val="20"/>
        </w:rPr>
      </w:pPr>
      <w:r>
        <w:rPr>
          <w:sz w:val="20"/>
          <w:szCs w:val="20"/>
        </w:rPr>
        <w:t xml:space="preserve">Foram coletados ao todo 152 indivíduos distribuídos em 26 espécies, 14 famílias e nas ordens Squamata e Testudines. As espécies mais abundantes na área de estudo foram </w:t>
      </w:r>
      <w:r>
        <w:rPr>
          <w:i/>
          <w:sz w:val="20"/>
          <w:szCs w:val="20"/>
        </w:rPr>
        <w:t>Coleodactylus meridionalis</w:t>
      </w:r>
      <w:r>
        <w:rPr>
          <w:sz w:val="20"/>
          <w:szCs w:val="20"/>
        </w:rPr>
        <w:t xml:space="preserve"> (46,7%), seguido de</w:t>
      </w:r>
      <w:r>
        <w:rPr>
          <w:i/>
          <w:sz w:val="20"/>
          <w:szCs w:val="20"/>
        </w:rPr>
        <w:t xml:space="preserve"> Kentropyx calcarata </w:t>
      </w:r>
      <w:r>
        <w:rPr>
          <w:sz w:val="20"/>
          <w:szCs w:val="20"/>
        </w:rPr>
        <w:t xml:space="preserve">(11,1%) e </w:t>
      </w:r>
      <w:r>
        <w:rPr>
          <w:i/>
          <w:sz w:val="20"/>
          <w:szCs w:val="20"/>
          <w:highlight w:val="white"/>
        </w:rPr>
        <w:t>Norops fuscoauratus</w:t>
      </w:r>
      <w:r>
        <w:rPr>
          <w:sz w:val="20"/>
          <w:szCs w:val="20"/>
        </w:rPr>
        <w:t xml:space="preserve"> (9,89%) (Tab.1).</w:t>
      </w:r>
    </w:p>
    <w:p w14:paraId="38970247" w14:textId="69193077" w:rsidR="006B5B5E" w:rsidRPr="00616CEF" w:rsidRDefault="006B5B5E">
      <w:pPr>
        <w:spacing w:line="240" w:lineRule="auto"/>
        <w:jc w:val="center"/>
        <w:rPr>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4"/>
        <w:gridCol w:w="1201"/>
        <w:gridCol w:w="1041"/>
        <w:gridCol w:w="718"/>
        <w:gridCol w:w="596"/>
      </w:tblGrid>
      <w:tr w:rsidR="00616CEF" w:rsidRPr="00AE1EA0" w14:paraId="2C0098B7" w14:textId="77777777" w:rsidTr="00966032">
        <w:trPr>
          <w:trHeight w:val="80"/>
          <w:jc w:val="center"/>
        </w:trPr>
        <w:tc>
          <w:tcPr>
            <w:tcW w:w="0" w:type="auto"/>
            <w:tcBorders>
              <w:bottom w:val="single" w:sz="4" w:space="0" w:color="auto"/>
            </w:tcBorders>
            <w:tcMar>
              <w:top w:w="0" w:type="dxa"/>
              <w:left w:w="70" w:type="dxa"/>
              <w:bottom w:w="0" w:type="dxa"/>
              <w:right w:w="70" w:type="dxa"/>
            </w:tcMar>
            <w:vAlign w:val="bottom"/>
            <w:hideMark/>
          </w:tcPr>
          <w:p w14:paraId="27055036"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Pr>
                <w:rFonts w:eastAsia="Times New Roman"/>
                <w:b/>
                <w:bCs/>
                <w:color w:val="000000"/>
                <w:sz w:val="20"/>
                <w:szCs w:val="20"/>
              </w:rPr>
              <w:t>Família/</w:t>
            </w:r>
            <w:r w:rsidRPr="00AE1EA0">
              <w:rPr>
                <w:rFonts w:eastAsia="Times New Roman"/>
                <w:b/>
                <w:bCs/>
                <w:color w:val="000000"/>
                <w:sz w:val="20"/>
                <w:szCs w:val="20"/>
              </w:rPr>
              <w:t>Espécie</w:t>
            </w:r>
          </w:p>
        </w:tc>
        <w:tc>
          <w:tcPr>
            <w:tcW w:w="1121" w:type="dxa"/>
            <w:tcBorders>
              <w:bottom w:val="single" w:sz="4" w:space="0" w:color="auto"/>
            </w:tcBorders>
            <w:tcMar>
              <w:top w:w="0" w:type="dxa"/>
              <w:left w:w="70" w:type="dxa"/>
              <w:bottom w:w="0" w:type="dxa"/>
              <w:right w:w="70" w:type="dxa"/>
            </w:tcMar>
            <w:vAlign w:val="bottom"/>
            <w:hideMark/>
          </w:tcPr>
          <w:p w14:paraId="11E2E24A"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b/>
                <w:bCs/>
                <w:color w:val="000000"/>
                <w:sz w:val="20"/>
                <w:szCs w:val="20"/>
              </w:rPr>
              <w:t>AR (%)</w:t>
            </w:r>
          </w:p>
        </w:tc>
        <w:tc>
          <w:tcPr>
            <w:tcW w:w="1041" w:type="dxa"/>
            <w:tcBorders>
              <w:bottom w:val="single" w:sz="4" w:space="0" w:color="auto"/>
            </w:tcBorders>
            <w:tcMar>
              <w:top w:w="0" w:type="dxa"/>
              <w:left w:w="70" w:type="dxa"/>
              <w:bottom w:w="0" w:type="dxa"/>
              <w:right w:w="70" w:type="dxa"/>
            </w:tcMar>
            <w:vAlign w:val="center"/>
            <w:hideMark/>
          </w:tcPr>
          <w:p w14:paraId="480FECFA"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b/>
                <w:bCs/>
                <w:color w:val="000000"/>
                <w:sz w:val="20"/>
                <w:szCs w:val="20"/>
              </w:rPr>
              <w:t>Eucalipto</w:t>
            </w:r>
          </w:p>
        </w:tc>
        <w:tc>
          <w:tcPr>
            <w:tcW w:w="0" w:type="auto"/>
            <w:tcBorders>
              <w:bottom w:val="single" w:sz="4" w:space="0" w:color="auto"/>
            </w:tcBorders>
            <w:tcMar>
              <w:top w:w="0" w:type="dxa"/>
              <w:left w:w="70" w:type="dxa"/>
              <w:bottom w:w="0" w:type="dxa"/>
              <w:right w:w="70" w:type="dxa"/>
            </w:tcMar>
            <w:vAlign w:val="center"/>
            <w:hideMark/>
          </w:tcPr>
          <w:p w14:paraId="26030039"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b/>
                <w:bCs/>
                <w:color w:val="000000"/>
                <w:sz w:val="20"/>
                <w:szCs w:val="20"/>
              </w:rPr>
              <w:t>Borda</w:t>
            </w:r>
          </w:p>
        </w:tc>
        <w:tc>
          <w:tcPr>
            <w:tcW w:w="0" w:type="auto"/>
            <w:tcBorders>
              <w:bottom w:val="single" w:sz="4" w:space="0" w:color="auto"/>
            </w:tcBorders>
            <w:tcMar>
              <w:top w:w="0" w:type="dxa"/>
              <w:left w:w="70" w:type="dxa"/>
              <w:bottom w:w="0" w:type="dxa"/>
              <w:right w:w="70" w:type="dxa"/>
            </w:tcMar>
            <w:vAlign w:val="center"/>
            <w:hideMark/>
          </w:tcPr>
          <w:p w14:paraId="5C2C568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b/>
                <w:bCs/>
                <w:color w:val="000000"/>
                <w:sz w:val="20"/>
                <w:szCs w:val="20"/>
              </w:rPr>
              <w:t>Mata</w:t>
            </w:r>
          </w:p>
        </w:tc>
      </w:tr>
      <w:tr w:rsidR="00616CEF" w:rsidRPr="00AE1EA0" w14:paraId="7A285044" w14:textId="77777777" w:rsidTr="00966032">
        <w:trPr>
          <w:trHeight w:val="305"/>
          <w:jc w:val="center"/>
        </w:trPr>
        <w:tc>
          <w:tcPr>
            <w:tcW w:w="0" w:type="auto"/>
            <w:tcBorders>
              <w:top w:val="single" w:sz="4" w:space="0" w:color="auto"/>
              <w:left w:val="single" w:sz="4" w:space="0" w:color="auto"/>
              <w:bottom w:val="nil"/>
              <w:right w:val="single" w:sz="4" w:space="0" w:color="auto"/>
            </w:tcBorders>
            <w:tcMar>
              <w:top w:w="0" w:type="dxa"/>
              <w:left w:w="70" w:type="dxa"/>
              <w:bottom w:w="0" w:type="dxa"/>
              <w:right w:w="70" w:type="dxa"/>
            </w:tcMar>
            <w:vAlign w:val="bottom"/>
            <w:hideMark/>
          </w:tcPr>
          <w:p w14:paraId="2DEF813E"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Teiidae</w:t>
            </w:r>
          </w:p>
        </w:tc>
        <w:tc>
          <w:tcPr>
            <w:tcW w:w="1121" w:type="dxa"/>
            <w:tcBorders>
              <w:top w:val="single" w:sz="4" w:space="0" w:color="auto"/>
              <w:left w:val="single" w:sz="4" w:space="0" w:color="auto"/>
              <w:bottom w:val="nil"/>
              <w:right w:val="single" w:sz="4" w:space="0" w:color="auto"/>
            </w:tcBorders>
            <w:tcMar>
              <w:top w:w="0" w:type="dxa"/>
              <w:left w:w="70" w:type="dxa"/>
              <w:bottom w:w="0" w:type="dxa"/>
              <w:right w:w="70" w:type="dxa"/>
            </w:tcMar>
            <w:vAlign w:val="bottom"/>
            <w:hideMark/>
          </w:tcPr>
          <w:p w14:paraId="583DFC6B"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5D0966FE"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4CC0FB1C"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226E3D09"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1BAA3E86"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79C4446"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Ameiva ameiva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0F43022"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72E7682F"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294B921"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E8EE9C1"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2A59E83E"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D2D5100"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Salvator merinae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E896149"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77662A1F"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56AEA2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1A60D53"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315825CD" w14:textId="77777777" w:rsidTr="00966032">
        <w:trPr>
          <w:trHeight w:val="24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62F6A1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Kentropyx calcarata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406C155"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11,18</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4233E22C"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B789B6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CEED46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1FAA8914"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DAEF8E6"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Diploglossidae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5C8F57B6"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0224B7E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5AF3FF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F3642B9"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3204C63C" w14:textId="77777777" w:rsidTr="00966032">
        <w:trPr>
          <w:trHeight w:val="33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C597DE2"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Diploglossus lessonae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03F3B17"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54CAC216"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184B2F1"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AD17F12"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324F34CB"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C35B1ED"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Sphaerodactylidae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32F7D1E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683C47AF"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B96EA5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7A8659F"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29378F19" w14:textId="77777777" w:rsidTr="00966032">
        <w:trPr>
          <w:trHeight w:val="28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3A913C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Coleodactylus meridionalis</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868B6C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46,71</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5439937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FDB1086"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215CBC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40DA68B5"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3798AF2"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Phyllodactylidae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8D45016"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04114499"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581449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B308E92"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5FEDB23E"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5EFB05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Phyllopezus lutzae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74D93A3"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2,63</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6625A25D"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CD2B4EF"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A7404E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37060759"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CDBCC91"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Gymnodactylus darwinii</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57439A8F"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2,63</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578D4F84"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330668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2DB02C4"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348F1E2E" w14:textId="77777777" w:rsidTr="00966032">
        <w:trPr>
          <w:trHeight w:val="22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D54BB9E" w14:textId="77777777" w:rsidR="00616CEF" w:rsidRPr="00AE1EA0" w:rsidRDefault="00616CEF" w:rsidP="00D547E6">
            <w:pPr>
              <w:spacing w:line="240" w:lineRule="auto"/>
              <w:jc w:val="both"/>
              <w:rPr>
                <w:rFonts w:ascii="Times New Roman" w:eastAsia="Times New Roman" w:hAnsi="Times New Roman" w:cs="Times New Roman"/>
                <w:sz w:val="24"/>
                <w:szCs w:val="24"/>
              </w:rPr>
            </w:pPr>
            <w:r w:rsidRPr="00AE1EA0">
              <w:rPr>
                <w:rFonts w:eastAsia="Times New Roman"/>
                <w:b/>
                <w:bCs/>
                <w:color w:val="000000"/>
                <w:sz w:val="20"/>
                <w:szCs w:val="20"/>
                <w:shd w:val="clear" w:color="auto" w:fill="FFFFFF"/>
              </w:rPr>
              <w:t>Mabuyidae </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36AE97E2"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630579C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41D24AD"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D14DDD5"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7B4D6D04" w14:textId="77777777" w:rsidTr="00966032">
        <w:trPr>
          <w:trHeight w:val="29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1859077"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Copeoglossum nigropunctatum</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C04298E"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1,97</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6BAFE09"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EB063C1"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FEFBDB4"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27279206" w14:textId="77777777" w:rsidTr="00966032">
        <w:trPr>
          <w:trHeight w:val="30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45C2F5B"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Gymnophthalmidae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3F91AE78"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52DF0776"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12E19D9"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0A28DD2"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37BABFA9" w14:textId="77777777" w:rsidTr="00966032">
        <w:trPr>
          <w:trHeight w:val="31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419B6D7"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Dryadosaura nordestina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5988149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3,28</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548AF7C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250E1C9"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3F2E152"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679363E0"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2578B11"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Leiosauridae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37EC864"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71DA8D86"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8744EC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0FF274C"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21E2E222"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C6B7D57"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Enyalius catenatus</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62B43AD6"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2,63</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742017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A3F881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2542A2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262F2A37"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809E77A"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Dactyloidae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F0204D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1B809DED"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0373D34"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233BEE5"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5DA5A460"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A733D5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Dactyloa punctata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3205501B"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3,28</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10DEEE75"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36EBF64"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AB144B4"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1B0C2918"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69FE1C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Norops fuscoauratus</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EA630AB"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7,89</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8A5D6A1"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D27B568"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767253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02998F37" w14:textId="77777777" w:rsidTr="00966032">
        <w:trPr>
          <w:trHeight w:val="18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C913D55"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Norops ortonii</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AEAC7E3"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1,31</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0C03196C"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DF3026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EB0E04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489D6961"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817EF05"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Boidae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29397BF2"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1D54B75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609BEC5"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EE880AE"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209576F3" w14:textId="77777777" w:rsidTr="00966032">
        <w:trPr>
          <w:trHeight w:val="27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9E083BB"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Boa constrictor</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152A8071"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1,31</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1A8E2AEC"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B11583B"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372A7A0"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r>
      <w:tr w:rsidR="00616CEF" w:rsidRPr="00AE1EA0" w14:paraId="2A3BCDD7" w14:textId="77777777" w:rsidTr="00966032">
        <w:trPr>
          <w:trHeight w:val="194"/>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tcPr>
          <w:p w14:paraId="2101093E" w14:textId="77777777" w:rsidR="00616CEF" w:rsidRPr="00AE1EA0" w:rsidRDefault="00616CEF" w:rsidP="00D547E6">
            <w:pPr>
              <w:spacing w:line="240" w:lineRule="auto"/>
              <w:rPr>
                <w:rFonts w:eastAsia="Times New Roman"/>
                <w:b/>
                <w:bCs/>
                <w:color w:val="000000"/>
                <w:sz w:val="20"/>
                <w:szCs w:val="20"/>
              </w:rPr>
            </w:pPr>
            <w:r w:rsidRPr="00AE1EA0">
              <w:rPr>
                <w:rFonts w:eastAsia="Times New Roman"/>
                <w:b/>
                <w:bCs/>
                <w:color w:val="000000"/>
                <w:sz w:val="20"/>
                <w:szCs w:val="20"/>
              </w:rPr>
              <w:t>Colubridae</w:t>
            </w:r>
          </w:p>
        </w:tc>
        <w:tc>
          <w:tcPr>
            <w:tcW w:w="1121" w:type="dxa"/>
            <w:tcBorders>
              <w:top w:val="nil"/>
              <w:left w:val="single" w:sz="4" w:space="0" w:color="auto"/>
              <w:bottom w:val="nil"/>
              <w:right w:val="single" w:sz="4" w:space="0" w:color="auto"/>
            </w:tcBorders>
            <w:tcMar>
              <w:top w:w="0" w:type="dxa"/>
              <w:left w:w="70" w:type="dxa"/>
              <w:bottom w:w="0" w:type="dxa"/>
              <w:right w:w="70" w:type="dxa"/>
            </w:tcMar>
          </w:tcPr>
          <w:p w14:paraId="3FCC5582" w14:textId="77777777" w:rsidR="00616CEF" w:rsidRPr="00AE1EA0" w:rsidRDefault="00616CEF" w:rsidP="00D547E6">
            <w:pPr>
              <w:spacing w:line="240" w:lineRule="auto"/>
              <w:jc w:val="center"/>
              <w:rPr>
                <w:rFonts w:eastAsia="Times New Roman"/>
                <w:color w:val="000000"/>
                <w:sz w:val="20"/>
                <w:szCs w:val="20"/>
              </w:rPr>
            </w:pPr>
          </w:p>
        </w:tc>
        <w:tc>
          <w:tcPr>
            <w:tcW w:w="1041" w:type="dxa"/>
            <w:tcBorders>
              <w:top w:val="nil"/>
              <w:left w:val="single" w:sz="4" w:space="0" w:color="auto"/>
              <w:bottom w:val="nil"/>
              <w:right w:val="single" w:sz="4" w:space="0" w:color="auto"/>
            </w:tcBorders>
            <w:tcMar>
              <w:top w:w="0" w:type="dxa"/>
              <w:left w:w="70" w:type="dxa"/>
              <w:bottom w:w="0" w:type="dxa"/>
              <w:right w:w="70" w:type="dxa"/>
            </w:tcMar>
          </w:tcPr>
          <w:p w14:paraId="1CF928BB"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1D9C52DF"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1123ECB0" w14:textId="77777777" w:rsidR="00616CEF" w:rsidRPr="00AE1EA0" w:rsidRDefault="00616CEF" w:rsidP="00D547E6">
            <w:pPr>
              <w:spacing w:line="240" w:lineRule="auto"/>
              <w:jc w:val="center"/>
              <w:rPr>
                <w:rFonts w:eastAsia="Times New Roman"/>
                <w:color w:val="000000"/>
                <w:sz w:val="20"/>
                <w:szCs w:val="20"/>
              </w:rPr>
            </w:pPr>
          </w:p>
        </w:tc>
      </w:tr>
      <w:tr w:rsidR="00616CEF" w:rsidRPr="00AE1EA0" w14:paraId="73D5103E" w14:textId="77777777" w:rsidTr="00966032">
        <w:trPr>
          <w:trHeight w:val="198"/>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35489E5"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Chironius flavolineatus</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6D3AF965"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0A7E846A"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2AA9F90"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6B834F9" w14:textId="77777777" w:rsidR="00616CEF" w:rsidRPr="00AE1EA0" w:rsidRDefault="00616CEF" w:rsidP="00D547E6">
            <w:pPr>
              <w:spacing w:line="240" w:lineRule="auto"/>
              <w:jc w:val="center"/>
              <w:rPr>
                <w:rFonts w:eastAsia="Times New Roman"/>
                <w:sz w:val="20"/>
                <w:szCs w:val="20"/>
              </w:rPr>
            </w:pPr>
          </w:p>
        </w:tc>
      </w:tr>
      <w:tr w:rsidR="00616CEF" w:rsidRPr="00AE1EA0" w14:paraId="71638576" w14:textId="77777777" w:rsidTr="00966032">
        <w:trPr>
          <w:trHeight w:val="300"/>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FDD07EB"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Dendrophidion atlantica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6D85A3B3"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AE6085B"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5DB6E7E"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E2A8CAC"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r>
      <w:tr w:rsidR="00616CEF" w:rsidRPr="00AE1EA0" w14:paraId="45974978" w14:textId="77777777" w:rsidTr="00966032">
        <w:trPr>
          <w:trHeight w:val="31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203FE20"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Tantilla melanocephala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3E38C7A6"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1,31</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235003B9"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FAB9092" w14:textId="49B63184" w:rsidR="00616CEF" w:rsidRPr="00A21ECD" w:rsidRDefault="00A21ECD" w:rsidP="00D547E6">
            <w:pPr>
              <w:spacing w:line="240" w:lineRule="auto"/>
              <w:jc w:val="center"/>
              <w:rPr>
                <w:rFonts w:eastAsia="Times New Roman"/>
                <w:sz w:val="20"/>
                <w:szCs w:val="20"/>
                <w:lang w:val="pt-BR"/>
              </w:rPr>
            </w:pPr>
            <w:r>
              <w:rPr>
                <w:rFonts w:eastAsia="Times New Roman"/>
                <w:sz w:val="20"/>
                <w:szCs w:val="20"/>
                <w:lang w:val="pt-BR"/>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3D60C02" w14:textId="77777777" w:rsidR="00616CEF" w:rsidRPr="00AE1EA0" w:rsidRDefault="00616CEF" w:rsidP="00D547E6">
            <w:pPr>
              <w:spacing w:line="240" w:lineRule="auto"/>
              <w:jc w:val="center"/>
              <w:rPr>
                <w:rFonts w:eastAsia="Times New Roman"/>
                <w:sz w:val="20"/>
                <w:szCs w:val="20"/>
              </w:rPr>
            </w:pPr>
          </w:p>
        </w:tc>
      </w:tr>
      <w:tr w:rsidR="00616CEF" w:rsidRPr="00AE1EA0" w14:paraId="1745A2B6" w14:textId="77777777" w:rsidTr="00966032">
        <w:trPr>
          <w:trHeight w:val="22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7EA68E5"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Dipsadidae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56C6ED09" w14:textId="77777777" w:rsidR="00616CEF" w:rsidRPr="00AE1EA0" w:rsidRDefault="00616CEF" w:rsidP="00D547E6">
            <w:pPr>
              <w:spacing w:line="240" w:lineRule="auto"/>
              <w:jc w:val="center"/>
              <w:rPr>
                <w:rFonts w:eastAsia="Times New Roman"/>
                <w:sz w:val="20"/>
                <w:szCs w:val="20"/>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288055ED"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E6D2EE7"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DAD2A8A" w14:textId="77777777" w:rsidR="00616CEF" w:rsidRPr="00AE1EA0" w:rsidRDefault="00616CEF" w:rsidP="00D547E6">
            <w:pPr>
              <w:spacing w:line="240" w:lineRule="auto"/>
              <w:jc w:val="center"/>
              <w:rPr>
                <w:rFonts w:eastAsia="Times New Roman"/>
                <w:sz w:val="20"/>
                <w:szCs w:val="20"/>
              </w:rPr>
            </w:pPr>
          </w:p>
        </w:tc>
      </w:tr>
      <w:tr w:rsidR="00616CEF" w:rsidRPr="00AE1EA0" w14:paraId="11A1C0A1"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57FEAE5"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Erythrolamprus reginae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76337AB"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1,97</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45B8B37"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6F88CA1"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837D98C"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r>
      <w:tr w:rsidR="00616CEF" w:rsidRPr="00AE1EA0" w14:paraId="61F766C9"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567A234"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Erythrolamprus taeniogaster</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3C663D4"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1CF0AC09"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8049E06"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42F3455" w14:textId="77777777" w:rsidR="00616CEF" w:rsidRPr="00AE1EA0" w:rsidRDefault="00616CEF" w:rsidP="00D547E6">
            <w:pPr>
              <w:spacing w:line="240" w:lineRule="auto"/>
              <w:jc w:val="center"/>
              <w:rPr>
                <w:rFonts w:eastAsia="Times New Roman"/>
                <w:sz w:val="20"/>
                <w:szCs w:val="20"/>
              </w:rPr>
            </w:pPr>
          </w:p>
        </w:tc>
      </w:tr>
      <w:tr w:rsidR="00616CEF" w:rsidRPr="00AE1EA0" w14:paraId="520DEB12" w14:textId="77777777" w:rsidTr="00C524C4">
        <w:trPr>
          <w:trHeight w:val="243"/>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tcPr>
          <w:p w14:paraId="6B2F18EA" w14:textId="77777777" w:rsidR="00616CEF" w:rsidRPr="00064828"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Oxyrhopus guibei</w:t>
            </w:r>
          </w:p>
        </w:tc>
        <w:tc>
          <w:tcPr>
            <w:tcW w:w="1121" w:type="dxa"/>
            <w:tcBorders>
              <w:top w:val="nil"/>
              <w:left w:val="single" w:sz="4" w:space="0" w:color="auto"/>
              <w:bottom w:val="nil"/>
              <w:right w:val="single" w:sz="4" w:space="0" w:color="auto"/>
            </w:tcBorders>
            <w:tcMar>
              <w:top w:w="0" w:type="dxa"/>
              <w:left w:w="70" w:type="dxa"/>
              <w:bottom w:w="0" w:type="dxa"/>
              <w:right w:w="70" w:type="dxa"/>
            </w:tcMar>
          </w:tcPr>
          <w:p w14:paraId="08DBB86E" w14:textId="77777777" w:rsidR="00616CEF" w:rsidRPr="00453982" w:rsidRDefault="00616CEF" w:rsidP="00D547E6">
            <w:pPr>
              <w:spacing w:line="240" w:lineRule="auto"/>
              <w:jc w:val="center"/>
              <w:rPr>
                <w:rFonts w:eastAsia="Times New Roman"/>
                <w:sz w:val="20"/>
                <w:szCs w:val="20"/>
              </w:rPr>
            </w:pPr>
            <w:r w:rsidRPr="00453982">
              <w:rPr>
                <w:rFonts w:eastAsia="Times New Roman"/>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tcPr>
          <w:p w14:paraId="703F0B55" w14:textId="77777777" w:rsidR="00616CEF" w:rsidRPr="00611298"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3DA29EA3" w14:textId="77777777" w:rsidR="00616CEF" w:rsidRPr="00611298"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22AC9647" w14:textId="77777777" w:rsidR="00616CEF" w:rsidRPr="00611298" w:rsidRDefault="00616CEF" w:rsidP="00D547E6">
            <w:pPr>
              <w:spacing w:line="240" w:lineRule="auto"/>
              <w:jc w:val="center"/>
              <w:rPr>
                <w:rFonts w:eastAsia="Times New Roman"/>
                <w:sz w:val="20"/>
                <w:szCs w:val="20"/>
              </w:rPr>
            </w:pPr>
          </w:p>
        </w:tc>
      </w:tr>
      <w:tr w:rsidR="00616CEF" w:rsidRPr="00AE1EA0" w14:paraId="1DE46FF0"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B00041A"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Siphlophis compressus</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AAA4F3B"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02AE78F5"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A62FF68"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2ED1FA9" w14:textId="77777777" w:rsidR="00616CEF" w:rsidRPr="00AE1EA0" w:rsidRDefault="00616CEF" w:rsidP="00D547E6">
            <w:pPr>
              <w:spacing w:line="240" w:lineRule="auto"/>
              <w:jc w:val="center"/>
              <w:rPr>
                <w:rFonts w:eastAsia="Times New Roman"/>
                <w:sz w:val="20"/>
                <w:szCs w:val="20"/>
              </w:rPr>
            </w:pPr>
          </w:p>
        </w:tc>
      </w:tr>
      <w:tr w:rsidR="00616CEF" w:rsidRPr="00AE1EA0" w14:paraId="652BBD7C"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tcPr>
          <w:p w14:paraId="5FA6FFFC" w14:textId="77777777" w:rsidR="00616CEF" w:rsidRPr="00AE1EA0" w:rsidRDefault="00616CEF" w:rsidP="00D547E6">
            <w:pPr>
              <w:spacing w:line="240" w:lineRule="auto"/>
              <w:ind w:firstLine="720"/>
              <w:jc w:val="center"/>
              <w:rPr>
                <w:rFonts w:eastAsia="Times New Roman"/>
                <w:i/>
                <w:iCs/>
                <w:color w:val="000000"/>
                <w:sz w:val="20"/>
                <w:szCs w:val="20"/>
              </w:rPr>
            </w:pPr>
            <w:r w:rsidRPr="00AE1EA0">
              <w:rPr>
                <w:rFonts w:eastAsia="Times New Roman"/>
                <w:color w:val="000000"/>
                <w:sz w:val="20"/>
                <w:szCs w:val="20"/>
              </w:rPr>
              <w:t>T</w:t>
            </w:r>
            <w:r w:rsidRPr="00AE1EA0">
              <w:rPr>
                <w:rFonts w:eastAsia="Times New Roman"/>
                <w:i/>
                <w:iCs/>
                <w:color w:val="000000"/>
                <w:sz w:val="20"/>
                <w:szCs w:val="20"/>
              </w:rPr>
              <w:t>hamnodynastes pallidus</w:t>
            </w:r>
          </w:p>
        </w:tc>
        <w:tc>
          <w:tcPr>
            <w:tcW w:w="1121" w:type="dxa"/>
            <w:tcBorders>
              <w:top w:val="nil"/>
              <w:left w:val="single" w:sz="4" w:space="0" w:color="auto"/>
              <w:bottom w:val="nil"/>
              <w:right w:val="single" w:sz="4" w:space="0" w:color="auto"/>
            </w:tcBorders>
            <w:tcMar>
              <w:top w:w="0" w:type="dxa"/>
              <w:left w:w="70" w:type="dxa"/>
              <w:bottom w:w="0" w:type="dxa"/>
              <w:right w:w="70" w:type="dxa"/>
            </w:tcMar>
          </w:tcPr>
          <w:p w14:paraId="24B7506C" w14:textId="77777777" w:rsidR="00616CEF" w:rsidRPr="00453982" w:rsidRDefault="00616CEF" w:rsidP="00D547E6">
            <w:pPr>
              <w:spacing w:line="240" w:lineRule="auto"/>
              <w:jc w:val="center"/>
              <w:rPr>
                <w:rFonts w:eastAsia="Times New Roman"/>
                <w:sz w:val="20"/>
                <w:szCs w:val="20"/>
              </w:rPr>
            </w:pPr>
            <w:r w:rsidRPr="00453982">
              <w:rPr>
                <w:rFonts w:eastAsia="Times New Roman"/>
                <w:sz w:val="20"/>
                <w:szCs w:val="20"/>
              </w:rPr>
              <w:t>2,63</w:t>
            </w:r>
          </w:p>
        </w:tc>
        <w:tc>
          <w:tcPr>
            <w:tcW w:w="1041" w:type="dxa"/>
            <w:tcBorders>
              <w:top w:val="nil"/>
              <w:left w:val="single" w:sz="4" w:space="0" w:color="auto"/>
              <w:bottom w:val="nil"/>
              <w:right w:val="single" w:sz="4" w:space="0" w:color="auto"/>
            </w:tcBorders>
            <w:tcMar>
              <w:top w:w="0" w:type="dxa"/>
              <w:left w:w="70" w:type="dxa"/>
              <w:bottom w:w="0" w:type="dxa"/>
              <w:right w:w="70" w:type="dxa"/>
            </w:tcMar>
          </w:tcPr>
          <w:p w14:paraId="27950BF6" w14:textId="77777777" w:rsidR="00616CEF" w:rsidRPr="00611298"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1BF8B635" w14:textId="77777777" w:rsidR="00616CEF" w:rsidRPr="00611298"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2F72E0ED" w14:textId="77777777" w:rsidR="00616CEF" w:rsidRPr="00611298" w:rsidRDefault="00616CEF" w:rsidP="00D547E6">
            <w:pPr>
              <w:spacing w:line="240" w:lineRule="auto"/>
              <w:jc w:val="center"/>
              <w:rPr>
                <w:rFonts w:eastAsia="Times New Roman"/>
                <w:sz w:val="20"/>
                <w:szCs w:val="20"/>
              </w:rPr>
            </w:pPr>
            <w:r>
              <w:rPr>
                <w:rFonts w:eastAsia="Times New Roman"/>
                <w:sz w:val="20"/>
                <w:szCs w:val="20"/>
              </w:rPr>
              <w:t>x</w:t>
            </w:r>
          </w:p>
        </w:tc>
      </w:tr>
      <w:tr w:rsidR="00616CEF" w:rsidRPr="00AE1EA0" w14:paraId="229F13C2" w14:textId="77777777" w:rsidTr="00966032">
        <w:trPr>
          <w:trHeight w:val="304"/>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5A1132A2" w14:textId="77777777" w:rsidR="00616CEF" w:rsidRPr="00AE1EA0" w:rsidRDefault="00616CEF" w:rsidP="00D547E6">
            <w:pPr>
              <w:spacing w:line="240" w:lineRule="auto"/>
              <w:ind w:firstLine="720"/>
              <w:jc w:val="center"/>
              <w:rPr>
                <w:rFonts w:ascii="Times New Roman" w:eastAsia="Times New Roman" w:hAnsi="Times New Roman" w:cs="Times New Roman"/>
                <w:sz w:val="24"/>
                <w:szCs w:val="24"/>
              </w:rPr>
            </w:pPr>
            <w:r w:rsidRPr="00AE1EA0">
              <w:rPr>
                <w:rFonts w:eastAsia="Times New Roman"/>
                <w:i/>
                <w:iCs/>
                <w:color w:val="000000"/>
                <w:sz w:val="20"/>
                <w:szCs w:val="20"/>
              </w:rPr>
              <w:t>Leptodeira annulata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60D062F7" w14:textId="77777777" w:rsidR="00616CEF" w:rsidRPr="00AE1EA0" w:rsidRDefault="00616CEF" w:rsidP="00D547E6">
            <w:pPr>
              <w:spacing w:line="240" w:lineRule="auto"/>
              <w:jc w:val="center"/>
              <w:rPr>
                <w:rFonts w:eastAsia="Times New Roman"/>
                <w:sz w:val="20"/>
                <w:szCs w:val="20"/>
              </w:rPr>
            </w:pPr>
            <w:r w:rsidRPr="00453982">
              <w:rPr>
                <w:rFonts w:eastAsia="Times New Roman"/>
                <w:sz w:val="20"/>
                <w:szCs w:val="20"/>
              </w:rPr>
              <w:t>1,31</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5719012" w14:textId="77777777" w:rsidR="00616CEF" w:rsidRPr="00AE1EA0" w:rsidRDefault="00616CEF" w:rsidP="00D547E6">
            <w:pPr>
              <w:spacing w:line="240" w:lineRule="auto"/>
              <w:jc w:val="center"/>
              <w:rPr>
                <w:rFonts w:eastAsia="Times New Roman"/>
                <w:sz w:val="20"/>
                <w:szCs w:val="20"/>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0B0E36B"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D117AC0" w14:textId="77777777" w:rsidR="00616CEF" w:rsidRPr="00AE1EA0" w:rsidRDefault="00616CEF" w:rsidP="00D547E6">
            <w:pPr>
              <w:spacing w:line="240" w:lineRule="auto"/>
              <w:jc w:val="center"/>
              <w:rPr>
                <w:rFonts w:eastAsia="Times New Roman"/>
                <w:sz w:val="20"/>
                <w:szCs w:val="20"/>
              </w:rPr>
            </w:pPr>
            <w:r>
              <w:rPr>
                <w:rFonts w:eastAsia="Times New Roman"/>
                <w:sz w:val="20"/>
                <w:szCs w:val="20"/>
              </w:rPr>
              <w:t>x</w:t>
            </w:r>
          </w:p>
        </w:tc>
      </w:tr>
      <w:tr w:rsidR="00616CEF" w:rsidRPr="00AE1EA0" w14:paraId="7CB94338" w14:textId="77777777" w:rsidTr="00966032">
        <w:trPr>
          <w:trHeight w:val="25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BC5C4A1"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Elapidae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7D153571"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31B031E7" w14:textId="77777777" w:rsidR="00616CEF" w:rsidRPr="00AE1EA0" w:rsidRDefault="00616CEF" w:rsidP="00D547E6">
            <w:pPr>
              <w:spacing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F773C84" w14:textId="77777777" w:rsidR="00616CEF" w:rsidRPr="00AE1EA0" w:rsidRDefault="00616CEF" w:rsidP="00D547E6">
            <w:pPr>
              <w:spacing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C596660" w14:textId="77777777" w:rsidR="00616CEF" w:rsidRPr="00AE1EA0" w:rsidRDefault="00616CEF" w:rsidP="00D547E6">
            <w:pPr>
              <w:spacing w:line="240" w:lineRule="auto"/>
              <w:jc w:val="center"/>
              <w:rPr>
                <w:rFonts w:ascii="Times New Roman" w:eastAsia="Times New Roman" w:hAnsi="Times New Roman" w:cs="Times New Roman"/>
                <w:sz w:val="24"/>
                <w:szCs w:val="24"/>
              </w:rPr>
            </w:pPr>
          </w:p>
        </w:tc>
      </w:tr>
      <w:tr w:rsidR="00616CEF" w:rsidRPr="00AE1EA0" w14:paraId="04D9A36A" w14:textId="77777777" w:rsidTr="00966032">
        <w:trPr>
          <w:trHeight w:val="232"/>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A54AD15"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i/>
                <w:iCs/>
                <w:color w:val="000000"/>
                <w:sz w:val="20"/>
                <w:szCs w:val="20"/>
              </w:rPr>
              <w:t>Micrurus ibiboboca</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D80F4A4"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673614A3"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0C2A1FC"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5CD022F"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48CB89DF" w14:textId="77777777" w:rsidTr="00966032">
        <w:trPr>
          <w:trHeight w:val="10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tcPr>
          <w:p w14:paraId="49724229" w14:textId="77777777" w:rsidR="00616CEF" w:rsidRPr="00AE1EA0" w:rsidRDefault="00616CEF" w:rsidP="00D547E6">
            <w:pPr>
              <w:spacing w:line="240" w:lineRule="auto"/>
              <w:rPr>
                <w:rFonts w:eastAsia="Times New Roman"/>
                <w:b/>
                <w:bCs/>
                <w:color w:val="000000"/>
                <w:sz w:val="20"/>
                <w:szCs w:val="20"/>
              </w:rPr>
            </w:pPr>
          </w:p>
        </w:tc>
        <w:tc>
          <w:tcPr>
            <w:tcW w:w="1121" w:type="dxa"/>
            <w:tcBorders>
              <w:top w:val="nil"/>
              <w:left w:val="single" w:sz="4" w:space="0" w:color="auto"/>
              <w:bottom w:val="nil"/>
              <w:right w:val="single" w:sz="4" w:space="0" w:color="auto"/>
            </w:tcBorders>
            <w:tcMar>
              <w:top w:w="0" w:type="dxa"/>
              <w:left w:w="70" w:type="dxa"/>
              <w:bottom w:w="0" w:type="dxa"/>
              <w:right w:w="70" w:type="dxa"/>
            </w:tcMar>
          </w:tcPr>
          <w:p w14:paraId="3F60EF85"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tcPr>
          <w:p w14:paraId="04D185E1"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7509C3EE"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tcPr>
          <w:p w14:paraId="12AE6E56"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56A0B683" w14:textId="77777777" w:rsidTr="00966032">
        <w:trPr>
          <w:trHeight w:val="105"/>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C5EC0EC"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lastRenderedPageBreak/>
              <w:t>Typhlopidae</w:t>
            </w: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A1BE60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2B54F25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74E1ABE0"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08B9A07"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06EAD435" w14:textId="77777777" w:rsidTr="00966032">
        <w:trPr>
          <w:jc w:val="center"/>
        </w:trPr>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6E86B3B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121" w:type="dxa"/>
            <w:tcBorders>
              <w:top w:val="nil"/>
              <w:left w:val="single" w:sz="4" w:space="0" w:color="auto"/>
              <w:bottom w:val="nil"/>
              <w:right w:val="single" w:sz="4" w:space="0" w:color="auto"/>
            </w:tcBorders>
            <w:tcMar>
              <w:top w:w="0" w:type="dxa"/>
              <w:left w:w="70" w:type="dxa"/>
              <w:bottom w:w="0" w:type="dxa"/>
              <w:right w:w="70" w:type="dxa"/>
            </w:tcMar>
            <w:hideMark/>
          </w:tcPr>
          <w:p w14:paraId="40A9D53D"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1041" w:type="dxa"/>
            <w:tcBorders>
              <w:top w:val="nil"/>
              <w:left w:val="single" w:sz="4" w:space="0" w:color="auto"/>
              <w:bottom w:val="nil"/>
              <w:right w:val="single" w:sz="4" w:space="0" w:color="auto"/>
            </w:tcBorders>
            <w:tcMar>
              <w:top w:w="0" w:type="dxa"/>
              <w:left w:w="70" w:type="dxa"/>
              <w:bottom w:w="0" w:type="dxa"/>
              <w:right w:w="70" w:type="dxa"/>
            </w:tcMar>
            <w:hideMark/>
          </w:tcPr>
          <w:p w14:paraId="4E6669F0"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49FB01CA"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D8087E9"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089271C8" w14:textId="77777777" w:rsidTr="00966032">
        <w:trPr>
          <w:trHeight w:val="365"/>
          <w:jc w:val="center"/>
        </w:trPr>
        <w:tc>
          <w:tcPr>
            <w:tcW w:w="4815" w:type="dxa"/>
            <w:gridSpan w:val="2"/>
            <w:tcBorders>
              <w:top w:val="nil"/>
              <w:left w:val="single" w:sz="4" w:space="0" w:color="auto"/>
              <w:bottom w:val="nil"/>
              <w:right w:val="single" w:sz="4" w:space="0" w:color="auto"/>
            </w:tcBorders>
            <w:tcMar>
              <w:top w:w="0" w:type="dxa"/>
              <w:left w:w="70" w:type="dxa"/>
              <w:bottom w:w="0" w:type="dxa"/>
              <w:right w:w="70" w:type="dxa"/>
            </w:tcMar>
            <w:hideMark/>
          </w:tcPr>
          <w:p w14:paraId="79DBB191" w14:textId="3931BE1F"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i/>
                <w:iCs/>
                <w:color w:val="000000"/>
                <w:sz w:val="20"/>
                <w:szCs w:val="20"/>
              </w:rPr>
              <w:t>          Amero</w:t>
            </w:r>
            <w:r w:rsidR="00966032">
              <w:rPr>
                <w:rFonts w:eastAsia="Times New Roman"/>
                <w:i/>
                <w:iCs/>
                <w:color w:val="000000"/>
                <w:sz w:val="20"/>
                <w:szCs w:val="20"/>
              </w:rPr>
              <w:t xml:space="preserve">typhlops brongersmianus    </w:t>
            </w:r>
            <w:r w:rsidRPr="00AE1EA0">
              <w:rPr>
                <w:rFonts w:eastAsia="Times New Roman"/>
                <w:i/>
                <w:iCs/>
                <w:color w:val="000000"/>
                <w:sz w:val="20"/>
                <w:szCs w:val="20"/>
              </w:rPr>
              <w:t xml:space="preserve">     </w:t>
            </w:r>
            <w:r w:rsidRPr="00AE1EA0">
              <w:rPr>
                <w:rFonts w:eastAsia="Times New Roman"/>
                <w:color w:val="000000"/>
                <w:sz w:val="20"/>
                <w:szCs w:val="20"/>
              </w:rPr>
              <w:t>0,65</w:t>
            </w:r>
          </w:p>
        </w:tc>
        <w:tc>
          <w:tcPr>
            <w:tcW w:w="1041" w:type="dxa"/>
            <w:tcBorders>
              <w:top w:val="nil"/>
              <w:left w:val="single" w:sz="4" w:space="0" w:color="auto"/>
              <w:bottom w:val="nil"/>
              <w:right w:val="single" w:sz="4" w:space="0" w:color="auto"/>
            </w:tcBorders>
            <w:tcMar>
              <w:top w:w="0" w:type="dxa"/>
              <w:left w:w="70" w:type="dxa"/>
              <w:bottom w:w="0" w:type="dxa"/>
              <w:right w:w="70" w:type="dxa"/>
            </w:tcMar>
            <w:vAlign w:val="bottom"/>
            <w:hideMark/>
          </w:tcPr>
          <w:p w14:paraId="7C381057"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0DD7E5CD"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x</w:t>
            </w: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2E979741"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0C3FA01D" w14:textId="77777777" w:rsidTr="00966032">
        <w:trPr>
          <w:trHeight w:val="300"/>
          <w:jc w:val="center"/>
        </w:trPr>
        <w:tc>
          <w:tcPr>
            <w:tcW w:w="4815" w:type="dxa"/>
            <w:gridSpan w:val="2"/>
            <w:tcBorders>
              <w:top w:val="nil"/>
              <w:left w:val="single" w:sz="4" w:space="0" w:color="auto"/>
              <w:bottom w:val="nil"/>
              <w:right w:val="single" w:sz="4" w:space="0" w:color="auto"/>
            </w:tcBorders>
            <w:tcMar>
              <w:top w:w="0" w:type="dxa"/>
              <w:left w:w="70" w:type="dxa"/>
              <w:bottom w:w="0" w:type="dxa"/>
              <w:right w:w="70" w:type="dxa"/>
            </w:tcMar>
            <w:hideMark/>
          </w:tcPr>
          <w:p w14:paraId="7523BEF9"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b/>
                <w:bCs/>
                <w:color w:val="000000"/>
                <w:sz w:val="20"/>
                <w:szCs w:val="20"/>
              </w:rPr>
              <w:t>Chelidae</w:t>
            </w:r>
          </w:p>
        </w:tc>
        <w:tc>
          <w:tcPr>
            <w:tcW w:w="1041" w:type="dxa"/>
            <w:tcBorders>
              <w:top w:val="nil"/>
              <w:left w:val="single" w:sz="4" w:space="0" w:color="auto"/>
              <w:bottom w:val="nil"/>
              <w:right w:val="single" w:sz="4" w:space="0" w:color="auto"/>
            </w:tcBorders>
            <w:tcMar>
              <w:top w:w="0" w:type="dxa"/>
              <w:left w:w="70" w:type="dxa"/>
              <w:bottom w:w="0" w:type="dxa"/>
              <w:right w:w="70" w:type="dxa"/>
            </w:tcMar>
            <w:vAlign w:val="bottom"/>
            <w:hideMark/>
          </w:tcPr>
          <w:p w14:paraId="776254EF"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1261460B" w14:textId="77777777" w:rsidR="00616CEF" w:rsidRPr="00AE1EA0" w:rsidRDefault="00616CEF" w:rsidP="00D547E6">
            <w:pPr>
              <w:spacing w:line="240" w:lineRule="auto"/>
              <w:rPr>
                <w:rFonts w:ascii="Times New Roman" w:eastAsia="Times New Roman" w:hAnsi="Times New Roman" w:cs="Times New Roman"/>
                <w:sz w:val="24"/>
                <w:szCs w:val="24"/>
              </w:rPr>
            </w:pPr>
          </w:p>
        </w:tc>
        <w:tc>
          <w:tcPr>
            <w:tcW w:w="0" w:type="auto"/>
            <w:tcBorders>
              <w:top w:val="nil"/>
              <w:left w:val="single" w:sz="4" w:space="0" w:color="auto"/>
              <w:bottom w:val="nil"/>
              <w:right w:val="single" w:sz="4" w:space="0" w:color="auto"/>
            </w:tcBorders>
            <w:tcMar>
              <w:top w:w="0" w:type="dxa"/>
              <w:left w:w="70" w:type="dxa"/>
              <w:bottom w:w="0" w:type="dxa"/>
              <w:right w:w="70" w:type="dxa"/>
            </w:tcMar>
            <w:hideMark/>
          </w:tcPr>
          <w:p w14:paraId="38C8D928" w14:textId="77777777" w:rsidR="00616CEF" w:rsidRPr="00AE1EA0" w:rsidRDefault="00616CEF" w:rsidP="00D547E6">
            <w:pPr>
              <w:spacing w:line="240" w:lineRule="auto"/>
              <w:rPr>
                <w:rFonts w:ascii="Times New Roman" w:eastAsia="Times New Roman" w:hAnsi="Times New Roman" w:cs="Times New Roman"/>
                <w:sz w:val="24"/>
                <w:szCs w:val="24"/>
              </w:rPr>
            </w:pPr>
          </w:p>
        </w:tc>
      </w:tr>
      <w:tr w:rsidR="00616CEF" w:rsidRPr="00AE1EA0" w14:paraId="3630B53A" w14:textId="77777777" w:rsidTr="00966032">
        <w:trPr>
          <w:trHeight w:val="240"/>
          <w:jc w:val="center"/>
        </w:trPr>
        <w:tc>
          <w:tcPr>
            <w:tcW w:w="0" w:type="auto"/>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FEE1E12" w14:textId="77777777" w:rsidR="00616CEF" w:rsidRPr="00AE1EA0" w:rsidRDefault="00616CEF" w:rsidP="00D547E6">
            <w:pPr>
              <w:spacing w:line="240" w:lineRule="auto"/>
              <w:rPr>
                <w:rFonts w:ascii="Times New Roman" w:eastAsia="Times New Roman" w:hAnsi="Times New Roman" w:cs="Times New Roman"/>
                <w:sz w:val="24"/>
                <w:szCs w:val="24"/>
              </w:rPr>
            </w:pPr>
            <w:r w:rsidRPr="00AE1EA0">
              <w:rPr>
                <w:rFonts w:eastAsia="Times New Roman"/>
                <w:i/>
                <w:iCs/>
                <w:color w:val="000000"/>
                <w:sz w:val="20"/>
                <w:szCs w:val="20"/>
              </w:rPr>
              <w:t>                Phrynops geoffroanus</w:t>
            </w:r>
          </w:p>
        </w:tc>
        <w:tc>
          <w:tcPr>
            <w:tcW w:w="1121"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D0498D0"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1,31</w:t>
            </w:r>
          </w:p>
        </w:tc>
        <w:tc>
          <w:tcPr>
            <w:tcW w:w="104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4676290" w14:textId="664676A5" w:rsidR="00616CEF" w:rsidRPr="00F02614" w:rsidRDefault="00616CEF" w:rsidP="00D547E6">
            <w:pPr>
              <w:spacing w:line="240" w:lineRule="auto"/>
              <w:jc w:val="center"/>
              <w:rPr>
                <w:rFonts w:ascii="Times New Roman" w:hAnsi="Times New Roman" w:cs="Times New Roman" w:hint="eastAsia"/>
                <w:sz w:val="24"/>
                <w:szCs w:val="24"/>
                <w:lang w:eastAsia="zh-CN"/>
              </w:rPr>
            </w:pPr>
          </w:p>
        </w:tc>
        <w:tc>
          <w:tcPr>
            <w:tcW w:w="0" w:type="auto"/>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D3D2A04" w14:textId="0E858051" w:rsidR="00616CEF" w:rsidRPr="00AE1EA0" w:rsidRDefault="00F02614" w:rsidP="00D547E6">
            <w:pPr>
              <w:spacing w:line="240" w:lineRule="auto"/>
              <w:jc w:val="center"/>
              <w:rPr>
                <w:rFonts w:ascii="Times New Roman" w:eastAsia="Times New Roman" w:hAnsi="Times New Roman" w:cs="Times New Roman"/>
                <w:sz w:val="24"/>
                <w:szCs w:val="24"/>
              </w:rPr>
            </w:pPr>
            <w:r>
              <w:rPr>
                <w:rFonts w:eastAsia="Times New Roman"/>
                <w:color w:val="000000"/>
                <w:sz w:val="20"/>
                <w:szCs w:val="20"/>
                <w:lang w:val="pt-BR"/>
              </w:rPr>
              <w:t>x</w:t>
            </w:r>
            <w:r w:rsidR="00616CEF" w:rsidRPr="00AE1EA0">
              <w:rPr>
                <w:rFonts w:eastAsia="Times New Roman"/>
                <w:color w:val="000000"/>
                <w:sz w:val="20"/>
                <w:szCs w:val="20"/>
              </w:rPr>
              <w:t> </w:t>
            </w:r>
          </w:p>
        </w:tc>
        <w:tc>
          <w:tcPr>
            <w:tcW w:w="0" w:type="auto"/>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E81D762" w14:textId="77777777" w:rsidR="00616CEF" w:rsidRPr="00AE1EA0" w:rsidRDefault="00616CEF" w:rsidP="00D547E6">
            <w:pPr>
              <w:spacing w:line="240" w:lineRule="auto"/>
              <w:jc w:val="center"/>
              <w:rPr>
                <w:rFonts w:ascii="Times New Roman" w:eastAsia="Times New Roman" w:hAnsi="Times New Roman" w:cs="Times New Roman"/>
                <w:sz w:val="24"/>
                <w:szCs w:val="24"/>
              </w:rPr>
            </w:pPr>
            <w:r w:rsidRPr="00AE1EA0">
              <w:rPr>
                <w:rFonts w:eastAsia="Times New Roman"/>
                <w:color w:val="000000"/>
                <w:sz w:val="20"/>
                <w:szCs w:val="20"/>
              </w:rPr>
              <w:t> </w:t>
            </w:r>
          </w:p>
        </w:tc>
      </w:tr>
    </w:tbl>
    <w:p w14:paraId="06653268" w14:textId="52918D19" w:rsidR="00966032" w:rsidRPr="00616CEF" w:rsidRDefault="00966032" w:rsidP="00675BAD">
      <w:pPr>
        <w:spacing w:line="240" w:lineRule="auto"/>
        <w:jc w:val="center"/>
        <w:rPr>
          <w:sz w:val="20"/>
          <w:szCs w:val="20"/>
          <w:lang w:val="pt-BR"/>
        </w:rPr>
      </w:pPr>
      <w:r>
        <w:rPr>
          <w:sz w:val="20"/>
          <w:szCs w:val="20"/>
          <w:lang w:val="pt-BR"/>
        </w:rPr>
        <w:t>Tabela 1.Tabela de abundância relativa da área e ocorrência das espécies no ambiente.</w:t>
      </w:r>
    </w:p>
    <w:p w14:paraId="7CAA9607" w14:textId="77777777" w:rsidR="006B5B5E" w:rsidRDefault="006B5B5E">
      <w:pPr>
        <w:spacing w:line="240" w:lineRule="auto"/>
        <w:rPr>
          <w:sz w:val="20"/>
          <w:szCs w:val="20"/>
          <w:lang w:eastAsia="zh-CN"/>
        </w:rPr>
      </w:pPr>
    </w:p>
    <w:p w14:paraId="21506313" w14:textId="79A5DAE7" w:rsidR="006B5B5E" w:rsidRDefault="0071781F" w:rsidP="00966032">
      <w:pPr>
        <w:spacing w:after="160" w:line="240" w:lineRule="auto"/>
        <w:ind w:firstLine="720"/>
        <w:jc w:val="both"/>
        <w:rPr>
          <w:sz w:val="20"/>
          <w:szCs w:val="20"/>
        </w:rPr>
      </w:pPr>
      <w:r>
        <w:rPr>
          <w:sz w:val="20"/>
          <w:szCs w:val="20"/>
        </w:rPr>
        <w:t xml:space="preserve">O eucalipto se mostrou o menos diverso e com menos abundância, porém o mais equitativo dentre todos os habitats estudados. A baixa riqueza está relacionada à homogeneização da fitofisionomia na plantação de eucalipto (GAINSBURY &amp; COLLI, 2014). A borda apresentou os maiores valores de diversidade se comparada com o interior da mata. Por se tratar de um ambiente em processo de alteração, se torna uma zona de transição, onde espécies típicas de florestas coexistem com espécies associadas às formações abertas, sendo as abundâncias mais distribuídas entre esses componentes. Estudos como o de </w:t>
      </w:r>
      <w:r>
        <w:rPr>
          <w:sz w:val="20"/>
          <w:szCs w:val="20"/>
          <w:highlight w:val="white"/>
        </w:rPr>
        <w:t xml:space="preserve">ALMEIDA-CORREIA </w:t>
      </w:r>
      <w:r>
        <w:rPr>
          <w:i/>
          <w:sz w:val="20"/>
          <w:szCs w:val="20"/>
          <w:highlight w:val="white"/>
        </w:rPr>
        <w:t>et al.</w:t>
      </w:r>
      <w:r>
        <w:rPr>
          <w:sz w:val="20"/>
          <w:szCs w:val="20"/>
          <w:highlight w:val="white"/>
        </w:rPr>
        <w:t xml:space="preserve"> (2020)</w:t>
      </w:r>
      <w:r>
        <w:rPr>
          <w:sz w:val="20"/>
          <w:szCs w:val="20"/>
        </w:rPr>
        <w:t xml:space="preserve"> também observaram uma perda de espécies, acompanhada de uma distribuição mais equitativa das abundâncias, do centro para a borda da mata. Dessa forma o interior de Mata se torna o menos equitativo, devido à dominância prevalecer em um número menor de espécies, tendo sido a mais dominante neste estudo, </w:t>
      </w:r>
      <w:r>
        <w:rPr>
          <w:i/>
          <w:sz w:val="20"/>
          <w:szCs w:val="20"/>
        </w:rPr>
        <w:t>C. meridionalis</w:t>
      </w:r>
      <w:r>
        <w:rPr>
          <w:sz w:val="20"/>
          <w:szCs w:val="20"/>
        </w:rPr>
        <w:t xml:space="preserve">, tanto no interior, (AR=51,7%), quanto na borda (AR=45,6%). </w:t>
      </w:r>
      <w:r>
        <w:rPr>
          <w:i/>
          <w:sz w:val="20"/>
          <w:szCs w:val="20"/>
        </w:rPr>
        <w:t>C. meridionalis</w:t>
      </w:r>
      <w:r>
        <w:rPr>
          <w:sz w:val="20"/>
          <w:szCs w:val="20"/>
        </w:rPr>
        <w:t xml:space="preserve"> é uma espécie que apesar de ser registrada em regiões abertas, tem preferência por floresta sombreada e da camada de serrapilheira </w:t>
      </w:r>
      <w:r>
        <w:rPr>
          <w:sz w:val="20"/>
          <w:szCs w:val="20"/>
          <w:highlight w:val="white"/>
        </w:rPr>
        <w:t>(RODRIGUES, 2003, RIBEIRO, 2013)</w:t>
      </w:r>
      <w:r>
        <w:rPr>
          <w:sz w:val="20"/>
          <w:szCs w:val="20"/>
        </w:rPr>
        <w:t>, resultando em dominância esperada nos habitats de mata.</w:t>
      </w:r>
      <w:r w:rsidR="00966032">
        <w:rPr>
          <w:sz w:val="20"/>
          <w:szCs w:val="20"/>
        </w:rPr>
        <w:t xml:space="preserve"> </w:t>
      </w:r>
    </w:p>
    <w:tbl>
      <w:tblPr>
        <w:tblStyle w:val="a0"/>
        <w:tblW w:w="5229" w:type="dxa"/>
        <w:jc w:val="center"/>
        <w:tblInd w:w="0" w:type="dxa"/>
        <w:tblBorders>
          <w:top w:val="single" w:sz="4" w:space="0" w:color="000000"/>
          <w:bottom w:val="single" w:sz="4" w:space="0" w:color="000000"/>
        </w:tblBorders>
        <w:tblLayout w:type="fixed"/>
        <w:tblLook w:val="0400" w:firstRow="0" w:lastRow="0" w:firstColumn="0" w:lastColumn="0" w:noHBand="0" w:noVBand="1"/>
      </w:tblPr>
      <w:tblGrid>
        <w:gridCol w:w="2268"/>
        <w:gridCol w:w="1041"/>
        <w:gridCol w:w="960"/>
        <w:gridCol w:w="960"/>
      </w:tblGrid>
      <w:tr w:rsidR="006B5B5E" w14:paraId="7E23CD79" w14:textId="77777777">
        <w:trPr>
          <w:trHeight w:val="255"/>
          <w:jc w:val="center"/>
        </w:trPr>
        <w:tc>
          <w:tcPr>
            <w:tcW w:w="2268" w:type="dxa"/>
            <w:tcBorders>
              <w:top w:val="single" w:sz="4" w:space="0" w:color="000000"/>
              <w:bottom w:val="single" w:sz="4" w:space="0" w:color="000000"/>
            </w:tcBorders>
            <w:shd w:val="clear" w:color="auto" w:fill="auto"/>
            <w:vAlign w:val="bottom"/>
          </w:tcPr>
          <w:p w14:paraId="23F591EB" w14:textId="77777777" w:rsidR="006B5B5E" w:rsidRDefault="0071781F">
            <w:pPr>
              <w:spacing w:line="240" w:lineRule="auto"/>
              <w:jc w:val="center"/>
              <w:rPr>
                <w:b/>
                <w:sz w:val="20"/>
                <w:szCs w:val="20"/>
              </w:rPr>
            </w:pPr>
            <w:r>
              <w:rPr>
                <w:b/>
                <w:sz w:val="20"/>
                <w:szCs w:val="20"/>
              </w:rPr>
              <w:t>Índices</w:t>
            </w:r>
          </w:p>
        </w:tc>
        <w:tc>
          <w:tcPr>
            <w:tcW w:w="1041" w:type="dxa"/>
            <w:tcBorders>
              <w:top w:val="single" w:sz="4" w:space="0" w:color="000000"/>
              <w:bottom w:val="single" w:sz="4" w:space="0" w:color="000000"/>
            </w:tcBorders>
            <w:shd w:val="clear" w:color="auto" w:fill="auto"/>
            <w:vAlign w:val="center"/>
          </w:tcPr>
          <w:p w14:paraId="1EEB98D3" w14:textId="77777777" w:rsidR="006B5B5E" w:rsidRDefault="0071781F">
            <w:pPr>
              <w:spacing w:line="240" w:lineRule="auto"/>
              <w:jc w:val="center"/>
              <w:rPr>
                <w:b/>
                <w:sz w:val="20"/>
                <w:szCs w:val="20"/>
              </w:rPr>
            </w:pPr>
            <w:r>
              <w:rPr>
                <w:b/>
                <w:sz w:val="20"/>
                <w:szCs w:val="20"/>
              </w:rPr>
              <w:t>Eucalipto</w:t>
            </w:r>
          </w:p>
        </w:tc>
        <w:tc>
          <w:tcPr>
            <w:tcW w:w="960" w:type="dxa"/>
            <w:tcBorders>
              <w:top w:val="single" w:sz="4" w:space="0" w:color="000000"/>
              <w:bottom w:val="single" w:sz="4" w:space="0" w:color="000000"/>
            </w:tcBorders>
            <w:shd w:val="clear" w:color="auto" w:fill="auto"/>
            <w:vAlign w:val="center"/>
          </w:tcPr>
          <w:p w14:paraId="4F528FD2" w14:textId="77777777" w:rsidR="006B5B5E" w:rsidRDefault="0071781F">
            <w:pPr>
              <w:spacing w:line="240" w:lineRule="auto"/>
              <w:jc w:val="center"/>
              <w:rPr>
                <w:b/>
                <w:sz w:val="20"/>
                <w:szCs w:val="20"/>
              </w:rPr>
            </w:pPr>
            <w:r>
              <w:rPr>
                <w:b/>
                <w:sz w:val="20"/>
                <w:szCs w:val="20"/>
              </w:rPr>
              <w:t>Borda</w:t>
            </w:r>
          </w:p>
        </w:tc>
        <w:tc>
          <w:tcPr>
            <w:tcW w:w="960" w:type="dxa"/>
            <w:tcBorders>
              <w:top w:val="single" w:sz="4" w:space="0" w:color="000000"/>
              <w:bottom w:val="single" w:sz="4" w:space="0" w:color="000000"/>
            </w:tcBorders>
            <w:shd w:val="clear" w:color="auto" w:fill="auto"/>
            <w:vAlign w:val="center"/>
          </w:tcPr>
          <w:p w14:paraId="2D645BD5" w14:textId="77777777" w:rsidR="006B5B5E" w:rsidRDefault="0071781F">
            <w:pPr>
              <w:spacing w:line="240" w:lineRule="auto"/>
              <w:jc w:val="center"/>
              <w:rPr>
                <w:b/>
                <w:sz w:val="20"/>
                <w:szCs w:val="20"/>
              </w:rPr>
            </w:pPr>
            <w:r>
              <w:rPr>
                <w:b/>
                <w:sz w:val="20"/>
                <w:szCs w:val="20"/>
              </w:rPr>
              <w:t>Mata</w:t>
            </w:r>
          </w:p>
        </w:tc>
      </w:tr>
      <w:tr w:rsidR="006B5B5E" w14:paraId="7682C702" w14:textId="77777777">
        <w:trPr>
          <w:trHeight w:val="255"/>
          <w:jc w:val="center"/>
        </w:trPr>
        <w:tc>
          <w:tcPr>
            <w:tcW w:w="2268" w:type="dxa"/>
            <w:tcBorders>
              <w:top w:val="single" w:sz="4" w:space="0" w:color="000000"/>
            </w:tcBorders>
            <w:shd w:val="clear" w:color="auto" w:fill="auto"/>
            <w:vAlign w:val="bottom"/>
          </w:tcPr>
          <w:p w14:paraId="3E8E85A8" w14:textId="77777777" w:rsidR="006B5B5E" w:rsidRDefault="0071781F">
            <w:pPr>
              <w:spacing w:line="240" w:lineRule="auto"/>
              <w:jc w:val="center"/>
              <w:rPr>
                <w:sz w:val="20"/>
                <w:szCs w:val="20"/>
              </w:rPr>
            </w:pPr>
            <w:r>
              <w:rPr>
                <w:sz w:val="20"/>
                <w:szCs w:val="20"/>
              </w:rPr>
              <w:t>Riqueza</w:t>
            </w:r>
          </w:p>
        </w:tc>
        <w:tc>
          <w:tcPr>
            <w:tcW w:w="1041" w:type="dxa"/>
            <w:tcBorders>
              <w:top w:val="single" w:sz="4" w:space="0" w:color="000000"/>
            </w:tcBorders>
            <w:shd w:val="clear" w:color="auto" w:fill="auto"/>
            <w:vAlign w:val="bottom"/>
          </w:tcPr>
          <w:p w14:paraId="7CAA4AAE" w14:textId="77777777" w:rsidR="006B5B5E" w:rsidRDefault="0071781F">
            <w:pPr>
              <w:spacing w:line="240" w:lineRule="auto"/>
              <w:jc w:val="center"/>
              <w:rPr>
                <w:sz w:val="20"/>
                <w:szCs w:val="20"/>
              </w:rPr>
            </w:pPr>
            <w:r>
              <w:rPr>
                <w:sz w:val="20"/>
                <w:szCs w:val="20"/>
              </w:rPr>
              <w:t>6</w:t>
            </w:r>
          </w:p>
        </w:tc>
        <w:tc>
          <w:tcPr>
            <w:tcW w:w="960" w:type="dxa"/>
            <w:tcBorders>
              <w:top w:val="single" w:sz="4" w:space="0" w:color="000000"/>
            </w:tcBorders>
            <w:shd w:val="clear" w:color="auto" w:fill="auto"/>
            <w:vAlign w:val="bottom"/>
          </w:tcPr>
          <w:p w14:paraId="2BFFEE72" w14:textId="77777777" w:rsidR="006B5B5E" w:rsidRDefault="0071781F">
            <w:pPr>
              <w:spacing w:line="240" w:lineRule="auto"/>
              <w:jc w:val="center"/>
              <w:rPr>
                <w:sz w:val="20"/>
                <w:szCs w:val="20"/>
              </w:rPr>
            </w:pPr>
            <w:r>
              <w:rPr>
                <w:sz w:val="20"/>
                <w:szCs w:val="20"/>
              </w:rPr>
              <w:t>16</w:t>
            </w:r>
          </w:p>
        </w:tc>
        <w:tc>
          <w:tcPr>
            <w:tcW w:w="960" w:type="dxa"/>
            <w:tcBorders>
              <w:top w:val="single" w:sz="4" w:space="0" w:color="000000"/>
            </w:tcBorders>
            <w:shd w:val="clear" w:color="auto" w:fill="auto"/>
            <w:vAlign w:val="bottom"/>
          </w:tcPr>
          <w:p w14:paraId="146B615C" w14:textId="77777777" w:rsidR="006B5B5E" w:rsidRDefault="0071781F">
            <w:pPr>
              <w:spacing w:line="240" w:lineRule="auto"/>
              <w:jc w:val="center"/>
              <w:rPr>
                <w:sz w:val="20"/>
                <w:szCs w:val="20"/>
              </w:rPr>
            </w:pPr>
            <w:r>
              <w:rPr>
                <w:sz w:val="20"/>
                <w:szCs w:val="20"/>
              </w:rPr>
              <w:t>17</w:t>
            </w:r>
          </w:p>
        </w:tc>
      </w:tr>
      <w:tr w:rsidR="006B5B5E" w14:paraId="566F03C3" w14:textId="77777777">
        <w:trPr>
          <w:trHeight w:val="255"/>
          <w:jc w:val="center"/>
        </w:trPr>
        <w:tc>
          <w:tcPr>
            <w:tcW w:w="2268" w:type="dxa"/>
            <w:shd w:val="clear" w:color="auto" w:fill="auto"/>
            <w:vAlign w:val="bottom"/>
          </w:tcPr>
          <w:p w14:paraId="12198799" w14:textId="77777777" w:rsidR="006B5B5E" w:rsidRDefault="0071781F">
            <w:pPr>
              <w:spacing w:line="240" w:lineRule="auto"/>
              <w:jc w:val="center"/>
              <w:rPr>
                <w:sz w:val="20"/>
                <w:szCs w:val="20"/>
              </w:rPr>
            </w:pPr>
            <w:r>
              <w:rPr>
                <w:sz w:val="20"/>
                <w:szCs w:val="20"/>
              </w:rPr>
              <w:t>Abundância</w:t>
            </w:r>
          </w:p>
        </w:tc>
        <w:tc>
          <w:tcPr>
            <w:tcW w:w="1041" w:type="dxa"/>
            <w:shd w:val="clear" w:color="auto" w:fill="auto"/>
            <w:vAlign w:val="bottom"/>
          </w:tcPr>
          <w:p w14:paraId="7873B366" w14:textId="77777777" w:rsidR="006B5B5E" w:rsidRDefault="0071781F">
            <w:pPr>
              <w:spacing w:line="240" w:lineRule="auto"/>
              <w:jc w:val="center"/>
              <w:rPr>
                <w:sz w:val="20"/>
                <w:szCs w:val="20"/>
              </w:rPr>
            </w:pPr>
            <w:r>
              <w:rPr>
                <w:sz w:val="20"/>
                <w:szCs w:val="20"/>
              </w:rPr>
              <w:t>8</w:t>
            </w:r>
          </w:p>
        </w:tc>
        <w:tc>
          <w:tcPr>
            <w:tcW w:w="960" w:type="dxa"/>
            <w:shd w:val="clear" w:color="auto" w:fill="auto"/>
            <w:vAlign w:val="bottom"/>
          </w:tcPr>
          <w:p w14:paraId="09B64073" w14:textId="77777777" w:rsidR="006B5B5E" w:rsidRDefault="0071781F">
            <w:pPr>
              <w:spacing w:line="240" w:lineRule="auto"/>
              <w:jc w:val="center"/>
              <w:rPr>
                <w:sz w:val="20"/>
                <w:szCs w:val="20"/>
              </w:rPr>
            </w:pPr>
            <w:r>
              <w:rPr>
                <w:sz w:val="20"/>
                <w:szCs w:val="20"/>
              </w:rPr>
              <w:t>57</w:t>
            </w:r>
          </w:p>
        </w:tc>
        <w:tc>
          <w:tcPr>
            <w:tcW w:w="960" w:type="dxa"/>
            <w:shd w:val="clear" w:color="auto" w:fill="auto"/>
            <w:vAlign w:val="bottom"/>
          </w:tcPr>
          <w:p w14:paraId="2FD340F0" w14:textId="77777777" w:rsidR="006B5B5E" w:rsidRDefault="0071781F">
            <w:pPr>
              <w:spacing w:line="240" w:lineRule="auto"/>
              <w:jc w:val="center"/>
              <w:rPr>
                <w:sz w:val="20"/>
                <w:szCs w:val="20"/>
              </w:rPr>
            </w:pPr>
            <w:r>
              <w:rPr>
                <w:sz w:val="20"/>
                <w:szCs w:val="20"/>
              </w:rPr>
              <w:t>87</w:t>
            </w:r>
          </w:p>
        </w:tc>
      </w:tr>
      <w:tr w:rsidR="006B5B5E" w14:paraId="3DBD9A0C" w14:textId="77777777">
        <w:trPr>
          <w:trHeight w:val="255"/>
          <w:jc w:val="center"/>
        </w:trPr>
        <w:tc>
          <w:tcPr>
            <w:tcW w:w="2268" w:type="dxa"/>
            <w:shd w:val="clear" w:color="auto" w:fill="auto"/>
            <w:vAlign w:val="bottom"/>
          </w:tcPr>
          <w:p w14:paraId="7BF0421A" w14:textId="77777777" w:rsidR="006B5B5E" w:rsidRDefault="0071781F">
            <w:pPr>
              <w:spacing w:line="240" w:lineRule="auto"/>
              <w:jc w:val="center"/>
              <w:rPr>
                <w:sz w:val="20"/>
                <w:szCs w:val="20"/>
              </w:rPr>
            </w:pPr>
            <w:r>
              <w:rPr>
                <w:sz w:val="20"/>
                <w:szCs w:val="20"/>
              </w:rPr>
              <w:t>Shannon (H’)</w:t>
            </w:r>
          </w:p>
        </w:tc>
        <w:tc>
          <w:tcPr>
            <w:tcW w:w="1041" w:type="dxa"/>
            <w:shd w:val="clear" w:color="auto" w:fill="auto"/>
            <w:vAlign w:val="bottom"/>
          </w:tcPr>
          <w:p w14:paraId="4B24DFB9" w14:textId="77777777" w:rsidR="006B5B5E" w:rsidRDefault="0071781F">
            <w:pPr>
              <w:spacing w:line="240" w:lineRule="auto"/>
              <w:jc w:val="center"/>
              <w:rPr>
                <w:sz w:val="20"/>
                <w:szCs w:val="20"/>
              </w:rPr>
            </w:pPr>
            <w:r>
              <w:rPr>
                <w:sz w:val="20"/>
                <w:szCs w:val="20"/>
              </w:rPr>
              <w:t>1.733</w:t>
            </w:r>
          </w:p>
        </w:tc>
        <w:tc>
          <w:tcPr>
            <w:tcW w:w="960" w:type="dxa"/>
            <w:shd w:val="clear" w:color="auto" w:fill="auto"/>
            <w:vAlign w:val="bottom"/>
          </w:tcPr>
          <w:p w14:paraId="60A794D8" w14:textId="77777777" w:rsidR="006B5B5E" w:rsidRDefault="0071781F">
            <w:pPr>
              <w:spacing w:line="240" w:lineRule="auto"/>
              <w:jc w:val="center"/>
              <w:rPr>
                <w:sz w:val="20"/>
                <w:szCs w:val="20"/>
              </w:rPr>
            </w:pPr>
            <w:r>
              <w:rPr>
                <w:sz w:val="20"/>
                <w:szCs w:val="20"/>
              </w:rPr>
              <w:t>1.998</w:t>
            </w:r>
          </w:p>
        </w:tc>
        <w:tc>
          <w:tcPr>
            <w:tcW w:w="960" w:type="dxa"/>
            <w:shd w:val="clear" w:color="auto" w:fill="auto"/>
            <w:vAlign w:val="bottom"/>
          </w:tcPr>
          <w:p w14:paraId="18061E1A" w14:textId="77777777" w:rsidR="006B5B5E" w:rsidRDefault="0071781F">
            <w:pPr>
              <w:spacing w:line="240" w:lineRule="auto"/>
              <w:jc w:val="center"/>
              <w:rPr>
                <w:sz w:val="20"/>
                <w:szCs w:val="20"/>
              </w:rPr>
            </w:pPr>
            <w:r>
              <w:rPr>
                <w:sz w:val="20"/>
                <w:szCs w:val="20"/>
              </w:rPr>
              <w:t>1.871</w:t>
            </w:r>
          </w:p>
        </w:tc>
      </w:tr>
      <w:tr w:rsidR="006B5B5E" w14:paraId="40082170" w14:textId="77777777">
        <w:trPr>
          <w:trHeight w:val="255"/>
          <w:jc w:val="center"/>
        </w:trPr>
        <w:tc>
          <w:tcPr>
            <w:tcW w:w="2268" w:type="dxa"/>
            <w:shd w:val="clear" w:color="auto" w:fill="auto"/>
            <w:vAlign w:val="bottom"/>
          </w:tcPr>
          <w:p w14:paraId="2DCB8697" w14:textId="77777777" w:rsidR="006B5B5E" w:rsidRDefault="0071781F">
            <w:pPr>
              <w:spacing w:line="240" w:lineRule="auto"/>
              <w:jc w:val="center"/>
              <w:rPr>
                <w:sz w:val="20"/>
                <w:szCs w:val="20"/>
              </w:rPr>
            </w:pPr>
            <w:r>
              <w:rPr>
                <w:sz w:val="20"/>
                <w:szCs w:val="20"/>
              </w:rPr>
              <w:t>Equitabilidade (e^H/S)</w:t>
            </w:r>
          </w:p>
        </w:tc>
        <w:tc>
          <w:tcPr>
            <w:tcW w:w="1041" w:type="dxa"/>
            <w:shd w:val="clear" w:color="auto" w:fill="auto"/>
            <w:vAlign w:val="bottom"/>
          </w:tcPr>
          <w:p w14:paraId="73F72C97" w14:textId="77777777" w:rsidR="006B5B5E" w:rsidRDefault="0071781F">
            <w:pPr>
              <w:spacing w:line="240" w:lineRule="auto"/>
              <w:jc w:val="center"/>
              <w:rPr>
                <w:sz w:val="20"/>
                <w:szCs w:val="20"/>
              </w:rPr>
            </w:pPr>
            <w:r>
              <w:rPr>
                <w:sz w:val="20"/>
                <w:szCs w:val="20"/>
              </w:rPr>
              <w:t>0.9428</w:t>
            </w:r>
          </w:p>
        </w:tc>
        <w:tc>
          <w:tcPr>
            <w:tcW w:w="960" w:type="dxa"/>
            <w:shd w:val="clear" w:color="auto" w:fill="auto"/>
            <w:vAlign w:val="bottom"/>
          </w:tcPr>
          <w:p w14:paraId="6C767F9C" w14:textId="77777777" w:rsidR="006B5B5E" w:rsidRDefault="0071781F">
            <w:pPr>
              <w:spacing w:line="240" w:lineRule="auto"/>
              <w:jc w:val="center"/>
              <w:rPr>
                <w:sz w:val="20"/>
                <w:szCs w:val="20"/>
              </w:rPr>
            </w:pPr>
            <w:r>
              <w:rPr>
                <w:sz w:val="20"/>
                <w:szCs w:val="20"/>
              </w:rPr>
              <w:t>0.4607</w:t>
            </w:r>
          </w:p>
        </w:tc>
        <w:tc>
          <w:tcPr>
            <w:tcW w:w="960" w:type="dxa"/>
            <w:shd w:val="clear" w:color="auto" w:fill="auto"/>
            <w:vAlign w:val="bottom"/>
          </w:tcPr>
          <w:p w14:paraId="190A6D19" w14:textId="77777777" w:rsidR="006B5B5E" w:rsidRDefault="0071781F">
            <w:pPr>
              <w:spacing w:line="240" w:lineRule="auto"/>
              <w:jc w:val="center"/>
              <w:rPr>
                <w:sz w:val="20"/>
                <w:szCs w:val="20"/>
              </w:rPr>
            </w:pPr>
            <w:r>
              <w:rPr>
                <w:sz w:val="20"/>
                <w:szCs w:val="20"/>
              </w:rPr>
              <w:t>0.3822</w:t>
            </w:r>
          </w:p>
        </w:tc>
      </w:tr>
      <w:tr w:rsidR="006B5B5E" w14:paraId="4C21FD12" w14:textId="77777777">
        <w:trPr>
          <w:trHeight w:val="255"/>
          <w:jc w:val="center"/>
        </w:trPr>
        <w:tc>
          <w:tcPr>
            <w:tcW w:w="2268" w:type="dxa"/>
            <w:shd w:val="clear" w:color="auto" w:fill="auto"/>
            <w:vAlign w:val="bottom"/>
          </w:tcPr>
          <w:p w14:paraId="12F798DC" w14:textId="77777777" w:rsidR="006B5B5E" w:rsidRDefault="0071781F">
            <w:pPr>
              <w:spacing w:line="240" w:lineRule="auto"/>
              <w:jc w:val="center"/>
              <w:rPr>
                <w:sz w:val="20"/>
                <w:szCs w:val="20"/>
              </w:rPr>
            </w:pPr>
            <w:r>
              <w:rPr>
                <w:sz w:val="20"/>
                <w:szCs w:val="20"/>
              </w:rPr>
              <w:t>Berger-Parker</w:t>
            </w:r>
          </w:p>
        </w:tc>
        <w:tc>
          <w:tcPr>
            <w:tcW w:w="1041" w:type="dxa"/>
            <w:shd w:val="clear" w:color="auto" w:fill="auto"/>
            <w:vAlign w:val="bottom"/>
          </w:tcPr>
          <w:p w14:paraId="3FAFFB3A" w14:textId="77777777" w:rsidR="006B5B5E" w:rsidRDefault="0071781F">
            <w:pPr>
              <w:spacing w:line="240" w:lineRule="auto"/>
              <w:jc w:val="center"/>
              <w:rPr>
                <w:sz w:val="20"/>
                <w:szCs w:val="20"/>
              </w:rPr>
            </w:pPr>
            <w:r>
              <w:rPr>
                <w:sz w:val="20"/>
                <w:szCs w:val="20"/>
              </w:rPr>
              <w:t>0.25</w:t>
            </w:r>
          </w:p>
        </w:tc>
        <w:tc>
          <w:tcPr>
            <w:tcW w:w="960" w:type="dxa"/>
            <w:shd w:val="clear" w:color="auto" w:fill="auto"/>
            <w:vAlign w:val="bottom"/>
          </w:tcPr>
          <w:p w14:paraId="5D45A899" w14:textId="77777777" w:rsidR="006B5B5E" w:rsidRDefault="0071781F">
            <w:pPr>
              <w:spacing w:line="240" w:lineRule="auto"/>
              <w:jc w:val="center"/>
              <w:rPr>
                <w:sz w:val="20"/>
                <w:szCs w:val="20"/>
              </w:rPr>
            </w:pPr>
            <w:r>
              <w:rPr>
                <w:sz w:val="20"/>
                <w:szCs w:val="20"/>
              </w:rPr>
              <w:t>0.4561</w:t>
            </w:r>
          </w:p>
        </w:tc>
        <w:tc>
          <w:tcPr>
            <w:tcW w:w="960" w:type="dxa"/>
            <w:shd w:val="clear" w:color="auto" w:fill="auto"/>
            <w:vAlign w:val="bottom"/>
          </w:tcPr>
          <w:p w14:paraId="5461EF31" w14:textId="77777777" w:rsidR="006B5B5E" w:rsidRDefault="0071781F">
            <w:pPr>
              <w:spacing w:line="240" w:lineRule="auto"/>
              <w:jc w:val="center"/>
              <w:rPr>
                <w:sz w:val="20"/>
                <w:szCs w:val="20"/>
              </w:rPr>
            </w:pPr>
            <w:r>
              <w:rPr>
                <w:sz w:val="20"/>
                <w:szCs w:val="20"/>
              </w:rPr>
              <w:t>0.5172</w:t>
            </w:r>
          </w:p>
        </w:tc>
      </w:tr>
    </w:tbl>
    <w:p w14:paraId="7965AA67" w14:textId="77777777" w:rsidR="00966032" w:rsidRDefault="00966032" w:rsidP="00675BAD">
      <w:pPr>
        <w:spacing w:line="240" w:lineRule="auto"/>
        <w:jc w:val="center"/>
        <w:rPr>
          <w:sz w:val="20"/>
          <w:szCs w:val="20"/>
        </w:rPr>
      </w:pPr>
      <w:r>
        <w:rPr>
          <w:sz w:val="20"/>
          <w:szCs w:val="20"/>
        </w:rPr>
        <w:t>Tabela  2. Tabela contendo os valores de diversidade e equitabilidade.</w:t>
      </w:r>
    </w:p>
    <w:p w14:paraId="5FE899EB" w14:textId="77777777" w:rsidR="00966032" w:rsidRDefault="00966032">
      <w:pPr>
        <w:spacing w:line="240" w:lineRule="auto"/>
        <w:jc w:val="both"/>
        <w:rPr>
          <w:b/>
          <w:sz w:val="20"/>
          <w:szCs w:val="20"/>
        </w:rPr>
      </w:pPr>
    </w:p>
    <w:p w14:paraId="628B7EAE" w14:textId="77777777" w:rsidR="006B5B5E" w:rsidRDefault="0071781F">
      <w:pPr>
        <w:spacing w:line="240" w:lineRule="auto"/>
        <w:jc w:val="both"/>
        <w:rPr>
          <w:b/>
          <w:sz w:val="20"/>
          <w:szCs w:val="20"/>
        </w:rPr>
      </w:pPr>
      <w:r>
        <w:rPr>
          <w:b/>
          <w:sz w:val="20"/>
          <w:szCs w:val="20"/>
        </w:rPr>
        <w:t>CONCLUSÕES</w:t>
      </w:r>
    </w:p>
    <w:p w14:paraId="1C87CE54" w14:textId="77777777" w:rsidR="006B5B5E" w:rsidRDefault="0071781F">
      <w:pPr>
        <w:spacing w:after="160" w:line="240" w:lineRule="auto"/>
        <w:ind w:firstLine="720"/>
        <w:jc w:val="both"/>
        <w:rPr>
          <w:sz w:val="20"/>
          <w:szCs w:val="20"/>
        </w:rPr>
      </w:pPr>
      <w:r>
        <w:rPr>
          <w:sz w:val="20"/>
          <w:szCs w:val="20"/>
        </w:rPr>
        <w:t>A diversidade de espécies e famílias de répteis está relacionada com a disponibilidade de microhabitats (Bars-Closel, 2017) que estão presentes, crescendo, conforme aumenta o grau de heterogeneidade encontrado na vegetação, nas matas preservadas maior e muito baixo nas monoculturas de Eucalipto. O presente estudo tem relevância fundamental quanto ao entendimento da composição de taxocenoses de répteis em paisagens de mosaico. As consequências expressas na composição faunística relacionados à silvicultura estão ainda por serem investigadas, e a partir de estudos direcionados a diferentes taxocenoses, novas questões e problemáticas relacionadas à conservação das espécies presentes na Mata Atlântica serão elucidadas.  </w:t>
      </w:r>
    </w:p>
    <w:p w14:paraId="21031C52" w14:textId="77777777" w:rsidR="006B5B5E" w:rsidRDefault="0071781F">
      <w:pPr>
        <w:spacing w:after="160" w:line="240" w:lineRule="auto"/>
        <w:ind w:firstLine="720"/>
        <w:jc w:val="both"/>
        <w:rPr>
          <w:sz w:val="20"/>
          <w:szCs w:val="20"/>
        </w:rPr>
      </w:pPr>
      <w:r>
        <w:rPr>
          <w:sz w:val="20"/>
          <w:szCs w:val="20"/>
        </w:rPr>
        <w:t>   </w:t>
      </w:r>
    </w:p>
    <w:p w14:paraId="0F624B49" w14:textId="77777777" w:rsidR="006B5B5E" w:rsidRDefault="0071781F">
      <w:pPr>
        <w:spacing w:line="240" w:lineRule="auto"/>
        <w:jc w:val="both"/>
        <w:rPr>
          <w:b/>
          <w:sz w:val="20"/>
          <w:szCs w:val="20"/>
        </w:rPr>
      </w:pPr>
      <w:r>
        <w:rPr>
          <w:b/>
          <w:sz w:val="20"/>
          <w:szCs w:val="20"/>
        </w:rPr>
        <w:t xml:space="preserve">REFERÊNCIAS </w:t>
      </w:r>
    </w:p>
    <w:p w14:paraId="48EEECA9" w14:textId="77777777" w:rsidR="006B5B5E" w:rsidRDefault="0071781F">
      <w:pPr>
        <w:spacing w:line="240" w:lineRule="auto"/>
        <w:jc w:val="both"/>
        <w:rPr>
          <w:sz w:val="20"/>
          <w:szCs w:val="20"/>
          <w:highlight w:val="white"/>
        </w:rPr>
      </w:pPr>
      <w:r>
        <w:rPr>
          <w:sz w:val="20"/>
          <w:szCs w:val="20"/>
        </w:rPr>
        <w:t xml:space="preserve">ALMEIDA-CORRÊA, T., FRAZÃO, L., COSTA, D. M., MENIN, M., KAEFER, I., L. Effect of environmental parameters on squamate reptiles in an urban forest fragment in central amazonia. </w:t>
      </w:r>
      <w:r>
        <w:rPr>
          <w:b/>
          <w:sz w:val="20"/>
          <w:szCs w:val="20"/>
        </w:rPr>
        <w:t>Acta Amazonica</w:t>
      </w:r>
      <w:r>
        <w:rPr>
          <w:sz w:val="20"/>
          <w:szCs w:val="20"/>
        </w:rPr>
        <w:t>, v. 50, n. 3, p. 239–245, 2020. </w:t>
      </w:r>
    </w:p>
    <w:p w14:paraId="10F9F1A1" w14:textId="77777777" w:rsidR="006B5B5E" w:rsidRDefault="0071781F">
      <w:pPr>
        <w:spacing w:line="240" w:lineRule="auto"/>
        <w:jc w:val="both"/>
        <w:rPr>
          <w:sz w:val="20"/>
          <w:szCs w:val="20"/>
        </w:rPr>
      </w:pPr>
      <w:r>
        <w:rPr>
          <w:sz w:val="20"/>
          <w:szCs w:val="20"/>
        </w:rPr>
        <w:t xml:space="preserve">Filho, G. A. P. </w:t>
      </w:r>
      <w:r>
        <w:rPr>
          <w:i/>
          <w:sz w:val="20"/>
          <w:szCs w:val="20"/>
        </w:rPr>
        <w:t>et al</w:t>
      </w:r>
      <w:r>
        <w:rPr>
          <w:sz w:val="20"/>
          <w:szCs w:val="20"/>
        </w:rPr>
        <w:t>, 2023. Animal Biodiversity and Conservation in Brazil’s Northern Atlantic Forest: Composition, Species Richness, and Conservation of the Reptiles of the Highly Threatened Northern Brazilian Atlantic Forest. Cap. 11. pág. 170.</w:t>
      </w:r>
    </w:p>
    <w:p w14:paraId="5FB765FC" w14:textId="77777777" w:rsidR="006B5B5E" w:rsidRDefault="0071781F">
      <w:pPr>
        <w:spacing w:line="240" w:lineRule="auto"/>
        <w:jc w:val="both"/>
        <w:rPr>
          <w:sz w:val="20"/>
          <w:szCs w:val="20"/>
        </w:rPr>
      </w:pPr>
      <w:r>
        <w:rPr>
          <w:sz w:val="20"/>
          <w:szCs w:val="20"/>
        </w:rPr>
        <w:t>GAINSBURY, A. M.; COLLI, G. R. EFFECTS OF ABANDONED Eucalyptus plantations on lizard communities in the Brazilian Cerrado. Biodiversity and Conservation, v. 38, n. 13, p. 3155-3170, 2014.</w:t>
      </w:r>
    </w:p>
    <w:p w14:paraId="19D04CBD" w14:textId="77777777" w:rsidR="006B5B5E" w:rsidRDefault="0071781F">
      <w:pPr>
        <w:spacing w:line="240" w:lineRule="auto"/>
        <w:jc w:val="both"/>
        <w:rPr>
          <w:sz w:val="20"/>
          <w:szCs w:val="20"/>
        </w:rPr>
      </w:pPr>
      <w:r>
        <w:rPr>
          <w:sz w:val="20"/>
          <w:szCs w:val="20"/>
        </w:rPr>
        <w:t>OLIVEIRA, M. A., GRILLO, S. A.;TABARELLI,  M. Tabarelli. Forest edge in the Brazilian Atlantic Forest: drastic changes in tree species assemblages.</w:t>
      </w:r>
      <w:r>
        <w:rPr>
          <w:b/>
          <w:sz w:val="20"/>
          <w:szCs w:val="20"/>
        </w:rPr>
        <w:t xml:space="preserve"> Oryx. </w:t>
      </w:r>
      <w:r>
        <w:rPr>
          <w:sz w:val="20"/>
          <w:szCs w:val="20"/>
        </w:rPr>
        <w:t>v. 38, n. 4: 389-394, 2004.</w:t>
      </w:r>
    </w:p>
    <w:p w14:paraId="671CC07B" w14:textId="77777777" w:rsidR="006B5B5E" w:rsidRDefault="0071781F">
      <w:pPr>
        <w:spacing w:line="240" w:lineRule="auto"/>
        <w:jc w:val="both"/>
        <w:rPr>
          <w:sz w:val="20"/>
          <w:szCs w:val="20"/>
        </w:rPr>
      </w:pPr>
      <w:r>
        <w:rPr>
          <w:sz w:val="20"/>
          <w:szCs w:val="20"/>
        </w:rPr>
        <w:t xml:space="preserve">PINTO, L. P.; BEDE, L. C. Mata Atlântica brasileira: Os desafios para a conservação da biodiversidade de um hotspot mundial. </w:t>
      </w:r>
      <w:r>
        <w:rPr>
          <w:b/>
          <w:sz w:val="20"/>
          <w:szCs w:val="20"/>
        </w:rPr>
        <w:t>Essências em Biologia e Conservação</w:t>
      </w:r>
      <w:r>
        <w:rPr>
          <w:sz w:val="20"/>
          <w:szCs w:val="20"/>
        </w:rPr>
        <w:t>, v. January, n. 4, p. 1–24, 2006. </w:t>
      </w:r>
    </w:p>
    <w:p w14:paraId="55111602" w14:textId="77777777" w:rsidR="006B5B5E" w:rsidRDefault="0071781F">
      <w:pPr>
        <w:spacing w:line="240" w:lineRule="auto"/>
        <w:jc w:val="both"/>
        <w:rPr>
          <w:rFonts w:ascii="Times New Roman" w:eastAsia="Times New Roman" w:hAnsi="Times New Roman" w:cs="Times New Roman"/>
          <w:sz w:val="24"/>
          <w:szCs w:val="24"/>
        </w:rPr>
      </w:pPr>
      <w:r>
        <w:rPr>
          <w:sz w:val="20"/>
          <w:szCs w:val="20"/>
          <w:highlight w:val="white"/>
        </w:rPr>
        <w:lastRenderedPageBreak/>
        <w:t>RANTA, P.; et al</w:t>
      </w:r>
      <w:r>
        <w:rPr>
          <w:sz w:val="20"/>
          <w:szCs w:val="20"/>
        </w:rPr>
        <w:t xml:space="preserve">. The fragmented Atlantic forest of Brazil: size, shape, and distribution of forest fragments. </w:t>
      </w:r>
      <w:r>
        <w:rPr>
          <w:b/>
          <w:sz w:val="20"/>
          <w:szCs w:val="20"/>
        </w:rPr>
        <w:t>Biodiversity and Conservation 7</w:t>
      </w:r>
      <w:r>
        <w:rPr>
          <w:sz w:val="20"/>
          <w:szCs w:val="20"/>
        </w:rPr>
        <w:t>: 385-403, 1998.</w:t>
      </w:r>
    </w:p>
    <w:p w14:paraId="0B863714" w14:textId="77777777" w:rsidR="006B5B5E" w:rsidRDefault="0071781F">
      <w:pPr>
        <w:spacing w:line="240" w:lineRule="auto"/>
        <w:jc w:val="both"/>
        <w:rPr>
          <w:rFonts w:ascii="Times New Roman" w:eastAsia="Times New Roman" w:hAnsi="Times New Roman" w:cs="Times New Roman"/>
          <w:sz w:val="24"/>
          <w:szCs w:val="24"/>
        </w:rPr>
      </w:pPr>
      <w:r>
        <w:rPr>
          <w:sz w:val="20"/>
          <w:szCs w:val="20"/>
        </w:rPr>
        <w:t xml:space="preserve">Rodrigues, M.T. (2003): Herpetofauna da Caatinga. In: </w:t>
      </w:r>
      <w:r>
        <w:rPr>
          <w:b/>
          <w:sz w:val="20"/>
          <w:szCs w:val="20"/>
        </w:rPr>
        <w:t>Ecologia e conservação da Caatinga</w:t>
      </w:r>
      <w:r>
        <w:rPr>
          <w:sz w:val="20"/>
          <w:szCs w:val="20"/>
        </w:rPr>
        <w:t>, p. 181-236. Leal, I.R., Tabarelli, M., Silva, J.M.C., Ed., Recife, Editora Universitária da UFPE.</w:t>
      </w:r>
    </w:p>
    <w:p w14:paraId="36FBA068" w14:textId="77777777" w:rsidR="006B5B5E" w:rsidRDefault="0071781F">
      <w:pPr>
        <w:spacing w:line="240" w:lineRule="auto"/>
        <w:jc w:val="both"/>
        <w:rPr>
          <w:sz w:val="20"/>
          <w:szCs w:val="20"/>
        </w:rPr>
      </w:pPr>
      <w:r>
        <w:rPr>
          <w:sz w:val="20"/>
          <w:szCs w:val="20"/>
        </w:rPr>
        <w:t xml:space="preserve">RIBEIRO, L. B. et al. Two new records of Coleodactylus meridionalis (Boulenger, 1888) (Squamata, Sphaerodactylidae) in north-eastern Brazil, including a map and comments regarding its geographical distribution. </w:t>
      </w:r>
      <w:r>
        <w:rPr>
          <w:b/>
          <w:sz w:val="20"/>
          <w:szCs w:val="20"/>
        </w:rPr>
        <w:t>Herpetology Notes</w:t>
      </w:r>
      <w:r>
        <w:rPr>
          <w:sz w:val="20"/>
          <w:szCs w:val="20"/>
        </w:rPr>
        <w:t>, v. 6, n. 1, p. 23–27, 2013.</w:t>
      </w:r>
    </w:p>
    <w:p w14:paraId="6E457AB6" w14:textId="77777777" w:rsidR="006B5B5E" w:rsidRDefault="0071781F">
      <w:pPr>
        <w:spacing w:line="240" w:lineRule="auto"/>
        <w:jc w:val="both"/>
        <w:rPr>
          <w:sz w:val="20"/>
          <w:szCs w:val="20"/>
        </w:rPr>
      </w:pPr>
      <w:r>
        <w:rPr>
          <w:sz w:val="20"/>
          <w:szCs w:val="20"/>
        </w:rPr>
        <w:t xml:space="preserve">SILVA, J. M. C.; TABARELLI, M. Tree species impoverishment and the future flora of the Atlantic forest of northeast Brazil. </w:t>
      </w:r>
      <w:r>
        <w:rPr>
          <w:b/>
          <w:sz w:val="20"/>
          <w:szCs w:val="20"/>
        </w:rPr>
        <w:t>Nature</w:t>
      </w:r>
      <w:r>
        <w:rPr>
          <w:sz w:val="20"/>
          <w:szCs w:val="20"/>
        </w:rPr>
        <w:t>: p. 72-74, 2000. </w:t>
      </w:r>
    </w:p>
    <w:p w14:paraId="7A819C83" w14:textId="77777777" w:rsidR="006B5B5E" w:rsidRDefault="006B5B5E">
      <w:pPr>
        <w:spacing w:line="240" w:lineRule="auto"/>
        <w:rPr>
          <w:sz w:val="20"/>
          <w:szCs w:val="20"/>
        </w:rPr>
      </w:pPr>
    </w:p>
    <w:sectPr w:rsidR="006B5B5E">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C44E" w14:textId="77777777" w:rsidR="00CC7121" w:rsidRDefault="00CC7121">
      <w:pPr>
        <w:spacing w:line="240" w:lineRule="auto"/>
      </w:pPr>
      <w:r>
        <w:separator/>
      </w:r>
    </w:p>
  </w:endnote>
  <w:endnote w:type="continuationSeparator" w:id="0">
    <w:p w14:paraId="58F1EB15" w14:textId="77777777" w:rsidR="00CC7121" w:rsidRDefault="00CC7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6727" w14:textId="77777777" w:rsidR="00CC7121" w:rsidRDefault="00CC7121">
      <w:pPr>
        <w:spacing w:line="240" w:lineRule="auto"/>
      </w:pPr>
      <w:r>
        <w:separator/>
      </w:r>
    </w:p>
  </w:footnote>
  <w:footnote w:type="continuationSeparator" w:id="0">
    <w:p w14:paraId="2FFDB6EB" w14:textId="77777777" w:rsidR="00CC7121" w:rsidRDefault="00CC71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B20F" w14:textId="77777777" w:rsidR="006B5B5E" w:rsidRDefault="0071781F">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640F7180" wp14:editId="3F8220A7">
          <wp:extent cx="1776095" cy="798195"/>
          <wp:effectExtent l="0" t="0" r="0" b="0"/>
          <wp:docPr id="6" name="image1.png" descr="Logo_CORR 1"/>
          <wp:cNvGraphicFramePr/>
          <a:graphic xmlns:a="http://schemas.openxmlformats.org/drawingml/2006/main">
            <a:graphicData uri="http://schemas.openxmlformats.org/drawingml/2006/picture">
              <pic:pic xmlns:pic="http://schemas.openxmlformats.org/drawingml/2006/picture">
                <pic:nvPicPr>
                  <pic:cNvPr id="0" name="image1.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5E"/>
    <w:rsid w:val="00021C5C"/>
    <w:rsid w:val="002E53D1"/>
    <w:rsid w:val="003601E2"/>
    <w:rsid w:val="004C236C"/>
    <w:rsid w:val="00616CEF"/>
    <w:rsid w:val="00675BAD"/>
    <w:rsid w:val="006B5B5E"/>
    <w:rsid w:val="0071781F"/>
    <w:rsid w:val="00966032"/>
    <w:rsid w:val="00A21ECD"/>
    <w:rsid w:val="00C524C4"/>
    <w:rsid w:val="00CC7121"/>
    <w:rsid w:val="00D73CA6"/>
    <w:rsid w:val="00DC154B"/>
    <w:rsid w:val="00F02614"/>
    <w:rsid w:val="00F57A7B"/>
    <w:rsid w:val="00FB70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FEAC"/>
  <w15:docId w15:val="{7B2E663B-31C8-4119-BF3D-F7E66601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leNormal0">
    <w:name w:val="Table Normal"/>
    <w:qFormat/>
    <w:tblPr>
      <w:tblCellMar>
        <w:top w:w="0" w:type="dxa"/>
        <w:left w:w="0" w:type="dxa"/>
        <w:bottom w:w="0" w:type="dxa"/>
        <w:right w:w="0" w:type="dxa"/>
      </w:tblCellMar>
    </w:tblPr>
  </w:style>
  <w:style w:type="paragraph" w:styleId="NormalWeb">
    <w:name w:val="Normal (Web)"/>
    <w:basedOn w:val="Normal"/>
    <w:uiPriority w:val="99"/>
    <w:unhideWhenUsed/>
    <w:rsid w:val="00F028E9"/>
    <w:pPr>
      <w:spacing w:before="100" w:beforeAutospacing="1" w:after="100" w:afterAutospacing="1" w:line="240" w:lineRule="auto"/>
    </w:pPr>
    <w:rPr>
      <w:rFonts w:ascii="Times New Roman" w:eastAsia="Times New Roman" w:hAnsi="Times New Roman" w:cs="Times New Roman"/>
      <w:sz w:val="24"/>
      <w:szCs w:val="24"/>
      <w:lang w:val="pt-BR"/>
    </w:rPr>
  </w:style>
  <w:style w:type="character" w:customStyle="1" w:styleId="apple-tab-span">
    <w:name w:val="apple-tab-span"/>
    <w:basedOn w:val="Fontepargpadro"/>
    <w:rsid w:val="00F028E9"/>
  </w:style>
  <w:style w:type="character" w:styleId="nfase">
    <w:name w:val="Emphasis"/>
    <w:basedOn w:val="Fontepargpadro"/>
    <w:uiPriority w:val="20"/>
    <w:qFormat/>
    <w:rsid w:val="00737FBC"/>
    <w:rPr>
      <w:i/>
      <w:iCs/>
    </w:rPr>
  </w:style>
  <w:style w:type="paragraph" w:styleId="Reviso">
    <w:name w:val="Revision"/>
    <w:hidden/>
    <w:uiPriority w:val="99"/>
    <w:unhideWhenUsed/>
    <w:rsid w:val="000308BB"/>
    <w:rPr>
      <w:lang w:val="zh-CN"/>
    </w:rPr>
  </w:style>
  <w:style w:type="character" w:styleId="Refdecomentrio">
    <w:name w:val="annotation reference"/>
    <w:basedOn w:val="Fontepargpadro"/>
    <w:rsid w:val="000308BB"/>
    <w:rPr>
      <w:sz w:val="16"/>
      <w:szCs w:val="16"/>
    </w:rPr>
  </w:style>
  <w:style w:type="paragraph" w:styleId="Textodecomentrio">
    <w:name w:val="annotation text"/>
    <w:basedOn w:val="Normal"/>
    <w:link w:val="TextodecomentrioChar"/>
    <w:rsid w:val="000308BB"/>
    <w:pPr>
      <w:spacing w:line="240" w:lineRule="auto"/>
    </w:pPr>
    <w:rPr>
      <w:sz w:val="20"/>
      <w:szCs w:val="20"/>
    </w:rPr>
  </w:style>
  <w:style w:type="character" w:customStyle="1" w:styleId="TextodecomentrioChar">
    <w:name w:val="Texto de comentário Char"/>
    <w:basedOn w:val="Fontepargpadro"/>
    <w:link w:val="Textodecomentrio"/>
    <w:rsid w:val="000308BB"/>
    <w:rPr>
      <w:lang w:val="zh-CN"/>
    </w:rPr>
  </w:style>
  <w:style w:type="paragraph" w:styleId="Assuntodocomentrio">
    <w:name w:val="annotation subject"/>
    <w:basedOn w:val="Textodecomentrio"/>
    <w:next w:val="Textodecomentrio"/>
    <w:link w:val="AssuntodocomentrioChar"/>
    <w:rsid w:val="000308BB"/>
    <w:rPr>
      <w:b/>
      <w:bCs/>
    </w:rPr>
  </w:style>
  <w:style w:type="character" w:customStyle="1" w:styleId="AssuntodocomentrioChar">
    <w:name w:val="Assunto do comentário Char"/>
    <w:basedOn w:val="TextodecomentrioChar"/>
    <w:link w:val="Assuntodocomentrio"/>
    <w:rsid w:val="000308BB"/>
    <w:rPr>
      <w:b/>
      <w:bCs/>
      <w:lang w:val="zh-C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6YuT8QuoXYX3VhbG94+c+PChA==">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1504</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8</cp:revision>
  <dcterms:created xsi:type="dcterms:W3CDTF">2023-09-22T22:44:00Z</dcterms:created>
  <dcterms:modified xsi:type="dcterms:W3CDTF">2023-09-22T22:51:00Z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