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7D4015" w14:textId="77777777" w:rsidR="00B555C8" w:rsidRDefault="00B555C8">
      <w:pPr>
        <w:spacing w:line="240" w:lineRule="auto"/>
        <w:jc w:val="both"/>
        <w:rPr>
          <w:rFonts w:eastAsia="Times New Roman"/>
          <w:b/>
          <w:sz w:val="20"/>
          <w:szCs w:val="20"/>
        </w:rPr>
      </w:pPr>
      <w:bookmarkStart w:id="0" w:name="_gjdgxs" w:colFirst="0" w:colLast="0"/>
      <w:bookmarkStart w:id="1" w:name="_GoBack"/>
      <w:bookmarkEnd w:id="0"/>
    </w:p>
    <w:bookmarkEnd w:id="1"/>
    <w:p w14:paraId="7510125C" w14:textId="380B0471" w:rsidR="00B555C8" w:rsidRDefault="00337C0D">
      <w:pPr>
        <w:spacing w:line="240" w:lineRule="auto"/>
        <w:jc w:val="both"/>
        <w:rPr>
          <w:rFonts w:eastAsia="Times New Roman"/>
          <w:b/>
          <w:sz w:val="20"/>
          <w:szCs w:val="20"/>
          <w:lang w:val="pt-BR"/>
        </w:rPr>
      </w:pPr>
      <w:r>
        <w:rPr>
          <w:rFonts w:eastAsia="Times New Roman"/>
          <w:b/>
          <w:sz w:val="20"/>
          <w:szCs w:val="20"/>
          <w:lang w:val="pt-BR"/>
        </w:rPr>
        <w:t>ARÉA TEMÁTICA:</w:t>
      </w:r>
      <w:r w:rsidR="004E78FC">
        <w:rPr>
          <w:rFonts w:eastAsia="Times New Roman"/>
          <w:b/>
          <w:sz w:val="20"/>
          <w:szCs w:val="20"/>
          <w:lang w:val="pt-BR"/>
        </w:rPr>
        <w:t xml:space="preserve"> Taxonomia </w:t>
      </w:r>
    </w:p>
    <w:p w14:paraId="049D3E20" w14:textId="19B6260A" w:rsidR="00B555C8" w:rsidRDefault="00337C0D">
      <w:pPr>
        <w:spacing w:line="240" w:lineRule="auto"/>
        <w:jc w:val="both"/>
        <w:rPr>
          <w:rFonts w:eastAsia="Times New Roman"/>
          <w:b/>
          <w:sz w:val="20"/>
          <w:szCs w:val="20"/>
          <w:lang w:val="pt-BR"/>
        </w:rPr>
      </w:pPr>
      <w:r>
        <w:rPr>
          <w:rFonts w:eastAsia="Times New Roman"/>
          <w:b/>
          <w:sz w:val="20"/>
          <w:szCs w:val="20"/>
          <w:lang w:val="pt-BR"/>
        </w:rPr>
        <w:t>SUBÁREA TEMÁTICA:</w:t>
      </w:r>
      <w:r w:rsidR="004E78FC">
        <w:rPr>
          <w:rFonts w:eastAsia="Times New Roman"/>
          <w:b/>
          <w:sz w:val="20"/>
          <w:szCs w:val="20"/>
          <w:lang w:val="pt-BR"/>
        </w:rPr>
        <w:t xml:space="preserve"> Vertebrados</w:t>
      </w:r>
    </w:p>
    <w:p w14:paraId="1F64F7EA" w14:textId="77777777" w:rsidR="00B555C8" w:rsidRDefault="00B555C8">
      <w:pPr>
        <w:spacing w:line="240" w:lineRule="auto"/>
        <w:jc w:val="both"/>
        <w:rPr>
          <w:rFonts w:eastAsia="Times New Roman"/>
          <w:b/>
          <w:sz w:val="20"/>
          <w:szCs w:val="20"/>
        </w:rPr>
      </w:pPr>
    </w:p>
    <w:p w14:paraId="7F879EE0" w14:textId="77777777" w:rsidR="00B555C8" w:rsidRDefault="00B555C8">
      <w:pPr>
        <w:spacing w:line="240" w:lineRule="auto"/>
        <w:jc w:val="center"/>
        <w:rPr>
          <w:rFonts w:eastAsia="Times New Roman"/>
          <w:b/>
          <w:sz w:val="20"/>
          <w:szCs w:val="20"/>
        </w:rPr>
      </w:pPr>
    </w:p>
    <w:p w14:paraId="5A027CD9" w14:textId="77777777" w:rsidR="004E78FC" w:rsidRPr="004E78FC" w:rsidRDefault="004E78FC" w:rsidP="004E78FC">
      <w:pPr>
        <w:spacing w:line="240" w:lineRule="auto"/>
        <w:jc w:val="center"/>
        <w:rPr>
          <w:rFonts w:eastAsia="Times New Roman"/>
          <w:b/>
          <w:sz w:val="20"/>
          <w:szCs w:val="20"/>
        </w:rPr>
      </w:pPr>
      <w:r w:rsidRPr="004E78FC">
        <w:rPr>
          <w:rFonts w:eastAsia="Times New Roman"/>
          <w:b/>
          <w:sz w:val="20"/>
          <w:szCs w:val="20"/>
        </w:rPr>
        <w:t xml:space="preserve">MORFOLOGIA DE GIRINOS </w:t>
      </w:r>
      <w:r w:rsidRPr="004E78FC">
        <w:rPr>
          <w:rFonts w:eastAsia="Times New Roman"/>
          <w:b/>
          <w:i/>
          <w:sz w:val="20"/>
          <w:szCs w:val="20"/>
        </w:rPr>
        <w:t>Dendropsophus minutus</w:t>
      </w:r>
      <w:r w:rsidRPr="004E78FC">
        <w:rPr>
          <w:rFonts w:eastAsia="Times New Roman"/>
          <w:b/>
          <w:sz w:val="20"/>
          <w:szCs w:val="20"/>
        </w:rPr>
        <w:t xml:space="preserve"> NO ESTÁGIO 37</w:t>
      </w:r>
    </w:p>
    <w:p w14:paraId="07198180" w14:textId="77777777" w:rsidR="00B555C8" w:rsidRDefault="00B555C8">
      <w:pPr>
        <w:spacing w:line="240" w:lineRule="auto"/>
        <w:jc w:val="center"/>
        <w:rPr>
          <w:rFonts w:eastAsia="Times New Roman"/>
          <w:b/>
          <w:sz w:val="20"/>
          <w:szCs w:val="20"/>
        </w:rPr>
      </w:pPr>
    </w:p>
    <w:p w14:paraId="11BB1A96" w14:textId="77777777" w:rsidR="004E78FC" w:rsidRPr="001A7F01" w:rsidRDefault="004E78FC" w:rsidP="004E78FC">
      <w:pPr>
        <w:spacing w:line="240" w:lineRule="auto"/>
        <w:jc w:val="center"/>
        <w:rPr>
          <w:sz w:val="20"/>
          <w:szCs w:val="20"/>
        </w:rPr>
      </w:pPr>
      <w:r w:rsidRPr="001A7F01">
        <w:rPr>
          <w:sz w:val="20"/>
          <w:szCs w:val="20"/>
        </w:rPr>
        <w:t>Clara de Sousa Leal Reis</w:t>
      </w:r>
      <w:r w:rsidRPr="001A7F01">
        <w:rPr>
          <w:sz w:val="20"/>
          <w:szCs w:val="20"/>
          <w:vertAlign w:val="superscript"/>
        </w:rPr>
        <w:t>1</w:t>
      </w:r>
      <w:r w:rsidRPr="001A7F01">
        <w:rPr>
          <w:sz w:val="20"/>
          <w:szCs w:val="20"/>
        </w:rPr>
        <w:t>, Diogo Rodrigues de Oliveira</w:t>
      </w:r>
      <w:r w:rsidRPr="001A7F01">
        <w:rPr>
          <w:sz w:val="20"/>
          <w:szCs w:val="20"/>
          <w:vertAlign w:val="superscript"/>
        </w:rPr>
        <w:t>1</w:t>
      </w:r>
      <w:r w:rsidRPr="001A7F01">
        <w:rPr>
          <w:sz w:val="20"/>
          <w:szCs w:val="20"/>
        </w:rPr>
        <w:t>, Nathannael Ribeiro Cardoso Beirão</w:t>
      </w:r>
      <w:r w:rsidRPr="001A7F01">
        <w:rPr>
          <w:sz w:val="20"/>
          <w:szCs w:val="20"/>
          <w:vertAlign w:val="superscript"/>
        </w:rPr>
        <w:t>1</w:t>
      </w:r>
      <w:r w:rsidRPr="001A7F01">
        <w:rPr>
          <w:sz w:val="20"/>
          <w:szCs w:val="20"/>
        </w:rPr>
        <w:t>, Joara de Sousa Andrade</w:t>
      </w:r>
      <w:hyperlink r:id="rId6">
        <w:r w:rsidRPr="001A7F01">
          <w:rPr>
            <w:color w:val="000000"/>
            <w:sz w:val="20"/>
            <w:szCs w:val="20"/>
            <w:vertAlign w:val="superscript"/>
          </w:rPr>
          <w:t>1</w:t>
        </w:r>
      </w:hyperlink>
      <w:hyperlink r:id="rId7">
        <w:r w:rsidRPr="001A7F01">
          <w:rPr>
            <w:color w:val="000000"/>
            <w:sz w:val="20"/>
            <w:szCs w:val="20"/>
          </w:rPr>
          <w:t>, Diogo Brunno e Silva Barbosa</w:t>
        </w:r>
      </w:hyperlink>
      <w:hyperlink r:id="rId8">
        <w:r w:rsidRPr="001A7F01">
          <w:rPr>
            <w:color w:val="000000"/>
            <w:sz w:val="20"/>
            <w:szCs w:val="20"/>
            <w:vertAlign w:val="superscript"/>
          </w:rPr>
          <w:t>1</w:t>
        </w:r>
      </w:hyperlink>
      <w:hyperlink r:id="rId9">
        <w:r w:rsidRPr="001A7F01">
          <w:rPr>
            <w:color w:val="000000"/>
            <w:sz w:val="20"/>
            <w:szCs w:val="20"/>
          </w:rPr>
          <w:t>, Mauro Sérgio Cruz Souza Lima</w:t>
        </w:r>
      </w:hyperlink>
      <w:hyperlink r:id="rId10">
        <w:r w:rsidRPr="001A7F01">
          <w:rPr>
            <w:color w:val="000000"/>
            <w:sz w:val="20"/>
            <w:szCs w:val="20"/>
            <w:vertAlign w:val="superscript"/>
          </w:rPr>
          <w:t xml:space="preserve">1, </w:t>
        </w:r>
      </w:hyperlink>
      <w:hyperlink r:id="rId11">
        <w:r w:rsidRPr="001A7F01">
          <w:rPr>
            <w:color w:val="000000"/>
            <w:sz w:val="20"/>
            <w:szCs w:val="20"/>
          </w:rPr>
          <w:t>Maria Vitória da Silva Ramos</w:t>
        </w:r>
      </w:hyperlink>
      <w:hyperlink r:id="rId12">
        <w:r w:rsidRPr="001A7F01">
          <w:rPr>
            <w:color w:val="000000"/>
            <w:sz w:val="20"/>
            <w:szCs w:val="20"/>
            <w:vertAlign w:val="superscript"/>
          </w:rPr>
          <w:t xml:space="preserve">1 </w:t>
        </w:r>
      </w:hyperlink>
      <w:r w:rsidRPr="001A7F01">
        <w:rPr>
          <w:sz w:val="20"/>
          <w:szCs w:val="20"/>
        </w:rPr>
        <w:fldChar w:fldCharType="begin"/>
      </w:r>
      <w:r w:rsidRPr="001A7F01">
        <w:rPr>
          <w:sz w:val="20"/>
          <w:szCs w:val="20"/>
        </w:rPr>
        <w:instrText xml:space="preserve"> HYPERLINK "https://symbl.cc/pt/2074/" </w:instrText>
      </w:r>
      <w:r w:rsidRPr="001A7F01">
        <w:rPr>
          <w:sz w:val="20"/>
          <w:szCs w:val="20"/>
        </w:rPr>
        <w:fldChar w:fldCharType="separate"/>
      </w:r>
    </w:p>
    <w:p w14:paraId="5AB65C81" w14:textId="77777777" w:rsidR="004E78FC" w:rsidRPr="001A7F01" w:rsidRDefault="004E78FC" w:rsidP="004E78FC">
      <w:pPr>
        <w:spacing w:line="240" w:lineRule="auto"/>
        <w:jc w:val="center"/>
        <w:rPr>
          <w:color w:val="000000"/>
          <w:sz w:val="20"/>
          <w:szCs w:val="20"/>
        </w:rPr>
      </w:pPr>
      <w:r w:rsidRPr="001A7F01">
        <w:rPr>
          <w:sz w:val="20"/>
          <w:szCs w:val="20"/>
        </w:rPr>
        <w:fldChar w:fldCharType="end"/>
      </w:r>
      <w:r w:rsidRPr="001A7F01">
        <w:rPr>
          <w:sz w:val="20"/>
          <w:szCs w:val="20"/>
          <w:vertAlign w:val="superscript"/>
        </w:rPr>
        <w:t>1</w:t>
      </w:r>
      <w:r w:rsidRPr="001A7F01">
        <w:rPr>
          <w:sz w:val="20"/>
          <w:szCs w:val="20"/>
        </w:rPr>
        <w:t xml:space="preserve"> Universidade Federal do Piauí (UFPI), Campus Amilcar Ferreira Sobral. E-mail (Clara de Sousa Leal Reis): </w:t>
      </w:r>
      <w:hyperlink r:id="rId13">
        <w:r w:rsidRPr="001A7F01">
          <w:rPr>
            <w:color w:val="000000"/>
            <w:sz w:val="20"/>
            <w:szCs w:val="20"/>
          </w:rPr>
          <w:t>clarareis@ufpi.edu.br</w:t>
        </w:r>
      </w:hyperlink>
    </w:p>
    <w:p w14:paraId="145FDCE2" w14:textId="78CC8FD2" w:rsidR="00B555C8" w:rsidRDefault="00B555C8" w:rsidP="004E78FC">
      <w:pPr>
        <w:spacing w:line="240" w:lineRule="auto"/>
        <w:jc w:val="center"/>
        <w:rPr>
          <w:rFonts w:eastAsia="Times New Roman"/>
          <w:sz w:val="20"/>
          <w:szCs w:val="20"/>
        </w:rPr>
      </w:pPr>
    </w:p>
    <w:p w14:paraId="3CA97350" w14:textId="77777777" w:rsidR="00B555C8" w:rsidRDefault="00B555C8">
      <w:pPr>
        <w:spacing w:line="240" w:lineRule="auto"/>
        <w:rPr>
          <w:rFonts w:eastAsia="Times New Roman"/>
          <w:b/>
          <w:sz w:val="20"/>
          <w:szCs w:val="20"/>
        </w:rPr>
      </w:pPr>
    </w:p>
    <w:p w14:paraId="2F42EB8E" w14:textId="77777777" w:rsidR="004E78FC" w:rsidRDefault="00337C0D" w:rsidP="004E78FC">
      <w:pPr>
        <w:spacing w:line="240" w:lineRule="auto"/>
        <w:rPr>
          <w:b/>
          <w:sz w:val="20"/>
          <w:szCs w:val="20"/>
          <w:lang w:eastAsia="zh-CN"/>
        </w:rPr>
      </w:pPr>
      <w:r>
        <w:rPr>
          <w:rFonts w:eastAsia="Times New Roman"/>
          <w:b/>
          <w:sz w:val="20"/>
          <w:szCs w:val="20"/>
        </w:rPr>
        <w:t>INTRODUÇÃO</w:t>
      </w:r>
    </w:p>
    <w:p w14:paraId="620471DD" w14:textId="355373FD" w:rsidR="004E78FC" w:rsidRPr="004E78FC" w:rsidRDefault="004E78FC" w:rsidP="00004E82">
      <w:pPr>
        <w:spacing w:line="240" w:lineRule="auto"/>
        <w:ind w:firstLine="720"/>
        <w:rPr>
          <w:rFonts w:eastAsia="Times New Roman"/>
          <w:b/>
          <w:sz w:val="20"/>
          <w:szCs w:val="20"/>
        </w:rPr>
      </w:pPr>
      <w:r w:rsidRPr="009E51FD">
        <w:rPr>
          <w:color w:val="000000" w:themeColor="text1"/>
          <w:sz w:val="20"/>
          <w:szCs w:val="20"/>
        </w:rPr>
        <w:t xml:space="preserve">Os anfíbios possuem uma alta diversidade dentre os vertebrados, principalmente no Brasil. Dentro dessa cadeia existe a ordem Anura, que engloba sapos, rãs e pererecas (Pough, Janis, Heiser, 2008). Essa diversidade se dá pela complexidade da reprodução e os fatores que também podem alterá-la (fatores ambientais, morfológicos e fisiológicos) (Toledo </w:t>
      </w:r>
      <w:r w:rsidRPr="009E51FD">
        <w:rPr>
          <w:i/>
          <w:color w:val="000000" w:themeColor="text1"/>
          <w:sz w:val="20"/>
          <w:szCs w:val="20"/>
        </w:rPr>
        <w:t>et al</w:t>
      </w:r>
      <w:r w:rsidRPr="009E51FD">
        <w:rPr>
          <w:color w:val="000000" w:themeColor="text1"/>
          <w:sz w:val="20"/>
          <w:szCs w:val="20"/>
        </w:rPr>
        <w:t xml:space="preserve">., 2006; Leivas </w:t>
      </w:r>
      <w:r w:rsidRPr="009E51FD">
        <w:rPr>
          <w:i/>
          <w:color w:val="000000" w:themeColor="text1"/>
          <w:sz w:val="20"/>
          <w:szCs w:val="20"/>
        </w:rPr>
        <w:t>et al</w:t>
      </w:r>
      <w:r w:rsidRPr="009E51FD">
        <w:rPr>
          <w:color w:val="000000" w:themeColor="text1"/>
          <w:sz w:val="20"/>
          <w:szCs w:val="20"/>
        </w:rPr>
        <w:t>., 2012).</w:t>
      </w:r>
    </w:p>
    <w:p w14:paraId="3F7486B3" w14:textId="77777777" w:rsidR="004E78FC" w:rsidRDefault="004E78FC" w:rsidP="004E78FC">
      <w:pPr>
        <w:spacing w:line="240" w:lineRule="auto"/>
        <w:jc w:val="both"/>
        <w:rPr>
          <w:color w:val="000000" w:themeColor="text1"/>
          <w:sz w:val="20"/>
          <w:szCs w:val="20"/>
        </w:rPr>
      </w:pPr>
    </w:p>
    <w:p w14:paraId="30FA52A1" w14:textId="338EE35B" w:rsidR="004E78FC" w:rsidRDefault="004E78FC" w:rsidP="004E78FC">
      <w:pPr>
        <w:spacing w:line="240" w:lineRule="auto"/>
        <w:ind w:firstLine="720"/>
        <w:jc w:val="both"/>
        <w:rPr>
          <w:sz w:val="20"/>
          <w:szCs w:val="20"/>
          <w:lang w:val="pt-BR"/>
        </w:rPr>
      </w:pPr>
      <w:r w:rsidRPr="00074BA3">
        <w:rPr>
          <w:sz w:val="20"/>
          <w:szCs w:val="20"/>
        </w:rPr>
        <w:t xml:space="preserve">A família dos Anuros com maior riqueza de espécies é a Hylidae, incluindo as pererecas, que são encontradas em todo o mundo com exceção da Antártida </w:t>
      </w:r>
      <w:bookmarkStart w:id="2" w:name="bookmark=id.1fob9te" w:colFirst="0" w:colLast="0"/>
      <w:bookmarkEnd w:id="2"/>
      <w:r w:rsidRPr="00074BA3">
        <w:rPr>
          <w:sz w:val="20"/>
          <w:szCs w:val="20"/>
        </w:rPr>
        <w:t xml:space="preserve">(AmphibiaWeb, 2010). Nessa subcategoria </w:t>
      </w:r>
      <w:r w:rsidRPr="00074BA3">
        <w:rPr>
          <w:sz w:val="20"/>
          <w:szCs w:val="20"/>
          <w:lang w:val="pt-BR"/>
        </w:rPr>
        <w:t>existe</w:t>
      </w:r>
      <w:r w:rsidRPr="00074BA3">
        <w:rPr>
          <w:sz w:val="20"/>
          <w:szCs w:val="20"/>
        </w:rPr>
        <w:t xml:space="preserve"> a espécie </w:t>
      </w:r>
      <w:r w:rsidRPr="00074BA3">
        <w:rPr>
          <w:rFonts w:hint="eastAsia"/>
          <w:sz w:val="20"/>
          <w:szCs w:val="20"/>
        </w:rPr>
        <w:t xml:space="preserve">a </w:t>
      </w:r>
      <w:r>
        <w:rPr>
          <w:sz w:val="20"/>
          <w:szCs w:val="20"/>
          <w:lang w:val="pt-BR"/>
        </w:rPr>
        <w:t>ser</w:t>
      </w:r>
      <w:r w:rsidRPr="00074BA3">
        <w:rPr>
          <w:sz w:val="20"/>
          <w:szCs w:val="20"/>
          <w:lang w:val="pt-BR"/>
        </w:rPr>
        <w:t xml:space="preserve"> abordada</w:t>
      </w:r>
      <w:r w:rsidRPr="00074BA3">
        <w:rPr>
          <w:rFonts w:hint="eastAsia"/>
          <w:sz w:val="20"/>
          <w:szCs w:val="20"/>
        </w:rPr>
        <w:t xml:space="preserve">, </w:t>
      </w:r>
      <w:r w:rsidRPr="00074BA3">
        <w:rPr>
          <w:sz w:val="20"/>
          <w:szCs w:val="20"/>
          <w:lang w:val="pt-BR"/>
        </w:rPr>
        <w:t>o</w:t>
      </w:r>
      <w:r w:rsidRPr="00074BA3">
        <w:rPr>
          <w:sz w:val="20"/>
          <w:szCs w:val="20"/>
        </w:rPr>
        <w:t xml:space="preserve"> </w:t>
      </w:r>
      <w:r w:rsidRPr="00074BA3">
        <w:rPr>
          <w:i/>
          <w:sz w:val="20"/>
          <w:szCs w:val="20"/>
        </w:rPr>
        <w:t>Dendropsophus minutus.</w:t>
      </w:r>
      <w:r w:rsidRPr="00074BA3">
        <w:rPr>
          <w:i/>
          <w:sz w:val="20"/>
          <w:szCs w:val="20"/>
          <w:lang w:val="pt-BR"/>
        </w:rPr>
        <w:t xml:space="preserve"> </w:t>
      </w:r>
      <w:r w:rsidRPr="00074BA3">
        <w:rPr>
          <w:sz w:val="20"/>
          <w:szCs w:val="20"/>
        </w:rPr>
        <w:t xml:space="preserve">Este respectivo gênero de </w:t>
      </w:r>
      <w:sdt>
        <w:sdtPr>
          <w:rPr>
            <w:sz w:val="20"/>
            <w:szCs w:val="20"/>
          </w:rPr>
          <w:tag w:val="goog_rdk_6"/>
          <w:id w:val="-2083980716"/>
        </w:sdtPr>
        <w:sdtContent/>
      </w:sdt>
      <w:r w:rsidRPr="00074BA3">
        <w:rPr>
          <w:sz w:val="20"/>
          <w:szCs w:val="20"/>
        </w:rPr>
        <w:t>anuros</w:t>
      </w:r>
      <w:sdt>
        <w:sdtPr>
          <w:rPr>
            <w:sz w:val="20"/>
            <w:szCs w:val="20"/>
          </w:rPr>
          <w:tag w:val="goog_rdk_7"/>
          <w:id w:val="-642587948"/>
          <w:showingPlcHdr/>
        </w:sdtPr>
        <w:sdtContent>
          <w:r>
            <w:rPr>
              <w:sz w:val="20"/>
              <w:szCs w:val="20"/>
            </w:rPr>
            <w:t xml:space="preserve">     </w:t>
          </w:r>
        </w:sdtContent>
      </w:sdt>
      <w:r w:rsidRPr="00074BA3">
        <w:rPr>
          <w:sz w:val="20"/>
          <w:szCs w:val="20"/>
        </w:rPr>
        <w:t xml:space="preserve"> com 57 espécies</w:t>
      </w:r>
      <w:sdt>
        <w:sdtPr>
          <w:rPr>
            <w:sz w:val="20"/>
            <w:szCs w:val="20"/>
          </w:rPr>
          <w:tag w:val="goog_rdk_8"/>
          <w:id w:val="1375120203"/>
        </w:sdtPr>
        <w:sdtContent>
          <w:r w:rsidRPr="00074BA3">
            <w:rPr>
              <w:sz w:val="20"/>
              <w:szCs w:val="20"/>
            </w:rPr>
            <w:t>,</w:t>
          </w:r>
        </w:sdtContent>
      </w:sdt>
      <w:r w:rsidRPr="00074BA3">
        <w:rPr>
          <w:sz w:val="20"/>
          <w:szCs w:val="20"/>
        </w:rPr>
        <w:t xml:space="preserve"> têm </w:t>
      </w:r>
      <w:sdt>
        <w:sdtPr>
          <w:rPr>
            <w:sz w:val="20"/>
            <w:szCs w:val="20"/>
          </w:rPr>
          <w:tag w:val="goog_rdk_9"/>
          <w:id w:val="-1069651500"/>
        </w:sdtPr>
        <w:sdtContent/>
      </w:sdt>
      <w:r w:rsidRPr="00074BA3">
        <w:rPr>
          <w:sz w:val="20"/>
          <w:szCs w:val="20"/>
        </w:rPr>
        <w:t>característica</w:t>
      </w:r>
      <w:r w:rsidRPr="00074BA3">
        <w:rPr>
          <w:sz w:val="20"/>
          <w:szCs w:val="20"/>
          <w:lang w:val="pt-BR"/>
        </w:rPr>
        <w:t>s</w:t>
      </w:r>
      <w:r w:rsidRPr="00074BA3">
        <w:rPr>
          <w:sz w:val="20"/>
          <w:szCs w:val="20"/>
        </w:rPr>
        <w:t xml:space="preserve"> em comum, no entanto, em decorrência da linhagem de </w:t>
      </w:r>
      <w:r w:rsidRPr="00074BA3">
        <w:rPr>
          <w:i/>
          <w:sz w:val="20"/>
          <w:szCs w:val="20"/>
        </w:rPr>
        <w:t>D.minutus</w:t>
      </w:r>
      <w:r w:rsidRPr="00074BA3">
        <w:rPr>
          <w:sz w:val="20"/>
          <w:szCs w:val="20"/>
        </w:rPr>
        <w:t>, algu</w:t>
      </w:r>
      <w:r w:rsidRPr="00074BA3">
        <w:rPr>
          <w:rFonts w:hint="eastAsia"/>
          <w:sz w:val="20"/>
          <w:szCs w:val="20"/>
        </w:rPr>
        <w:t>ma</w:t>
      </w:r>
      <w:r w:rsidRPr="00074BA3">
        <w:rPr>
          <w:sz w:val="20"/>
          <w:szCs w:val="20"/>
          <w:lang w:val="pt-BR"/>
        </w:rPr>
        <w:t>s</w:t>
      </w:r>
      <w:r w:rsidRPr="00074BA3">
        <w:rPr>
          <w:sz w:val="20"/>
          <w:szCs w:val="20"/>
        </w:rPr>
        <w:t xml:space="preserve"> características morfológicas variam entre populações, estas polimorfias também podem variar com a mudança de estágios e início da vida adulta (Schulze </w:t>
      </w:r>
      <w:r w:rsidRPr="00074BA3">
        <w:rPr>
          <w:i/>
          <w:sz w:val="20"/>
          <w:szCs w:val="20"/>
        </w:rPr>
        <w:t>et al</w:t>
      </w:r>
      <w:r w:rsidRPr="00074BA3">
        <w:rPr>
          <w:sz w:val="20"/>
          <w:szCs w:val="20"/>
        </w:rPr>
        <w:t>., 2015)</w:t>
      </w:r>
      <w:r w:rsidRPr="00074BA3">
        <w:rPr>
          <w:sz w:val="20"/>
          <w:szCs w:val="20"/>
          <w:lang w:val="pt-BR"/>
        </w:rPr>
        <w:t>.</w:t>
      </w:r>
    </w:p>
    <w:p w14:paraId="62ECDC63" w14:textId="77777777" w:rsidR="004E78FC" w:rsidRDefault="004E78FC" w:rsidP="004E78FC">
      <w:pPr>
        <w:spacing w:line="240" w:lineRule="auto"/>
        <w:jc w:val="both"/>
        <w:rPr>
          <w:sz w:val="20"/>
          <w:szCs w:val="20"/>
          <w:lang w:val="pt-BR"/>
        </w:rPr>
      </w:pPr>
    </w:p>
    <w:p w14:paraId="7440E865" w14:textId="77777777" w:rsidR="004E78FC" w:rsidRDefault="004E78FC" w:rsidP="004E78FC">
      <w:pPr>
        <w:spacing w:line="240" w:lineRule="auto"/>
        <w:ind w:firstLine="720"/>
        <w:jc w:val="both"/>
        <w:rPr>
          <w:sz w:val="20"/>
          <w:szCs w:val="20"/>
          <w:lang w:val="pt-BR"/>
        </w:rPr>
      </w:pPr>
      <w:r>
        <w:rPr>
          <w:sz w:val="20"/>
          <w:szCs w:val="20"/>
        </w:rPr>
        <w:t>Na forma adulta,</w:t>
      </w:r>
      <w:r>
        <w:rPr>
          <w:i/>
          <w:sz w:val="20"/>
          <w:szCs w:val="20"/>
        </w:rPr>
        <w:t xml:space="preserve"> D. minutus</w:t>
      </w:r>
      <w:r>
        <w:rPr>
          <w:sz w:val="20"/>
          <w:szCs w:val="20"/>
        </w:rPr>
        <w:t xml:space="preserve"> pode atingir cerca de 2 cm, podendo variar da </w:t>
      </w:r>
      <w:sdt>
        <w:sdtPr>
          <w:tag w:val="goog_rdk_3"/>
          <w:id w:val="1047261388"/>
        </w:sdtPr>
        <w:sdtContent/>
      </w:sdt>
      <w:r>
        <w:rPr>
          <w:sz w:val="20"/>
          <w:szCs w:val="20"/>
        </w:rPr>
        <w:t>coloração marrom à amarela</w:t>
      </w:r>
      <w:r>
        <w:rPr>
          <w:sz w:val="20"/>
          <w:szCs w:val="20"/>
          <w:lang w:val="pt-BR"/>
        </w:rPr>
        <w:t xml:space="preserve"> </w:t>
      </w:r>
      <w:r>
        <w:rPr>
          <w:sz w:val="20"/>
          <w:szCs w:val="20"/>
        </w:rPr>
        <w:t>(</w:t>
      </w:r>
      <w:r>
        <w:rPr>
          <w:sz w:val="20"/>
          <w:szCs w:val="20"/>
          <w:lang w:val="pt-BR"/>
        </w:rPr>
        <w:t>mais comumente marrom)</w:t>
      </w:r>
      <w:sdt>
        <w:sdtPr>
          <w:tag w:val="goog_rdk_5"/>
          <w:id w:val="-64040197"/>
        </w:sdtPr>
        <w:sdtContent>
          <w:sdt>
            <w:sdtPr>
              <w:tag w:val="goog_rdk_4"/>
              <w:id w:val="-1544053126"/>
            </w:sdtPr>
            <w:sdtContent>
              <w:r>
                <w:rPr>
                  <w:sz w:val="20"/>
                  <w:szCs w:val="20"/>
                </w:rPr>
                <w:t>,</w:t>
              </w:r>
            </w:sdtContent>
          </w:sdt>
        </w:sdtContent>
      </w:sdt>
      <w:r>
        <w:rPr>
          <w:sz w:val="20"/>
          <w:szCs w:val="20"/>
        </w:rPr>
        <w:t xml:space="preserve"> com olhos posicionados lateralmente. </w:t>
      </w:r>
      <w:r>
        <w:rPr>
          <w:sz w:val="20"/>
          <w:szCs w:val="20"/>
          <w:lang w:val="pt-BR"/>
        </w:rPr>
        <w:t>F</w:t>
      </w:r>
      <w:r>
        <w:rPr>
          <w:sz w:val="20"/>
          <w:szCs w:val="20"/>
        </w:rPr>
        <w:t>ace anterior na cor branca, com focinho curto e arredondado e boca terminal (Mai &amp; Loebmann, 2010).</w:t>
      </w:r>
    </w:p>
    <w:p w14:paraId="681F8E10" w14:textId="77777777" w:rsidR="004E78FC" w:rsidRDefault="004E78FC" w:rsidP="004E78FC">
      <w:pPr>
        <w:spacing w:line="240" w:lineRule="auto"/>
        <w:jc w:val="both"/>
        <w:rPr>
          <w:sz w:val="20"/>
          <w:szCs w:val="20"/>
          <w:lang w:val="pt-BR"/>
        </w:rPr>
      </w:pPr>
    </w:p>
    <w:p w14:paraId="348C8B6E" w14:textId="79205310" w:rsidR="004E78FC" w:rsidRPr="004E78FC" w:rsidRDefault="004E78FC" w:rsidP="004E78FC">
      <w:pPr>
        <w:spacing w:line="240" w:lineRule="auto"/>
        <w:ind w:firstLine="720"/>
        <w:jc w:val="both"/>
        <w:rPr>
          <w:sz w:val="20"/>
          <w:szCs w:val="20"/>
          <w:lang w:val="pt-BR"/>
        </w:rPr>
      </w:pPr>
      <w:r w:rsidRPr="00B5373B">
        <w:rPr>
          <w:color w:val="000000" w:themeColor="text1"/>
          <w:sz w:val="20"/>
          <w:szCs w:val="20"/>
        </w:rPr>
        <w:t xml:space="preserve">Nos girinos do estágio 37, observa-se que a cauda se estreita tanto na vista dorsal, como na ventral, observa-se também na vista dorsal algumas manchas que se agrupam até o final da cauda. A altura máxima da cauda varia entre 11 a 13 mm com papilas marginais bisseriadas (Schulze </w:t>
      </w:r>
      <w:r w:rsidRPr="00B5373B">
        <w:rPr>
          <w:i/>
          <w:color w:val="000000" w:themeColor="text1"/>
          <w:sz w:val="20"/>
          <w:szCs w:val="20"/>
        </w:rPr>
        <w:t>et al</w:t>
      </w:r>
      <w:r w:rsidRPr="00B5373B">
        <w:rPr>
          <w:color w:val="000000" w:themeColor="text1"/>
          <w:sz w:val="20"/>
          <w:szCs w:val="20"/>
        </w:rPr>
        <w:t>., 2015).</w:t>
      </w:r>
    </w:p>
    <w:p w14:paraId="0ECDD5ED" w14:textId="77777777" w:rsidR="004E78FC" w:rsidRDefault="004E78FC" w:rsidP="004E78FC">
      <w:pPr>
        <w:spacing w:line="240" w:lineRule="auto"/>
        <w:jc w:val="both"/>
        <w:rPr>
          <w:sz w:val="20"/>
          <w:szCs w:val="20"/>
        </w:rPr>
      </w:pPr>
    </w:p>
    <w:p w14:paraId="28A71EFA" w14:textId="279F2F31" w:rsidR="00B555C8" w:rsidRDefault="004E78FC" w:rsidP="004E78FC">
      <w:pPr>
        <w:spacing w:line="240" w:lineRule="auto"/>
        <w:ind w:firstLine="720"/>
        <w:jc w:val="both"/>
        <w:rPr>
          <w:color w:val="000000" w:themeColor="text1"/>
          <w:sz w:val="20"/>
          <w:szCs w:val="20"/>
          <w:lang w:val="pt-BR"/>
        </w:rPr>
      </w:pPr>
      <w:r w:rsidRPr="009E51FD">
        <w:rPr>
          <w:color w:val="000000" w:themeColor="text1"/>
          <w:sz w:val="20"/>
          <w:szCs w:val="20"/>
        </w:rPr>
        <w:t xml:space="preserve">Portanto o objetivo deste estudo se concentra em analisar e </w:t>
      </w:r>
      <w:sdt>
        <w:sdtPr>
          <w:rPr>
            <w:color w:val="000000" w:themeColor="text1"/>
          </w:rPr>
          <w:tag w:val="goog_rdk_10"/>
          <w:id w:val="1358705903"/>
        </w:sdtPr>
        <w:sdtContent/>
      </w:sdt>
      <w:r w:rsidRPr="009E51FD">
        <w:rPr>
          <w:color w:val="000000" w:themeColor="text1"/>
          <w:sz w:val="20"/>
          <w:szCs w:val="20"/>
        </w:rPr>
        <w:t>descrever a</w:t>
      </w:r>
      <w:r w:rsidRPr="009E51FD">
        <w:rPr>
          <w:color w:val="000000" w:themeColor="text1"/>
          <w:sz w:val="20"/>
          <w:szCs w:val="20"/>
          <w:lang w:val="pt-BR"/>
        </w:rPr>
        <w:t xml:space="preserve"> morfologia da</w:t>
      </w:r>
      <w:r w:rsidRPr="009E51FD">
        <w:rPr>
          <w:color w:val="000000" w:themeColor="text1"/>
          <w:sz w:val="20"/>
          <w:szCs w:val="20"/>
        </w:rPr>
        <w:t xml:space="preserve"> espécie </w:t>
      </w:r>
      <w:r w:rsidRPr="009E51FD">
        <w:rPr>
          <w:i/>
          <w:color w:val="000000" w:themeColor="text1"/>
          <w:sz w:val="20"/>
          <w:szCs w:val="20"/>
        </w:rPr>
        <w:t>D</w:t>
      </w:r>
      <w:r w:rsidRPr="009E51FD">
        <w:rPr>
          <w:color w:val="000000" w:themeColor="text1"/>
          <w:sz w:val="20"/>
          <w:szCs w:val="20"/>
        </w:rPr>
        <w:t>.</w:t>
      </w:r>
      <w:r w:rsidRPr="009E51FD">
        <w:rPr>
          <w:i/>
          <w:color w:val="000000" w:themeColor="text1"/>
          <w:sz w:val="20"/>
          <w:szCs w:val="20"/>
        </w:rPr>
        <w:t xml:space="preserve"> minutus</w:t>
      </w:r>
      <w:r w:rsidRPr="009E51FD">
        <w:rPr>
          <w:color w:val="000000" w:themeColor="text1"/>
          <w:sz w:val="20"/>
          <w:szCs w:val="20"/>
        </w:rPr>
        <w:t>, abordando suas principais estruturas presente no estágio 37, buscando verificar se existem polimorfias como as que ocorrem na forma adulta</w:t>
      </w:r>
      <w:r>
        <w:rPr>
          <w:color w:val="000000" w:themeColor="text1"/>
          <w:sz w:val="20"/>
          <w:szCs w:val="20"/>
          <w:lang w:val="pt-BR"/>
        </w:rPr>
        <w:t>.</w:t>
      </w:r>
    </w:p>
    <w:p w14:paraId="28846E63" w14:textId="77777777" w:rsidR="004E78FC" w:rsidRPr="004E78FC" w:rsidRDefault="004E78FC" w:rsidP="004E78FC">
      <w:pPr>
        <w:spacing w:line="240" w:lineRule="auto"/>
        <w:jc w:val="both"/>
        <w:rPr>
          <w:rFonts w:eastAsia="Times New Roman"/>
          <w:b/>
          <w:sz w:val="20"/>
          <w:szCs w:val="20"/>
          <w:lang w:val="pt-BR"/>
        </w:rPr>
      </w:pPr>
    </w:p>
    <w:p w14:paraId="2E5C18D7" w14:textId="1DDCADFE" w:rsidR="00B555C8" w:rsidRPr="00FC6916" w:rsidRDefault="00337C0D">
      <w:pPr>
        <w:spacing w:line="240" w:lineRule="auto"/>
        <w:jc w:val="both"/>
        <w:rPr>
          <w:rFonts w:eastAsia="Times New Roman"/>
          <w:b/>
          <w:sz w:val="20"/>
          <w:szCs w:val="20"/>
          <w:lang w:val="pt-BR"/>
        </w:rPr>
      </w:pPr>
      <w:r>
        <w:rPr>
          <w:rFonts w:eastAsia="Times New Roman"/>
          <w:b/>
          <w:sz w:val="20"/>
          <w:szCs w:val="20"/>
        </w:rPr>
        <w:t>MATERIAL E MÉTODOS</w:t>
      </w:r>
    </w:p>
    <w:p w14:paraId="1B74CB2A" w14:textId="76E7DC53" w:rsidR="00957C2C" w:rsidRPr="00957C2C" w:rsidRDefault="00957C2C" w:rsidP="00957C2C">
      <w:pPr>
        <w:spacing w:line="240" w:lineRule="auto"/>
        <w:ind w:firstLine="720"/>
        <w:jc w:val="both"/>
        <w:rPr>
          <w:rFonts w:eastAsia="Times New Roman" w:hint="eastAsia"/>
          <w:sz w:val="20"/>
          <w:szCs w:val="20"/>
          <w:lang w:val="pt-BR"/>
        </w:rPr>
      </w:pPr>
      <w:r w:rsidRPr="00957C2C">
        <w:rPr>
          <w:rFonts w:eastAsia="Times New Roman"/>
          <w:sz w:val="20"/>
          <w:szCs w:val="20"/>
        </w:rPr>
        <w:t xml:space="preserve">Em </w:t>
      </w:r>
      <w:sdt>
        <w:sdtPr>
          <w:rPr>
            <w:rFonts w:eastAsia="Times New Roman"/>
            <w:sz w:val="20"/>
            <w:szCs w:val="20"/>
          </w:rPr>
          <w:tag w:val="goog_rdk_11"/>
          <w:id w:val="1484963377"/>
        </w:sdtPr>
        <w:sdtContent>
          <w:r w:rsidRPr="00957C2C">
            <w:rPr>
              <w:rFonts w:eastAsia="Times New Roman"/>
              <w:sz w:val="20"/>
              <w:szCs w:val="20"/>
            </w:rPr>
            <w:t xml:space="preserve">uma </w:t>
          </w:r>
        </w:sdtContent>
      </w:sdt>
      <w:r w:rsidRPr="00957C2C">
        <w:rPr>
          <w:rFonts w:eastAsia="Times New Roman"/>
          <w:sz w:val="20"/>
          <w:szCs w:val="20"/>
        </w:rPr>
        <w:t xml:space="preserve">poça temporária na cidade de Floriano, Piauí, mais precisamente na área externa do estacionamento no campus situado na UFPI (6°47'16.7"S 43°02'30.0"W), foram coletados e separados os girinos de estágio 37, em números de 10 indivíduos para serem fotografados em </w:t>
      </w:r>
      <w:sdt>
        <w:sdtPr>
          <w:rPr>
            <w:rFonts w:eastAsia="Times New Roman"/>
            <w:sz w:val="20"/>
            <w:szCs w:val="20"/>
          </w:rPr>
          <w:tag w:val="goog_rdk_12"/>
          <w:id w:val="-919339569"/>
        </w:sdtPr>
        <w:sdtContent>
          <w:r w:rsidRPr="00957C2C">
            <w:rPr>
              <w:rFonts w:eastAsia="Times New Roman"/>
              <w:sz w:val="20"/>
              <w:szCs w:val="20"/>
            </w:rPr>
            <w:t>Estereomicroscópio</w:t>
          </w:r>
        </w:sdtContent>
      </w:sdt>
      <w:r w:rsidRPr="00957C2C">
        <w:rPr>
          <w:rFonts w:eastAsia="Times New Roman"/>
          <w:sz w:val="20"/>
          <w:szCs w:val="20"/>
        </w:rPr>
        <w:t xml:space="preserve"> Discovery V12 Zeiss, com a finalidade de: isolar os caracteres</w:t>
      </w:r>
      <w:sdt>
        <w:sdtPr>
          <w:rPr>
            <w:rFonts w:eastAsia="Times New Roman"/>
            <w:sz w:val="20"/>
            <w:szCs w:val="20"/>
          </w:rPr>
          <w:tag w:val="goog_rdk_14"/>
          <w:id w:val="1620720295"/>
        </w:sdtPr>
        <w:sdtContent>
          <w:r w:rsidRPr="00957C2C">
            <w:rPr>
              <w:rFonts w:eastAsia="Times New Roman"/>
              <w:sz w:val="20"/>
              <w:szCs w:val="20"/>
            </w:rPr>
            <w:t xml:space="preserve"> morfológicos</w:t>
          </w:r>
        </w:sdtContent>
      </w:sdt>
      <w:r w:rsidRPr="00957C2C">
        <w:rPr>
          <w:rFonts w:eastAsia="Times New Roman"/>
          <w:sz w:val="20"/>
          <w:szCs w:val="20"/>
        </w:rPr>
        <w:t xml:space="preserve">, capturar e realizar o tratamento das imagens no software Zen. </w:t>
      </w:r>
      <w:sdt>
        <w:sdtPr>
          <w:rPr>
            <w:rFonts w:eastAsia="Times New Roman"/>
            <w:sz w:val="20"/>
            <w:szCs w:val="20"/>
          </w:rPr>
          <w:tag w:val="goog_rdk_15"/>
          <w:id w:val="1998447784"/>
        </w:sdtPr>
        <w:sdtContent>
          <w:r>
            <w:rPr>
              <w:rFonts w:eastAsia="Times New Roman"/>
              <w:sz w:val="20"/>
              <w:szCs w:val="20"/>
              <w:lang w:val="pt-BR"/>
            </w:rPr>
            <w:t xml:space="preserve">A </w:t>
          </w:r>
        </w:sdtContent>
      </w:sdt>
      <w:r w:rsidRPr="00957C2C">
        <w:rPr>
          <w:rFonts w:eastAsia="Times New Roman"/>
          <w:sz w:val="20"/>
          <w:szCs w:val="20"/>
        </w:rPr>
        <w:t xml:space="preserve">área </w:t>
      </w:r>
      <w:sdt>
        <w:sdtPr>
          <w:rPr>
            <w:rFonts w:eastAsia="Times New Roman"/>
            <w:sz w:val="20"/>
            <w:szCs w:val="20"/>
          </w:rPr>
          <w:tag w:val="goog_rdk_17"/>
          <w:id w:val="-649361657"/>
        </w:sdtPr>
        <w:sdtContent>
          <w:r w:rsidRPr="00957C2C">
            <w:rPr>
              <w:rFonts w:eastAsia="Times New Roman"/>
              <w:sz w:val="20"/>
              <w:szCs w:val="20"/>
            </w:rPr>
            <w:t xml:space="preserve">de </w:t>
          </w:r>
        </w:sdtContent>
      </w:sdt>
      <w:r w:rsidRPr="00957C2C">
        <w:rPr>
          <w:rFonts w:eastAsia="Times New Roman"/>
          <w:sz w:val="20"/>
          <w:szCs w:val="20"/>
        </w:rPr>
        <w:t>coleta</w:t>
      </w:r>
      <w:sdt>
        <w:sdtPr>
          <w:rPr>
            <w:rFonts w:eastAsia="Times New Roman"/>
            <w:sz w:val="20"/>
            <w:szCs w:val="20"/>
          </w:rPr>
          <w:tag w:val="goog_rdk_18"/>
          <w:id w:val="902407436"/>
        </w:sdtPr>
        <w:sdtContent>
          <w:r w:rsidRPr="00957C2C">
            <w:rPr>
              <w:rFonts w:eastAsia="Times New Roman"/>
              <w:sz w:val="20"/>
              <w:szCs w:val="20"/>
              <w:lang w:val="pt-BR"/>
            </w:rPr>
            <w:t xml:space="preserve"> s</w:t>
          </w:r>
        </w:sdtContent>
      </w:sdt>
      <w:r w:rsidRPr="00957C2C">
        <w:rPr>
          <w:rFonts w:eastAsia="Times New Roman"/>
          <w:sz w:val="20"/>
          <w:szCs w:val="20"/>
        </w:rPr>
        <w:t>e encontra em uma zona de transição entre cerrado e caatinga</w:t>
      </w:r>
      <w:r w:rsidRPr="00957C2C">
        <w:rPr>
          <w:rFonts w:eastAsia="Times New Roman"/>
          <w:sz w:val="20"/>
          <w:szCs w:val="20"/>
          <w:lang w:val="pt-BR"/>
        </w:rPr>
        <w:t xml:space="preserve"> com clima tropical quente e úmido.</w:t>
      </w:r>
    </w:p>
    <w:p w14:paraId="1C72746F" w14:textId="77777777" w:rsidR="00957C2C" w:rsidRPr="00957C2C" w:rsidRDefault="00957C2C" w:rsidP="00957C2C">
      <w:pPr>
        <w:spacing w:line="240" w:lineRule="auto"/>
        <w:jc w:val="both"/>
        <w:rPr>
          <w:rFonts w:eastAsia="Times New Roman"/>
          <w:sz w:val="20"/>
          <w:szCs w:val="20"/>
          <w:lang w:val="pt-BR"/>
        </w:rPr>
      </w:pPr>
    </w:p>
    <w:p w14:paraId="2154A434" w14:textId="77777777" w:rsidR="00B555C8" w:rsidRDefault="00337C0D">
      <w:pPr>
        <w:spacing w:line="240" w:lineRule="auto"/>
        <w:jc w:val="both"/>
        <w:rPr>
          <w:rFonts w:eastAsia="Times New Roman"/>
          <w:b/>
          <w:sz w:val="20"/>
          <w:szCs w:val="20"/>
        </w:rPr>
      </w:pPr>
      <w:r>
        <w:rPr>
          <w:rFonts w:eastAsia="Times New Roman"/>
          <w:b/>
          <w:sz w:val="20"/>
          <w:szCs w:val="20"/>
        </w:rPr>
        <w:t>RESULTADOS E DISCUSSÃO</w:t>
      </w:r>
    </w:p>
    <w:p w14:paraId="4708DE98" w14:textId="77777777" w:rsidR="009957CB" w:rsidRDefault="009957CB" w:rsidP="009957CB">
      <w:pPr>
        <w:spacing w:line="240" w:lineRule="auto"/>
        <w:ind w:firstLine="720"/>
        <w:jc w:val="both"/>
        <w:rPr>
          <w:sz w:val="20"/>
          <w:szCs w:val="20"/>
          <w:lang w:eastAsia="zh-CN"/>
        </w:rPr>
      </w:pPr>
      <w:r w:rsidRPr="009957CB">
        <w:rPr>
          <w:rFonts w:eastAsia="Times New Roman"/>
          <w:sz w:val="20"/>
          <w:szCs w:val="20"/>
        </w:rPr>
        <w:t xml:space="preserve">Em vista lateral o corpo é comprimido lateralmente, com boca direcionada para baixo, com ligeira projeção das papilas. Quando comparamos com as descrições de Schulze </w:t>
      </w:r>
      <w:r w:rsidRPr="009957CB">
        <w:rPr>
          <w:rFonts w:eastAsia="Times New Roman"/>
          <w:i/>
          <w:sz w:val="20"/>
          <w:szCs w:val="20"/>
        </w:rPr>
        <w:t>et al</w:t>
      </w:r>
      <w:r w:rsidRPr="009957CB">
        <w:rPr>
          <w:rFonts w:eastAsia="Times New Roman"/>
          <w:sz w:val="20"/>
          <w:szCs w:val="20"/>
        </w:rPr>
        <w:t xml:space="preserve"> (2015), nota-se uma diferença no bico córneo, em que a projeção deste é maior em nossa descrição</w:t>
      </w:r>
      <w:sdt>
        <w:sdtPr>
          <w:rPr>
            <w:rFonts w:eastAsia="Times New Roman"/>
            <w:sz w:val="20"/>
            <w:szCs w:val="20"/>
          </w:rPr>
          <w:tag w:val="goog_rdk_29"/>
          <w:id w:val="1925443363"/>
        </w:sdtPr>
        <w:sdtContent/>
      </w:sdt>
      <w:r w:rsidRPr="009957CB">
        <w:rPr>
          <w:rFonts w:eastAsia="Times New Roman"/>
          <w:sz w:val="20"/>
          <w:szCs w:val="20"/>
        </w:rPr>
        <w:t xml:space="preserve"> (Figura C)</w:t>
      </w:r>
      <w:r w:rsidRPr="009957CB">
        <w:rPr>
          <w:rFonts w:eastAsia="Times New Roman"/>
          <w:sz w:val="20"/>
          <w:szCs w:val="20"/>
          <w:lang w:val="pt-BR"/>
        </w:rPr>
        <w:t xml:space="preserve"> e </w:t>
      </w:r>
      <w:r w:rsidRPr="009957CB">
        <w:rPr>
          <w:rFonts w:eastAsia="Times New Roman"/>
          <w:sz w:val="20"/>
          <w:szCs w:val="20"/>
        </w:rPr>
        <w:t>há</w:t>
      </w:r>
      <w:r w:rsidRPr="009957CB">
        <w:rPr>
          <w:rFonts w:eastAsia="Times New Roman"/>
          <w:sz w:val="20"/>
          <w:szCs w:val="20"/>
          <w:lang w:val="pt-BR"/>
        </w:rPr>
        <w:t xml:space="preserve"> também</w:t>
      </w:r>
      <w:r w:rsidRPr="009957CB">
        <w:rPr>
          <w:rFonts w:eastAsia="Times New Roman"/>
          <w:sz w:val="20"/>
          <w:szCs w:val="20"/>
        </w:rPr>
        <w:t xml:space="preserve"> uma semelhança nas papilas do </w:t>
      </w:r>
      <w:r w:rsidRPr="009957CB">
        <w:rPr>
          <w:rFonts w:eastAsia="Times New Roman"/>
          <w:sz w:val="20"/>
          <w:szCs w:val="20"/>
          <w:lang w:val="pt-BR"/>
        </w:rPr>
        <w:t>mesmo</w:t>
      </w:r>
      <w:r w:rsidRPr="009957CB">
        <w:rPr>
          <w:rFonts w:eastAsia="Times New Roman"/>
          <w:sz w:val="20"/>
          <w:szCs w:val="20"/>
        </w:rPr>
        <w:t>, inclusive quanto a distribuição em seu entorno, o bico córneo apresenta mesma morfologia e em nosso</w:t>
      </w:r>
      <w:sdt>
        <w:sdtPr>
          <w:rPr>
            <w:rFonts w:eastAsia="Times New Roman"/>
            <w:sz w:val="20"/>
            <w:szCs w:val="20"/>
          </w:rPr>
          <w:tag w:val="goog_rdk_39"/>
          <w:id w:val="-996349122"/>
        </w:sdtPr>
        <w:sdtContent>
          <w:r w:rsidRPr="009957CB">
            <w:rPr>
              <w:rFonts w:eastAsia="Times New Roman"/>
              <w:sz w:val="20"/>
              <w:szCs w:val="20"/>
            </w:rPr>
            <w:t>s</w:t>
          </w:r>
        </w:sdtContent>
      </w:sdt>
      <w:r w:rsidRPr="009957CB">
        <w:rPr>
          <w:rFonts w:eastAsia="Times New Roman"/>
          <w:sz w:val="20"/>
          <w:szCs w:val="20"/>
        </w:rPr>
        <w:t xml:space="preserve"> espécime</w:t>
      </w:r>
      <w:sdt>
        <w:sdtPr>
          <w:rPr>
            <w:rFonts w:eastAsia="Times New Roman"/>
            <w:sz w:val="20"/>
            <w:szCs w:val="20"/>
          </w:rPr>
          <w:tag w:val="goog_rdk_40"/>
          <w:id w:val="446052763"/>
        </w:sdtPr>
        <w:sdtContent>
          <w:r w:rsidRPr="009957CB">
            <w:rPr>
              <w:rFonts w:eastAsia="Times New Roman"/>
              <w:sz w:val="20"/>
              <w:szCs w:val="20"/>
            </w:rPr>
            <w:t>s</w:t>
          </w:r>
        </w:sdtContent>
      </w:sdt>
      <w:r w:rsidRPr="009957CB">
        <w:rPr>
          <w:rFonts w:eastAsia="Times New Roman"/>
          <w:sz w:val="20"/>
          <w:szCs w:val="20"/>
        </w:rPr>
        <w:t xml:space="preserve"> as fileiras de dentículos apresentam </w:t>
      </w:r>
      <w:r w:rsidRPr="009957CB">
        <w:rPr>
          <w:rFonts w:eastAsia="Times New Roman"/>
          <w:sz w:val="20"/>
          <w:szCs w:val="20"/>
        </w:rPr>
        <w:lastRenderedPageBreak/>
        <w:t>a condição 2-2\3(Figuras Fa e Fb).Outra diferença que pode ser citada é a coloração em vida da espécie, onde o autor cita castanho-claro a amarelado dorsal e dorsolateralmente, já o nosso</w:t>
      </w:r>
      <w:r w:rsidRPr="009957CB">
        <w:rPr>
          <w:rFonts w:eastAsia="Times New Roman"/>
          <w:sz w:val="20"/>
          <w:szCs w:val="20"/>
          <w:lang w:val="pt-BR"/>
        </w:rPr>
        <w:t>s</w:t>
      </w:r>
      <w:r w:rsidRPr="009957CB">
        <w:rPr>
          <w:rFonts w:eastAsia="Times New Roman"/>
          <w:sz w:val="20"/>
          <w:szCs w:val="20"/>
        </w:rPr>
        <w:t xml:space="preserve"> </w:t>
      </w:r>
      <w:sdt>
        <w:sdtPr>
          <w:rPr>
            <w:rFonts w:eastAsia="Times New Roman"/>
            <w:sz w:val="20"/>
            <w:szCs w:val="20"/>
          </w:rPr>
          <w:tag w:val="goog_rdk_34"/>
          <w:id w:val="1583796994"/>
        </w:sdtPr>
        <w:sdtContent/>
      </w:sdt>
      <w:r w:rsidRPr="009957CB">
        <w:rPr>
          <w:rFonts w:eastAsia="Times New Roman"/>
          <w:sz w:val="20"/>
          <w:szCs w:val="20"/>
        </w:rPr>
        <w:t>esp</w:t>
      </w:r>
      <w:r w:rsidRPr="009957CB">
        <w:rPr>
          <w:rFonts w:eastAsia="Times New Roman"/>
          <w:sz w:val="20"/>
          <w:szCs w:val="20"/>
          <w:lang w:val="pt-BR"/>
        </w:rPr>
        <w:t>éci</w:t>
      </w:r>
      <w:r w:rsidRPr="009957CB">
        <w:rPr>
          <w:rFonts w:eastAsia="Times New Roman"/>
          <w:sz w:val="20"/>
          <w:szCs w:val="20"/>
        </w:rPr>
        <w:t>me</w:t>
      </w:r>
      <w:r w:rsidRPr="009957CB">
        <w:rPr>
          <w:rFonts w:eastAsia="Times New Roman"/>
          <w:sz w:val="20"/>
          <w:szCs w:val="20"/>
          <w:lang w:val="pt-BR"/>
        </w:rPr>
        <w:t>s</w:t>
      </w:r>
      <w:r w:rsidRPr="009957CB">
        <w:rPr>
          <w:rFonts w:eastAsia="Times New Roman"/>
          <w:sz w:val="20"/>
          <w:szCs w:val="20"/>
        </w:rPr>
        <w:t xml:space="preserve"> em vida tem a coloração verde-amarelado no corpo e cauda amarelada. Na vista dorsal do girino descrita por Schulze </w:t>
      </w:r>
      <w:r w:rsidRPr="009957CB">
        <w:rPr>
          <w:rFonts w:eastAsia="Times New Roman"/>
          <w:i/>
          <w:sz w:val="20"/>
          <w:szCs w:val="20"/>
        </w:rPr>
        <w:t>et al</w:t>
      </w:r>
      <w:r w:rsidRPr="009957CB">
        <w:rPr>
          <w:rFonts w:eastAsia="Times New Roman"/>
          <w:sz w:val="20"/>
          <w:szCs w:val="20"/>
        </w:rPr>
        <w:t xml:space="preserve"> (2015), existem abaixo dos olhos uma expansão lateral da cabeça destacada, como que uma estrutura saltada em relevo, o que não se nota nos indivíduos que estamos descrevendo </w:t>
      </w:r>
      <w:sdt>
        <w:sdtPr>
          <w:rPr>
            <w:rFonts w:eastAsia="Times New Roman"/>
            <w:sz w:val="20"/>
            <w:szCs w:val="20"/>
          </w:rPr>
          <w:tag w:val="goog_rdk_35"/>
          <w:id w:val="-245964980"/>
        </w:sdtPr>
        <w:sdtContent/>
      </w:sdt>
      <w:r w:rsidRPr="009957CB">
        <w:rPr>
          <w:rFonts w:eastAsia="Times New Roman"/>
          <w:sz w:val="20"/>
          <w:szCs w:val="20"/>
        </w:rPr>
        <w:t xml:space="preserve">(Figura B). Na região da cabeça há uma diferença também na translucidez da coloração, na nossa está mais </w:t>
      </w:r>
      <w:sdt>
        <w:sdtPr>
          <w:rPr>
            <w:rFonts w:eastAsia="Times New Roman"/>
            <w:sz w:val="20"/>
            <w:szCs w:val="20"/>
          </w:rPr>
          <w:tag w:val="goog_rdk_36"/>
          <w:id w:val="-1531480890"/>
        </w:sdtPr>
        <w:sdtContent>
          <w:r w:rsidRPr="009957CB">
            <w:rPr>
              <w:rFonts w:eastAsia="Times New Roman"/>
              <w:sz w:val="20"/>
              <w:szCs w:val="20"/>
            </w:rPr>
            <w:t>translúcida</w:t>
          </w:r>
        </w:sdtContent>
      </w:sdt>
      <w:sdt>
        <w:sdtPr>
          <w:rPr>
            <w:rFonts w:eastAsia="Times New Roman"/>
            <w:sz w:val="20"/>
            <w:szCs w:val="20"/>
          </w:rPr>
          <w:tag w:val="goog_rdk_37"/>
          <w:id w:val="436722477"/>
          <w:showingPlcHdr/>
        </w:sdtPr>
        <w:sdtContent>
          <w:r w:rsidRPr="009957CB">
            <w:rPr>
              <w:rFonts w:eastAsia="Times New Roman"/>
              <w:sz w:val="20"/>
              <w:szCs w:val="20"/>
            </w:rPr>
            <w:t xml:space="preserve">     </w:t>
          </w:r>
        </w:sdtContent>
      </w:sdt>
      <w:r w:rsidRPr="009957CB">
        <w:rPr>
          <w:rFonts w:eastAsia="Times New Roman"/>
          <w:sz w:val="20"/>
          <w:szCs w:val="20"/>
        </w:rPr>
        <w:t xml:space="preserve"> podendo observar o interior do globo ocular do espécime (Figura B).</w:t>
      </w:r>
      <w:sdt>
        <w:sdtPr>
          <w:rPr>
            <w:rFonts w:eastAsia="Times New Roman"/>
            <w:sz w:val="20"/>
            <w:szCs w:val="20"/>
          </w:rPr>
          <w:tag w:val="goog_rdk_38"/>
          <w:id w:val="-1045751810"/>
        </w:sdtPr>
        <w:sdtContent/>
      </w:sdt>
      <w:r w:rsidRPr="009957CB">
        <w:rPr>
          <w:rFonts w:eastAsia="Times New Roman"/>
          <w:sz w:val="20"/>
          <w:szCs w:val="20"/>
        </w:rPr>
        <w:t xml:space="preserve"> </w:t>
      </w:r>
    </w:p>
    <w:p w14:paraId="4C6E34FC" w14:textId="5999C815" w:rsidR="009957CB" w:rsidRDefault="009957CB" w:rsidP="009957CB">
      <w:pPr>
        <w:spacing w:line="240" w:lineRule="auto"/>
        <w:ind w:firstLine="720"/>
        <w:jc w:val="center"/>
        <w:rPr>
          <w:sz w:val="20"/>
          <w:szCs w:val="20"/>
          <w:lang w:eastAsia="zh-CN"/>
        </w:rPr>
      </w:pPr>
      <w:r>
        <w:rPr>
          <w:noProof/>
          <w:sz w:val="20"/>
          <w:szCs w:val="20"/>
          <w:lang w:val="pt-BR"/>
        </w:rPr>
        <w:drawing>
          <wp:inline distT="0" distB="0" distL="0" distR="0" wp14:anchorId="5C2121A2" wp14:editId="16D7385B">
            <wp:extent cx="3621405" cy="30543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72DC60" w14:textId="77777777" w:rsidR="009957CB" w:rsidRPr="009957CB" w:rsidRDefault="009957CB" w:rsidP="009957CB">
      <w:pPr>
        <w:spacing w:line="240" w:lineRule="auto"/>
        <w:ind w:firstLine="720"/>
        <w:jc w:val="center"/>
        <w:rPr>
          <w:sz w:val="20"/>
          <w:szCs w:val="20"/>
          <w:lang w:eastAsia="zh-CN"/>
        </w:rPr>
      </w:pPr>
      <w:r w:rsidRPr="009957CB">
        <w:rPr>
          <w:sz w:val="20"/>
          <w:szCs w:val="20"/>
          <w:lang w:eastAsia="zh-CN"/>
        </w:rPr>
        <w:t xml:space="preserve">Girino </w:t>
      </w:r>
      <w:r w:rsidRPr="009957CB">
        <w:rPr>
          <w:i/>
          <w:sz w:val="20"/>
          <w:szCs w:val="20"/>
          <w:lang w:eastAsia="zh-CN"/>
        </w:rPr>
        <w:t xml:space="preserve">Dendropsophus minutus </w:t>
      </w:r>
      <w:r w:rsidRPr="009957CB">
        <w:rPr>
          <w:sz w:val="20"/>
          <w:szCs w:val="20"/>
          <w:lang w:eastAsia="zh-CN"/>
        </w:rPr>
        <w:t>no estágio 37. Fonte: Clara S. Reis</w:t>
      </w:r>
    </w:p>
    <w:p w14:paraId="7B9DC357" w14:textId="77777777" w:rsidR="009957CB" w:rsidRDefault="009957CB" w:rsidP="009957CB">
      <w:pPr>
        <w:spacing w:line="240" w:lineRule="auto"/>
        <w:ind w:firstLine="720"/>
        <w:jc w:val="center"/>
        <w:rPr>
          <w:sz w:val="20"/>
          <w:szCs w:val="20"/>
          <w:lang w:eastAsia="zh-CN"/>
        </w:rPr>
      </w:pPr>
    </w:p>
    <w:p w14:paraId="0389AF78" w14:textId="59C2CF0F" w:rsidR="009957CB" w:rsidRDefault="009957CB" w:rsidP="009957CB">
      <w:pPr>
        <w:spacing w:line="240" w:lineRule="auto"/>
        <w:ind w:firstLine="720"/>
        <w:jc w:val="center"/>
        <w:rPr>
          <w:sz w:val="20"/>
          <w:szCs w:val="20"/>
          <w:lang w:eastAsia="zh-CN"/>
        </w:rPr>
      </w:pPr>
      <w:r>
        <w:rPr>
          <w:noProof/>
          <w:sz w:val="20"/>
          <w:szCs w:val="20"/>
          <w:lang w:val="pt-BR"/>
        </w:rPr>
        <w:drawing>
          <wp:inline distT="0" distB="0" distL="0" distR="0" wp14:anchorId="0BDE2737" wp14:editId="4B356079">
            <wp:extent cx="3602990" cy="2468880"/>
            <wp:effectExtent l="0" t="0" r="0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AD4015" w14:textId="77777777" w:rsidR="009957CB" w:rsidRPr="009957CB" w:rsidRDefault="009957CB" w:rsidP="009957CB">
      <w:pPr>
        <w:spacing w:line="240" w:lineRule="auto"/>
        <w:ind w:firstLine="720"/>
        <w:jc w:val="center"/>
        <w:rPr>
          <w:b/>
          <w:sz w:val="20"/>
          <w:szCs w:val="20"/>
          <w:lang w:val="pt-BR" w:eastAsia="zh-CN"/>
        </w:rPr>
      </w:pPr>
      <w:r w:rsidRPr="009957CB">
        <w:rPr>
          <w:sz w:val="20"/>
          <w:szCs w:val="20"/>
          <w:lang w:val="pt-BR" w:eastAsia="zh-CN"/>
        </w:rPr>
        <w:t xml:space="preserve">Imagem </w:t>
      </w:r>
      <w:r w:rsidRPr="009957CB">
        <w:rPr>
          <w:sz w:val="20"/>
          <w:szCs w:val="20"/>
          <w:lang w:eastAsia="zh-CN"/>
        </w:rPr>
        <w:t>Schulze et al.</w:t>
      </w:r>
      <w:r w:rsidRPr="009957CB">
        <w:rPr>
          <w:sz w:val="20"/>
          <w:szCs w:val="20"/>
          <w:lang w:val="pt-BR" w:eastAsia="zh-CN"/>
        </w:rPr>
        <w:t xml:space="preserve"> 2015</w:t>
      </w:r>
    </w:p>
    <w:p w14:paraId="218E48C5" w14:textId="77777777" w:rsidR="009957CB" w:rsidRPr="009957CB" w:rsidRDefault="009957CB" w:rsidP="009957CB">
      <w:pPr>
        <w:spacing w:line="240" w:lineRule="auto"/>
        <w:ind w:firstLine="720"/>
        <w:jc w:val="center"/>
        <w:rPr>
          <w:rFonts w:hint="eastAsia"/>
          <w:sz w:val="20"/>
          <w:szCs w:val="20"/>
          <w:lang w:eastAsia="zh-CN"/>
        </w:rPr>
      </w:pPr>
    </w:p>
    <w:p w14:paraId="08BD3EEB" w14:textId="77777777" w:rsidR="00B555C8" w:rsidRDefault="00B555C8">
      <w:pPr>
        <w:spacing w:line="240" w:lineRule="auto"/>
        <w:jc w:val="both"/>
        <w:rPr>
          <w:rFonts w:eastAsia="Times New Roman"/>
          <w:b/>
          <w:sz w:val="20"/>
          <w:szCs w:val="20"/>
        </w:rPr>
      </w:pPr>
    </w:p>
    <w:p w14:paraId="5F237617" w14:textId="77777777" w:rsidR="00B555C8" w:rsidRDefault="00337C0D">
      <w:pPr>
        <w:spacing w:line="240" w:lineRule="auto"/>
        <w:jc w:val="both"/>
        <w:rPr>
          <w:rFonts w:eastAsia="Times New Roman"/>
          <w:b/>
          <w:sz w:val="20"/>
          <w:szCs w:val="20"/>
        </w:rPr>
      </w:pPr>
      <w:r>
        <w:rPr>
          <w:rFonts w:eastAsia="Times New Roman"/>
          <w:b/>
          <w:sz w:val="20"/>
          <w:szCs w:val="20"/>
        </w:rPr>
        <w:t>CONCLUSÕES</w:t>
      </w:r>
    </w:p>
    <w:p w14:paraId="49205099" w14:textId="28FF16E0" w:rsidR="00B555C8" w:rsidRDefault="00004E82">
      <w:pPr>
        <w:spacing w:line="240" w:lineRule="auto"/>
        <w:ind w:firstLine="567"/>
        <w:jc w:val="both"/>
        <w:rPr>
          <w:rFonts w:eastAsia="Times New Roman"/>
          <w:sz w:val="20"/>
          <w:szCs w:val="20"/>
        </w:rPr>
      </w:pPr>
      <w:r>
        <w:rPr>
          <w:sz w:val="20"/>
          <w:szCs w:val="20"/>
        </w:rPr>
        <w:t xml:space="preserve">O presente trabalho permitiu verificar variações morfológicas </w:t>
      </w:r>
      <w:sdt>
        <w:sdtPr>
          <w:tag w:val="goog_rdk_42"/>
          <w:id w:val="-846484073"/>
        </w:sdtPr>
        <w:sdtContent>
          <w:r>
            <w:rPr>
              <w:sz w:val="20"/>
              <w:szCs w:val="20"/>
            </w:rPr>
            <w:t xml:space="preserve">de girinos no estágio 37 </w:t>
          </w:r>
        </w:sdtContent>
      </w:sdt>
      <w:r>
        <w:rPr>
          <w:sz w:val="20"/>
          <w:szCs w:val="20"/>
        </w:rPr>
        <w:t>a partir de literaturas encontradas e fotografias comparativas.</w:t>
      </w:r>
      <w:r>
        <w:rPr>
          <w:sz w:val="20"/>
          <w:szCs w:val="20"/>
          <w:lang w:val="pt-BR"/>
        </w:rPr>
        <w:t xml:space="preserve"> O intuito é ser mais preciso quanto as características do espécime para </w:t>
      </w:r>
      <w:r>
        <w:rPr>
          <w:sz w:val="20"/>
          <w:szCs w:val="20"/>
        </w:rPr>
        <w:t>uma catalogaç</w:t>
      </w:r>
      <w:r>
        <w:rPr>
          <w:sz w:val="20"/>
          <w:szCs w:val="20"/>
          <w:lang w:val="pt-BR"/>
        </w:rPr>
        <w:t>ão mais ampla afim de ter mais conhecimento sobre o mundo natural.</w:t>
      </w:r>
    </w:p>
    <w:p w14:paraId="019B5221" w14:textId="5D1D5043" w:rsidR="00004E82" w:rsidRPr="00004E82" w:rsidRDefault="00337C0D" w:rsidP="00004E82">
      <w:pPr>
        <w:spacing w:line="240" w:lineRule="auto"/>
        <w:jc w:val="both"/>
        <w:rPr>
          <w:rFonts w:hint="eastAsia"/>
          <w:b/>
          <w:sz w:val="20"/>
          <w:szCs w:val="20"/>
          <w:lang w:eastAsia="zh-CN"/>
        </w:rPr>
      </w:pPr>
      <w:r>
        <w:rPr>
          <w:rFonts w:eastAsia="Times New Roman"/>
          <w:b/>
          <w:sz w:val="20"/>
          <w:szCs w:val="20"/>
        </w:rPr>
        <w:lastRenderedPageBreak/>
        <w:t xml:space="preserve">REFERÊNCIAS </w:t>
      </w:r>
    </w:p>
    <w:p w14:paraId="4B5ED396" w14:textId="77777777" w:rsidR="00004E82" w:rsidRPr="00004E82" w:rsidRDefault="00004E82" w:rsidP="00004E82">
      <w:pPr>
        <w:spacing w:line="240" w:lineRule="auto"/>
        <w:ind w:firstLine="720"/>
        <w:jc w:val="both"/>
        <w:rPr>
          <w:rFonts w:eastAsia="Times New Roman"/>
          <w:sz w:val="20"/>
          <w:szCs w:val="20"/>
        </w:rPr>
      </w:pPr>
      <w:r w:rsidRPr="00004E82">
        <w:rPr>
          <w:rFonts w:eastAsia="Times New Roman"/>
          <w:sz w:val="20"/>
          <w:szCs w:val="20"/>
        </w:rPr>
        <w:t>AmphibiaWeb. 2010. Informações sobre biologia e conservação de anfíbios (aplicativo web). AmphibiaWeb, Berkeley, Califórnia. &lt; </w:t>
      </w:r>
      <w:hyperlink r:id="rId16">
        <w:r w:rsidRPr="00004E82">
          <w:rPr>
            <w:rStyle w:val="Hyperlink"/>
            <w:rFonts w:eastAsia="Times New Roman"/>
            <w:sz w:val="20"/>
            <w:szCs w:val="20"/>
          </w:rPr>
          <w:t>http://amphibiaweb.org/</w:t>
        </w:r>
      </w:hyperlink>
      <w:r w:rsidRPr="00004E82">
        <w:rPr>
          <w:rFonts w:eastAsia="Times New Roman"/>
          <w:sz w:val="20"/>
          <w:szCs w:val="20"/>
        </w:rPr>
        <w:t> &gt; (acessado em 8.02.2010).</w:t>
      </w:r>
    </w:p>
    <w:p w14:paraId="0FE7F797" w14:textId="77777777" w:rsidR="00004E82" w:rsidRPr="00004E82" w:rsidRDefault="00004E82" w:rsidP="00004E82">
      <w:pPr>
        <w:spacing w:line="240" w:lineRule="auto"/>
        <w:jc w:val="both"/>
        <w:rPr>
          <w:rFonts w:eastAsia="Times New Roman"/>
          <w:sz w:val="20"/>
          <w:szCs w:val="20"/>
        </w:rPr>
      </w:pPr>
      <w:r w:rsidRPr="00004E82">
        <w:rPr>
          <w:rFonts w:eastAsia="Times New Roman"/>
          <w:sz w:val="20"/>
          <w:szCs w:val="20"/>
        </w:rPr>
        <w:t>Bokermann, WCA. 1963. Girinos de Anfibios Brasileiros - I (Amphibia - Salientia). Anais da Academia Brasileira de Ciencias, 35, 465-474p.</w:t>
      </w:r>
    </w:p>
    <w:p w14:paraId="51120404" w14:textId="77777777" w:rsidR="00004E82" w:rsidRPr="00004E82" w:rsidRDefault="00004E82" w:rsidP="00004E82">
      <w:pPr>
        <w:spacing w:line="240" w:lineRule="auto"/>
        <w:jc w:val="both"/>
        <w:rPr>
          <w:rFonts w:eastAsia="Times New Roman"/>
          <w:sz w:val="20"/>
          <w:szCs w:val="20"/>
        </w:rPr>
      </w:pPr>
      <w:r w:rsidRPr="00004E82">
        <w:rPr>
          <w:rFonts w:eastAsia="Times New Roman"/>
          <w:sz w:val="20"/>
          <w:szCs w:val="20"/>
        </w:rPr>
        <w:t>Duellman W. E. 2001. Hylid frogs of Middle America. Ithaca, NY: Society for the Study of Amphibians and Reptiles.</w:t>
      </w:r>
    </w:p>
    <w:p w14:paraId="3B30F514" w14:textId="77777777" w:rsidR="00004E82" w:rsidRPr="00004E82" w:rsidRDefault="00004E82" w:rsidP="00004E82">
      <w:pPr>
        <w:spacing w:line="240" w:lineRule="auto"/>
        <w:jc w:val="both"/>
        <w:rPr>
          <w:rFonts w:eastAsia="Times New Roman"/>
          <w:sz w:val="20"/>
          <w:szCs w:val="20"/>
        </w:rPr>
      </w:pPr>
      <w:r w:rsidRPr="00004E82">
        <w:rPr>
          <w:rFonts w:eastAsia="Times New Roman"/>
          <w:sz w:val="20"/>
          <w:szCs w:val="20"/>
        </w:rPr>
        <w:t>Leivas, P.T.; Moura, M.O. &amp; Favaro, L.F. 2012: The Reproductive Biology of the Invasive Lithobates catesbeianus (Amphibia: Anura). Journal of Herpetology 46(2): 153-161p.</w:t>
      </w:r>
    </w:p>
    <w:p w14:paraId="6036E21F" w14:textId="77777777" w:rsidR="00004E82" w:rsidRPr="00004E82" w:rsidRDefault="00004E82" w:rsidP="00004E82">
      <w:pPr>
        <w:spacing w:line="240" w:lineRule="auto"/>
        <w:jc w:val="both"/>
        <w:rPr>
          <w:rFonts w:eastAsia="Times New Roman"/>
          <w:sz w:val="20"/>
          <w:szCs w:val="20"/>
        </w:rPr>
      </w:pPr>
      <w:r w:rsidRPr="00004E82">
        <w:rPr>
          <w:rFonts w:eastAsia="Times New Roman"/>
          <w:sz w:val="20"/>
          <w:szCs w:val="20"/>
        </w:rPr>
        <w:t>Lynch, JD &amp; Suarez-Mayorga, AM. 2011. Clave ilustrada de los renacuajos de las tierras bajas al Oriente de los Andes, enfasis en Hylidae. Caldásia, 33, 235 – 270p.</w:t>
      </w:r>
    </w:p>
    <w:p w14:paraId="348DA1A5" w14:textId="77777777" w:rsidR="00004E82" w:rsidRPr="00004E82" w:rsidRDefault="00004E82" w:rsidP="00004E82">
      <w:pPr>
        <w:spacing w:line="240" w:lineRule="auto"/>
        <w:jc w:val="both"/>
        <w:rPr>
          <w:rFonts w:eastAsia="Times New Roman"/>
          <w:sz w:val="20"/>
          <w:szCs w:val="20"/>
        </w:rPr>
      </w:pPr>
      <w:r w:rsidRPr="00004E82">
        <w:rPr>
          <w:rFonts w:eastAsia="Times New Roman"/>
          <w:sz w:val="20"/>
          <w:szCs w:val="20"/>
        </w:rPr>
        <w:t>Pough, F.H; Janis, C.M; Heiser, J.B. 2008. A vida dos vertebrados. São Paulo, Atheneu Editora. 684p.</w:t>
      </w:r>
    </w:p>
    <w:p w14:paraId="387EFD60" w14:textId="77777777" w:rsidR="00004E82" w:rsidRPr="00004E82" w:rsidRDefault="00004E82" w:rsidP="00004E82">
      <w:pPr>
        <w:spacing w:line="240" w:lineRule="auto"/>
        <w:jc w:val="both"/>
        <w:rPr>
          <w:rFonts w:eastAsia="Times New Roman"/>
          <w:sz w:val="20"/>
          <w:szCs w:val="20"/>
        </w:rPr>
      </w:pPr>
      <w:r w:rsidRPr="00004E82">
        <w:rPr>
          <w:rFonts w:eastAsia="Times New Roman"/>
          <w:sz w:val="20"/>
          <w:szCs w:val="20"/>
        </w:rPr>
        <w:t xml:space="preserve">Schulze, A; Jansen, M; Köhler, G. 2015. Tadpole diversity of Bolivia's lowland anuran communities: Molecular identification, morphological characterisation, and ecological assignment. Zootaxa, 4016 (1), 1-111p. </w:t>
      </w:r>
    </w:p>
    <w:p w14:paraId="7ACB1BD2" w14:textId="77777777" w:rsidR="00004E82" w:rsidRPr="00004E82" w:rsidRDefault="00004E82" w:rsidP="00004E82">
      <w:pPr>
        <w:spacing w:line="240" w:lineRule="auto"/>
        <w:jc w:val="both"/>
        <w:rPr>
          <w:rFonts w:eastAsia="Times New Roman"/>
          <w:sz w:val="20"/>
          <w:szCs w:val="20"/>
        </w:rPr>
      </w:pPr>
      <w:r w:rsidRPr="00004E82">
        <w:rPr>
          <w:rFonts w:eastAsia="Times New Roman"/>
          <w:sz w:val="20"/>
          <w:szCs w:val="20"/>
        </w:rPr>
        <w:t xml:space="preserve">Toledo, L.F.; Ribeiro, R.S. &amp; , Haddad, C.F.B. 2006. Anurans as prey: an exploratory analysis and size relationships between predators and their prey. Journal of Zoology 271: 170-177p. </w:t>
      </w:r>
    </w:p>
    <w:p w14:paraId="6C8B33F0" w14:textId="77777777" w:rsidR="00B555C8" w:rsidRDefault="00B555C8">
      <w:pPr>
        <w:spacing w:line="240" w:lineRule="auto"/>
        <w:jc w:val="both"/>
        <w:rPr>
          <w:rFonts w:eastAsia="Times New Roman"/>
          <w:b/>
          <w:sz w:val="20"/>
          <w:szCs w:val="20"/>
        </w:rPr>
      </w:pPr>
    </w:p>
    <w:p w14:paraId="33546C1C" w14:textId="77777777" w:rsidR="00B555C8" w:rsidRDefault="00B555C8">
      <w:pPr>
        <w:spacing w:line="240" w:lineRule="auto"/>
        <w:rPr>
          <w:sz w:val="20"/>
          <w:szCs w:val="20"/>
        </w:rPr>
      </w:pPr>
    </w:p>
    <w:sectPr w:rsidR="00B555C8">
      <w:headerReference w:type="default" r:id="rId17"/>
      <w:pgSz w:w="11909" w:h="16834"/>
      <w:pgMar w:top="25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911C78" w14:textId="77777777" w:rsidR="00337C0D" w:rsidRDefault="00337C0D">
      <w:pPr>
        <w:spacing w:line="240" w:lineRule="auto"/>
      </w:pPr>
      <w:r>
        <w:separator/>
      </w:r>
    </w:p>
  </w:endnote>
  <w:endnote w:type="continuationSeparator" w:id="0">
    <w:p w14:paraId="7A4AEADC" w14:textId="77777777" w:rsidR="00337C0D" w:rsidRDefault="00337C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861ED4" w14:textId="77777777" w:rsidR="00337C0D" w:rsidRDefault="00337C0D">
      <w:r>
        <w:separator/>
      </w:r>
    </w:p>
  </w:footnote>
  <w:footnote w:type="continuationSeparator" w:id="0">
    <w:p w14:paraId="3770210F" w14:textId="77777777" w:rsidR="00337C0D" w:rsidRDefault="00337C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5CDE8F" w14:textId="77777777" w:rsidR="00B555C8" w:rsidRDefault="00337C0D">
    <w:pPr>
      <w:tabs>
        <w:tab w:val="center" w:pos="4252"/>
        <w:tab w:val="right" w:pos="8504"/>
      </w:tabs>
      <w:spacing w:before="708" w:line="240" w:lineRule="auto"/>
      <w:jc w:val="both"/>
    </w:pPr>
    <w:r>
      <w:rPr>
        <w:rFonts w:ascii="Calibri" w:eastAsia="Calibri" w:hAnsi="Calibri" w:cs="Calibri"/>
        <w:noProof/>
        <w:color w:val="FFFFFF"/>
        <w:lang w:val="pt-BR"/>
      </w:rPr>
      <w:drawing>
        <wp:inline distT="0" distB="0" distL="114300" distR="114300" wp14:anchorId="4ACF08C2" wp14:editId="038FE09C">
          <wp:extent cx="1776095" cy="798195"/>
          <wp:effectExtent l="0" t="0" r="6985" b="9525"/>
          <wp:docPr id="5" name="Imagem 5" descr="Logo_CORR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Logo_CORR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76095" cy="798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color w:val="FFFFFF"/>
      </w:rPr>
      <w:t xml:space="preserve">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5C8"/>
    <w:rsid w:val="00004E82"/>
    <w:rsid w:val="00337C0D"/>
    <w:rsid w:val="004E78FC"/>
    <w:rsid w:val="00957C2C"/>
    <w:rsid w:val="009957CB"/>
    <w:rsid w:val="00A50EFF"/>
    <w:rsid w:val="00B555C8"/>
    <w:rsid w:val="00E1011C"/>
    <w:rsid w:val="00FC6916"/>
    <w:rsid w:val="06AB2D99"/>
    <w:rsid w:val="0A2F1F5A"/>
    <w:rsid w:val="0CB662BA"/>
    <w:rsid w:val="167B494E"/>
    <w:rsid w:val="1CA26503"/>
    <w:rsid w:val="1F2C3C5E"/>
    <w:rsid w:val="251A3BA0"/>
    <w:rsid w:val="30B874AF"/>
    <w:rsid w:val="34C11F07"/>
    <w:rsid w:val="3533180D"/>
    <w:rsid w:val="371A057C"/>
    <w:rsid w:val="3CF24186"/>
    <w:rsid w:val="3E300685"/>
    <w:rsid w:val="499E328F"/>
    <w:rsid w:val="4AE65A17"/>
    <w:rsid w:val="527C4B7E"/>
    <w:rsid w:val="5ABF5100"/>
    <w:rsid w:val="5BF777B8"/>
    <w:rsid w:val="663764A0"/>
    <w:rsid w:val="6F814935"/>
    <w:rsid w:val="75DE6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CE38A"/>
  <w15:docId w15:val="{4F343EEA-C2BA-443E-B843-C91AE5CD2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="Arial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sz w:val="22"/>
      <w:szCs w:val="22"/>
      <w:lang w:val="zh-CN"/>
    </w:rPr>
  </w:style>
  <w:style w:type="paragraph" w:styleId="Ttulo1">
    <w:name w:val="heading 1"/>
    <w:basedOn w:val="Normal"/>
    <w:next w:val="Normal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qFormat/>
    <w:pPr>
      <w:keepNext/>
      <w:keepLines/>
      <w:spacing w:after="60"/>
    </w:pPr>
    <w:rPr>
      <w:sz w:val="52"/>
      <w:szCs w:val="52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</w:pPr>
  </w:style>
  <w:style w:type="paragraph" w:styleId="Subttulo">
    <w:name w:val="Subtitle"/>
    <w:basedOn w:val="Normal"/>
    <w:next w:val="Normal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rsid w:val="00004E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ymbl.cc/pt/2074/" TargetMode="External"/><Relationship Id="rId13" Type="http://schemas.openxmlformats.org/officeDocument/2006/relationships/hyperlink" Target="mailto:clarareis@ufpi.edu.br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symbl.cc/pt/2074/" TargetMode="External"/><Relationship Id="rId12" Type="http://schemas.openxmlformats.org/officeDocument/2006/relationships/hyperlink" Target="https://symbl.cc/pt/2074/" TargetMode="External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://amphibiaweb.org/" TargetMode="External"/><Relationship Id="rId1" Type="http://schemas.openxmlformats.org/officeDocument/2006/relationships/styles" Target="styles.xml"/><Relationship Id="rId6" Type="http://schemas.openxmlformats.org/officeDocument/2006/relationships/hyperlink" Target="https://symbl.cc/pt/2074/" TargetMode="External"/><Relationship Id="rId11" Type="http://schemas.openxmlformats.org/officeDocument/2006/relationships/hyperlink" Target="https://symbl.cc/pt/2074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2.png"/><Relationship Id="rId10" Type="http://schemas.openxmlformats.org/officeDocument/2006/relationships/hyperlink" Target="https://symbl.cc/pt/2074/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symbl.cc/pt/2074/" TargetMode="External"/><Relationship Id="rId14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962</Words>
  <Characters>5195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jesse</dc:creator>
  <cp:lastModifiedBy>RV415</cp:lastModifiedBy>
  <cp:revision>2</cp:revision>
  <dcterms:created xsi:type="dcterms:W3CDTF">2023-09-22T20:52:00Z</dcterms:created>
  <dcterms:modified xsi:type="dcterms:W3CDTF">2023-09-22T20:52:00Z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1046-11.2.0.11388</vt:lpwstr>
  </property>
  <property fmtid="{D5CDD505-2E9C-101B-9397-08002B2CF9AE}" pid="3" name="ICV">
    <vt:lpwstr>72DE21DEC1A84E559D7BB609DCEDA745</vt:lpwstr>
  </property>
  <property fmtid="{D5CDD505-2E9C-101B-9397-08002B2CF9AE}" pid="4" name="GrammarlyDocumentId">
    <vt:lpwstr>effd6cd44c9ef69f915020a947ce0ec4f367a8d184ba27a4b078de75c837e13a</vt:lpwstr>
  </property>
</Properties>
</file>