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21AFE0ED" w:rsidR="00B555C8" w:rsidRPr="00C61A23" w:rsidRDefault="00000000">
      <w:pPr>
        <w:spacing w:line="240" w:lineRule="auto"/>
        <w:jc w:val="both"/>
        <w:rPr>
          <w:rFonts w:eastAsia="Times New Roman"/>
          <w:b/>
          <w:sz w:val="20"/>
          <w:szCs w:val="20"/>
          <w:lang w:val="pt-BR"/>
        </w:rPr>
      </w:pPr>
      <w:r w:rsidRPr="00C61A23">
        <w:rPr>
          <w:rFonts w:eastAsia="Times New Roman"/>
          <w:b/>
          <w:sz w:val="20"/>
          <w:szCs w:val="20"/>
          <w:lang w:val="pt-BR"/>
        </w:rPr>
        <w:t>ARÉA TEMÁTICA:</w:t>
      </w:r>
      <w:r w:rsidR="00891714" w:rsidRPr="00C61A23">
        <w:rPr>
          <w:rFonts w:eastAsia="Times New Roman"/>
          <w:b/>
          <w:sz w:val="20"/>
          <w:szCs w:val="20"/>
          <w:lang w:val="pt-BR"/>
        </w:rPr>
        <w:t xml:space="preserve"> Ecologia</w:t>
      </w:r>
    </w:p>
    <w:p w14:paraId="1F64F7EA" w14:textId="4C2C47B7" w:rsidR="00B555C8" w:rsidRPr="00C61A23" w:rsidRDefault="00000000">
      <w:pPr>
        <w:spacing w:line="240" w:lineRule="auto"/>
        <w:jc w:val="both"/>
        <w:rPr>
          <w:rFonts w:eastAsia="Times New Roman" w:hint="eastAsia"/>
          <w:b/>
          <w:sz w:val="20"/>
          <w:szCs w:val="20"/>
          <w:lang w:val="pt-BR"/>
        </w:rPr>
      </w:pPr>
      <w:r w:rsidRPr="00C61A23">
        <w:rPr>
          <w:rFonts w:eastAsia="Times New Roman"/>
          <w:b/>
          <w:sz w:val="20"/>
          <w:szCs w:val="20"/>
          <w:lang w:val="pt-BR"/>
        </w:rPr>
        <w:t>SUBÁREA TEMÁTICA:</w:t>
      </w:r>
      <w:r w:rsidR="00891714" w:rsidRPr="00C61A23">
        <w:rPr>
          <w:rFonts w:eastAsia="Times New Roman"/>
          <w:b/>
          <w:sz w:val="20"/>
          <w:szCs w:val="20"/>
          <w:lang w:val="pt-BR"/>
        </w:rPr>
        <w:t xml:space="preserve"> Invertebrados</w:t>
      </w:r>
    </w:p>
    <w:p w14:paraId="7F879EE0" w14:textId="77777777" w:rsidR="00B555C8" w:rsidRPr="00C61A23" w:rsidRDefault="00B555C8">
      <w:pPr>
        <w:spacing w:line="240" w:lineRule="auto"/>
        <w:jc w:val="center"/>
        <w:rPr>
          <w:rFonts w:eastAsia="Times New Roman"/>
          <w:b/>
          <w:sz w:val="20"/>
          <w:szCs w:val="20"/>
        </w:rPr>
      </w:pPr>
    </w:p>
    <w:p w14:paraId="10E6F389" w14:textId="1989FE48" w:rsidR="00B555C8" w:rsidRPr="00C61A23" w:rsidRDefault="00891714">
      <w:pPr>
        <w:spacing w:line="240" w:lineRule="auto"/>
        <w:jc w:val="center"/>
        <w:rPr>
          <w:rFonts w:eastAsia="Times New Roman"/>
          <w:b/>
          <w:sz w:val="20"/>
          <w:szCs w:val="20"/>
        </w:rPr>
      </w:pPr>
      <w:r w:rsidRPr="00C61A23">
        <w:rPr>
          <w:rFonts w:eastAsia="Times New Roman"/>
          <w:b/>
          <w:bCs/>
          <w:color w:val="000000"/>
          <w:sz w:val="20"/>
          <w:szCs w:val="20"/>
          <w:lang w:eastAsia="zh-CN"/>
        </w:rPr>
        <w:t xml:space="preserve">CRESCIMENTO RELATIVO E MATURIDADE SEXUAL MORFOMÉTRICA DE </w:t>
      </w:r>
      <w:r w:rsidRPr="00C61A23">
        <w:rPr>
          <w:rFonts w:eastAsia="Times New Roman"/>
          <w:b/>
          <w:bCs/>
          <w:i/>
          <w:iCs/>
          <w:color w:val="000000"/>
          <w:sz w:val="20"/>
          <w:szCs w:val="20"/>
        </w:rPr>
        <w:t>C</w:t>
      </w:r>
      <w:r w:rsidRPr="00C61A23">
        <w:rPr>
          <w:rFonts w:eastAsia="Times New Roman"/>
          <w:b/>
          <w:bCs/>
          <w:i/>
          <w:iCs/>
          <w:color w:val="000000"/>
          <w:sz w:val="20"/>
          <w:szCs w:val="20"/>
          <w:lang w:eastAsia="zh-CN"/>
        </w:rPr>
        <w:t xml:space="preserve">alcinus tibicen </w:t>
      </w:r>
      <w:r w:rsidRPr="00C61A23">
        <w:rPr>
          <w:rFonts w:eastAsia="Times New Roman"/>
          <w:b/>
          <w:bCs/>
          <w:color w:val="000000"/>
          <w:sz w:val="20"/>
          <w:szCs w:val="20"/>
          <w:lang w:eastAsia="zh-CN"/>
        </w:rPr>
        <w:t>(HERBST, 1791)</w:t>
      </w:r>
      <w:r w:rsidRPr="00C61A23">
        <w:rPr>
          <w:rFonts w:eastAsia="Times New Roman"/>
          <w:b/>
          <w:bCs/>
          <w:i/>
          <w:iCs/>
          <w:color w:val="000000"/>
          <w:sz w:val="20"/>
          <w:szCs w:val="20"/>
          <w:lang w:eastAsia="zh-CN"/>
        </w:rPr>
        <w:t xml:space="preserve"> </w:t>
      </w:r>
      <w:r w:rsidRPr="00C61A23">
        <w:rPr>
          <w:rFonts w:eastAsia="Times New Roman"/>
          <w:b/>
          <w:bCs/>
          <w:color w:val="000000"/>
          <w:sz w:val="20"/>
          <w:szCs w:val="20"/>
          <w:lang w:eastAsia="zh-CN"/>
        </w:rPr>
        <w:t>(CRUSTACEA, DECAPODA, ANOMURA), PROVENIENTE DO MUNICÍPIO DE ILHÉUS, BAHIA</w:t>
      </w:r>
    </w:p>
    <w:p w14:paraId="07198180" w14:textId="77777777" w:rsidR="00B555C8" w:rsidRPr="00C61A23" w:rsidRDefault="00B555C8">
      <w:pPr>
        <w:spacing w:line="240" w:lineRule="auto"/>
        <w:jc w:val="center"/>
        <w:rPr>
          <w:rFonts w:eastAsia="Times New Roman"/>
          <w:b/>
          <w:sz w:val="20"/>
          <w:szCs w:val="20"/>
        </w:rPr>
      </w:pPr>
    </w:p>
    <w:p w14:paraId="1B531EDC" w14:textId="77777777" w:rsidR="00891714" w:rsidRPr="00C61A23" w:rsidRDefault="00891714" w:rsidP="00891714">
      <w:pPr>
        <w:spacing w:line="240" w:lineRule="auto"/>
        <w:jc w:val="center"/>
        <w:textAlignment w:val="baseline"/>
        <w:rPr>
          <w:rFonts w:ascii="Segoe UI" w:eastAsia="Times New Roman" w:hAnsi="Segoe UI" w:cs="Segoe UI"/>
          <w:sz w:val="18"/>
          <w:szCs w:val="18"/>
        </w:rPr>
      </w:pPr>
      <w:r w:rsidRPr="00C61A23">
        <w:rPr>
          <w:rFonts w:eastAsia="Times New Roman"/>
          <w:sz w:val="20"/>
          <w:szCs w:val="20"/>
        </w:rPr>
        <w:t>Ana Carolina Souza Sampaio</w:t>
      </w:r>
      <w:r w:rsidRPr="00C61A23">
        <w:rPr>
          <w:rFonts w:eastAsia="Times New Roman"/>
          <w:sz w:val="20"/>
          <w:szCs w:val="20"/>
          <w:lang w:eastAsia="zh-CN"/>
        </w:rPr>
        <w:t xml:space="preserve">¹, </w:t>
      </w:r>
      <w:r w:rsidRPr="00C61A23">
        <w:rPr>
          <w:rFonts w:eastAsia="Times New Roman"/>
          <w:sz w:val="20"/>
          <w:szCs w:val="20"/>
        </w:rPr>
        <w:t>Gracimara Santos Macêdo</w:t>
      </w:r>
      <w:r w:rsidRPr="00C61A23">
        <w:rPr>
          <w:rFonts w:eastAsia="Times New Roman"/>
          <w:sz w:val="20"/>
          <w:szCs w:val="20"/>
          <w:lang w:eastAsia="zh-CN"/>
        </w:rPr>
        <w:t>¹</w:t>
      </w:r>
      <w:r w:rsidRPr="00C61A23">
        <w:rPr>
          <w:rFonts w:eastAsia="Times New Roman"/>
          <w:sz w:val="20"/>
          <w:szCs w:val="20"/>
        </w:rPr>
        <w:t xml:space="preserve">, </w:t>
      </w:r>
      <w:r w:rsidRPr="00C61A23">
        <w:rPr>
          <w:rFonts w:eastAsia="Times New Roman"/>
          <w:sz w:val="20"/>
          <w:szCs w:val="20"/>
          <w:lang w:eastAsia="zh-CN"/>
        </w:rPr>
        <w:t>Mateus Pereira Santos²</w:t>
      </w:r>
      <w:r w:rsidRPr="00C61A23">
        <w:rPr>
          <w:rFonts w:eastAsia="Times New Roman"/>
          <w:sz w:val="20"/>
          <w:szCs w:val="20"/>
        </w:rPr>
        <w:t>, Vivian Fransozo</w:t>
      </w:r>
      <w:r w:rsidRPr="00C61A23">
        <w:rPr>
          <w:rFonts w:eastAsia="Times New Roman"/>
          <w:sz w:val="20"/>
          <w:szCs w:val="20"/>
          <w:lang w:eastAsia="zh-CN"/>
        </w:rPr>
        <w:t>¹ </w:t>
      </w:r>
      <w:r w:rsidRPr="00C61A23">
        <w:rPr>
          <w:rFonts w:eastAsia="Times New Roman"/>
          <w:sz w:val="20"/>
          <w:szCs w:val="20"/>
        </w:rPr>
        <w:t> </w:t>
      </w:r>
    </w:p>
    <w:p w14:paraId="5ED3948B" w14:textId="77777777" w:rsidR="00891714" w:rsidRPr="00C61A23" w:rsidRDefault="00891714" w:rsidP="00891714">
      <w:pPr>
        <w:spacing w:line="240" w:lineRule="auto"/>
        <w:jc w:val="center"/>
        <w:textAlignment w:val="baseline"/>
        <w:rPr>
          <w:rFonts w:ascii="Segoe UI" w:eastAsia="Times New Roman" w:hAnsi="Segoe UI" w:cs="Segoe UI"/>
          <w:sz w:val="18"/>
          <w:szCs w:val="18"/>
        </w:rPr>
      </w:pPr>
      <w:r w:rsidRPr="00C61A23">
        <w:rPr>
          <w:rFonts w:eastAsia="Times New Roman"/>
          <w:sz w:val="20"/>
          <w:szCs w:val="20"/>
          <w:lang w:eastAsia="zh-CN"/>
        </w:rPr>
        <w:t xml:space="preserve">¹ Universidade </w:t>
      </w:r>
      <w:r w:rsidRPr="00C61A23">
        <w:rPr>
          <w:rFonts w:eastAsia="Times New Roman"/>
          <w:sz w:val="20"/>
          <w:szCs w:val="20"/>
        </w:rPr>
        <w:t xml:space="preserve">Estadual do Sudoeste da Bahia </w:t>
      </w:r>
      <w:r w:rsidRPr="00C61A23">
        <w:rPr>
          <w:rFonts w:eastAsia="Times New Roman"/>
          <w:sz w:val="20"/>
          <w:szCs w:val="20"/>
          <w:lang w:eastAsia="zh-CN"/>
        </w:rPr>
        <w:t>(</w:t>
      </w:r>
      <w:r w:rsidRPr="00C61A23">
        <w:rPr>
          <w:rFonts w:eastAsia="Times New Roman"/>
          <w:sz w:val="20"/>
          <w:szCs w:val="20"/>
        </w:rPr>
        <w:t>UESB</w:t>
      </w:r>
      <w:r w:rsidRPr="00C61A23">
        <w:rPr>
          <w:rFonts w:eastAsia="Times New Roman"/>
          <w:sz w:val="20"/>
          <w:szCs w:val="20"/>
          <w:lang w:eastAsia="zh-CN"/>
        </w:rPr>
        <w:t xml:space="preserve">), Campus </w:t>
      </w:r>
      <w:r w:rsidRPr="00C61A23">
        <w:rPr>
          <w:rFonts w:eastAsia="Times New Roman"/>
          <w:sz w:val="20"/>
          <w:szCs w:val="20"/>
        </w:rPr>
        <w:t>Vitória da Conquista</w:t>
      </w:r>
      <w:r w:rsidRPr="00C61A23">
        <w:rPr>
          <w:rFonts w:eastAsia="Times New Roman"/>
          <w:sz w:val="20"/>
          <w:szCs w:val="20"/>
          <w:lang w:eastAsia="zh-CN"/>
        </w:rPr>
        <w:t>. E-mail (A</w:t>
      </w:r>
      <w:r w:rsidRPr="00C61A23">
        <w:rPr>
          <w:rFonts w:eastAsia="Times New Roman"/>
          <w:sz w:val="20"/>
          <w:szCs w:val="20"/>
        </w:rPr>
        <w:t>CSS</w:t>
      </w:r>
      <w:r w:rsidRPr="00C61A23">
        <w:rPr>
          <w:rFonts w:eastAsia="Times New Roman"/>
          <w:sz w:val="20"/>
          <w:szCs w:val="20"/>
          <w:lang w:eastAsia="zh-CN"/>
        </w:rPr>
        <w:t xml:space="preserve">): </w:t>
      </w:r>
      <w:hyperlink r:id="rId6" w:tgtFrame="_blank" w:history="1">
        <w:r w:rsidRPr="00C61A23">
          <w:rPr>
            <w:rFonts w:eastAsia="Times New Roman"/>
            <w:sz w:val="20"/>
            <w:szCs w:val="20"/>
            <w:u w:val="single"/>
            <w:shd w:val="clear" w:color="auto" w:fill="E1E3E6"/>
          </w:rPr>
          <w:t>202010025@uesb.edu.br</w:t>
        </w:r>
      </w:hyperlink>
      <w:r w:rsidRPr="00C61A23">
        <w:rPr>
          <w:rFonts w:eastAsia="Times New Roman"/>
          <w:sz w:val="20"/>
          <w:szCs w:val="20"/>
        </w:rPr>
        <w:t xml:space="preserve">, </w:t>
      </w:r>
      <w:r w:rsidRPr="00C61A23">
        <w:rPr>
          <w:rFonts w:eastAsia="Times New Roman"/>
          <w:sz w:val="20"/>
          <w:szCs w:val="20"/>
          <w:lang w:eastAsia="zh-CN"/>
        </w:rPr>
        <w:t>(</w:t>
      </w:r>
      <w:r w:rsidRPr="00C61A23">
        <w:rPr>
          <w:rFonts w:eastAsia="Times New Roman"/>
          <w:sz w:val="20"/>
          <w:szCs w:val="20"/>
        </w:rPr>
        <w:t>GSM</w:t>
      </w:r>
      <w:r w:rsidRPr="00C61A23">
        <w:rPr>
          <w:rFonts w:eastAsia="Times New Roman"/>
          <w:sz w:val="20"/>
          <w:szCs w:val="20"/>
          <w:lang w:eastAsia="zh-CN"/>
        </w:rPr>
        <w:t xml:space="preserve">): </w:t>
      </w:r>
      <w:hyperlink r:id="rId7" w:tgtFrame="_blank" w:history="1">
        <w:r w:rsidRPr="00C61A23">
          <w:rPr>
            <w:rFonts w:eastAsia="Times New Roman"/>
            <w:sz w:val="20"/>
            <w:szCs w:val="20"/>
            <w:u w:val="single"/>
            <w:shd w:val="clear" w:color="auto" w:fill="FFFFFF"/>
            <w:lang w:eastAsia="zh-CN"/>
          </w:rPr>
          <w:t>graci.maacedo@gmail.com</w:t>
        </w:r>
      </w:hyperlink>
      <w:r w:rsidRPr="00C61A23">
        <w:rPr>
          <w:rFonts w:eastAsia="Times New Roman"/>
          <w:sz w:val="20"/>
          <w:szCs w:val="20"/>
          <w:u w:val="single"/>
          <w:shd w:val="clear" w:color="auto" w:fill="FFFFFF"/>
        </w:rPr>
        <w:t xml:space="preserve"> </w:t>
      </w:r>
      <w:r w:rsidRPr="00C61A23">
        <w:rPr>
          <w:rFonts w:eastAsia="Times New Roman"/>
          <w:sz w:val="20"/>
          <w:szCs w:val="20"/>
          <w:shd w:val="clear" w:color="auto" w:fill="FFFFFF"/>
        </w:rPr>
        <w:t xml:space="preserve">e </w:t>
      </w:r>
      <w:r w:rsidRPr="00C61A23">
        <w:rPr>
          <w:rFonts w:eastAsia="Times New Roman"/>
          <w:sz w:val="20"/>
          <w:szCs w:val="20"/>
        </w:rPr>
        <w:t xml:space="preserve">(VF): </w:t>
      </w:r>
      <w:r w:rsidRPr="00C61A23">
        <w:fldChar w:fldCharType="begin"/>
      </w:r>
      <w:r w:rsidRPr="00C61A23">
        <w:instrText>HYPERLINK "mailto:vivian@uesb.edu.br" \t "_blank"</w:instrText>
      </w:r>
      <w:r w:rsidRPr="00C61A23">
        <w:fldChar w:fldCharType="separate"/>
      </w:r>
      <w:r w:rsidRPr="00C61A23">
        <w:rPr>
          <w:rFonts w:eastAsia="Times New Roman"/>
          <w:sz w:val="20"/>
          <w:szCs w:val="20"/>
          <w:u w:val="single"/>
        </w:rPr>
        <w:t>vivian@uesb.edu.br</w:t>
      </w:r>
      <w:r w:rsidRPr="00C61A23">
        <w:rPr>
          <w:rFonts w:eastAsia="Times New Roman"/>
          <w:sz w:val="20"/>
          <w:szCs w:val="20"/>
          <w:u w:val="single"/>
        </w:rPr>
        <w:fldChar w:fldCharType="end"/>
      </w:r>
      <w:r w:rsidRPr="00C61A23">
        <w:rPr>
          <w:rFonts w:eastAsia="Times New Roman"/>
          <w:sz w:val="20"/>
          <w:szCs w:val="20"/>
        </w:rPr>
        <w:t>  </w:t>
      </w:r>
    </w:p>
    <w:p w14:paraId="145FDCE2" w14:textId="75F6824B" w:rsidR="00B555C8" w:rsidRPr="00C61A23" w:rsidRDefault="00891714" w:rsidP="00891714">
      <w:pPr>
        <w:spacing w:line="240" w:lineRule="auto"/>
        <w:jc w:val="center"/>
        <w:rPr>
          <w:rFonts w:eastAsia="Times New Roman"/>
          <w:sz w:val="20"/>
          <w:szCs w:val="20"/>
        </w:rPr>
      </w:pPr>
      <w:r w:rsidRPr="00C61A23">
        <w:rPr>
          <w:rFonts w:eastAsia="Times New Roman"/>
          <w:sz w:val="20"/>
          <w:szCs w:val="20"/>
          <w:lang w:eastAsia="zh-CN"/>
        </w:rPr>
        <w:t xml:space="preserve">² Universidade Estadual Paulista “Júlio de Mesquita Filho” (UNESP), Campus Botucatu. E-mail </w:t>
      </w:r>
      <w:r w:rsidRPr="00C61A23">
        <w:rPr>
          <w:rFonts w:eastAsia="Times New Roman"/>
          <w:sz w:val="20"/>
          <w:szCs w:val="20"/>
        </w:rPr>
        <w:t>(MPS</w:t>
      </w:r>
      <w:r w:rsidRPr="00C61A23">
        <w:rPr>
          <w:rFonts w:eastAsia="Times New Roman"/>
          <w:sz w:val="20"/>
          <w:szCs w:val="20"/>
          <w:lang w:eastAsia="zh-CN"/>
        </w:rPr>
        <w:t>):</w:t>
      </w:r>
      <w:r w:rsidRPr="00C61A23">
        <w:rPr>
          <w:rFonts w:eastAsia="Times New Roman"/>
          <w:sz w:val="20"/>
          <w:szCs w:val="20"/>
        </w:rPr>
        <w:t xml:space="preserve"> mateus-pereira.santos@unesp.br</w:t>
      </w:r>
    </w:p>
    <w:p w14:paraId="3CA97350" w14:textId="77777777" w:rsidR="00B555C8" w:rsidRPr="00C61A23" w:rsidRDefault="00B555C8">
      <w:pPr>
        <w:spacing w:line="240" w:lineRule="auto"/>
        <w:rPr>
          <w:rFonts w:eastAsia="Times New Roman"/>
          <w:b/>
          <w:sz w:val="20"/>
          <w:szCs w:val="20"/>
        </w:rPr>
      </w:pPr>
    </w:p>
    <w:p w14:paraId="4BB99A28" w14:textId="77777777" w:rsidR="00B555C8" w:rsidRPr="00C61A23" w:rsidRDefault="00000000">
      <w:pPr>
        <w:spacing w:line="240" w:lineRule="auto"/>
        <w:rPr>
          <w:rFonts w:eastAsia="Times New Roman"/>
          <w:b/>
          <w:sz w:val="20"/>
          <w:szCs w:val="20"/>
        </w:rPr>
      </w:pPr>
      <w:r w:rsidRPr="00C61A23">
        <w:rPr>
          <w:rFonts w:eastAsia="Times New Roman"/>
          <w:b/>
          <w:sz w:val="20"/>
          <w:szCs w:val="20"/>
        </w:rPr>
        <w:t>INTRODUÇÃO</w:t>
      </w:r>
    </w:p>
    <w:p w14:paraId="22A5316A" w14:textId="23164DA8" w:rsidR="00E04D31" w:rsidRPr="00C61A23" w:rsidRDefault="00E04D31">
      <w:pPr>
        <w:spacing w:line="240" w:lineRule="auto"/>
        <w:ind w:firstLine="567"/>
        <w:jc w:val="both"/>
        <w:rPr>
          <w:rFonts w:eastAsia="Times New Roman"/>
          <w:color w:val="000000"/>
          <w:sz w:val="20"/>
          <w:szCs w:val="20"/>
        </w:rPr>
      </w:pPr>
      <w:r w:rsidRPr="00C61A23">
        <w:rPr>
          <w:rFonts w:eastAsia="Times New Roman"/>
          <w:color w:val="000000"/>
          <w:sz w:val="20"/>
          <w:szCs w:val="20"/>
        </w:rPr>
        <w:t>Os caranguejos ermitões são organismos que se caracterizam por apresentarem o cefalotórax rígido com abdômen mole e torcido, assimetricamente, e se abrigam, geralmente, em conchas vazias dos gastrópodes </w:t>
      </w:r>
      <w:r w:rsidR="00C61A23">
        <w:rPr>
          <w:rFonts w:eastAsia="Times New Roman"/>
          <w:color w:val="000000"/>
          <w:sz w:val="20"/>
          <w:szCs w:val="20"/>
          <w:lang w:val="pt-BR"/>
        </w:rPr>
        <w:t>(</w:t>
      </w:r>
      <w:proofErr w:type="spellStart"/>
      <w:r w:rsidR="00C61A23">
        <w:rPr>
          <w:rFonts w:eastAsia="Times New Roman"/>
          <w:color w:val="000000"/>
          <w:sz w:val="20"/>
          <w:szCs w:val="20"/>
          <w:lang w:val="pt-BR"/>
        </w:rPr>
        <w:t>Hazlett</w:t>
      </w:r>
      <w:proofErr w:type="spellEnd"/>
      <w:r w:rsidR="00C61A23">
        <w:rPr>
          <w:rFonts w:eastAsia="Times New Roman"/>
          <w:color w:val="000000"/>
          <w:sz w:val="20"/>
          <w:szCs w:val="20"/>
          <w:lang w:val="pt-BR"/>
        </w:rPr>
        <w:t xml:space="preserve"> e Baron, 1989)</w:t>
      </w:r>
      <w:r w:rsidRPr="00C61A23">
        <w:rPr>
          <w:rFonts w:eastAsia="Times New Roman"/>
          <w:color w:val="000000"/>
          <w:sz w:val="20"/>
          <w:szCs w:val="20"/>
        </w:rPr>
        <w:t>. </w:t>
      </w:r>
    </w:p>
    <w:p w14:paraId="1217FFE7" w14:textId="63F02464" w:rsidR="00E04D31" w:rsidRPr="00C61A23" w:rsidRDefault="00E04D31">
      <w:pPr>
        <w:spacing w:line="240" w:lineRule="auto"/>
        <w:ind w:firstLine="567"/>
        <w:jc w:val="both"/>
        <w:rPr>
          <w:color w:val="000000"/>
          <w:sz w:val="20"/>
          <w:szCs w:val="20"/>
          <w:lang w:eastAsia="zh-CN"/>
        </w:rPr>
      </w:pPr>
      <w:r w:rsidRPr="00C61A23">
        <w:rPr>
          <w:rFonts w:eastAsia="Times New Roman"/>
          <w:color w:val="000000"/>
          <w:sz w:val="20"/>
          <w:szCs w:val="20"/>
        </w:rPr>
        <w:t>Os caranguejos ermitões são organismos que se caracterizam por apresentarem o cefalotórax rígido com abdômen mole e torcido, assimetricamente, e se abrigam, geralmente, em conchas vazias dos gastrópodes </w:t>
      </w:r>
      <w:r w:rsidR="00C61A23">
        <w:rPr>
          <w:rFonts w:eastAsia="Times New Roman"/>
          <w:color w:val="000000"/>
          <w:sz w:val="20"/>
          <w:szCs w:val="20"/>
          <w:lang w:val="pt-BR"/>
        </w:rPr>
        <w:t>(</w:t>
      </w:r>
      <w:proofErr w:type="spellStart"/>
      <w:r w:rsidR="00C61A23">
        <w:rPr>
          <w:rFonts w:eastAsia="Times New Roman"/>
          <w:color w:val="000000"/>
          <w:sz w:val="20"/>
          <w:szCs w:val="20"/>
          <w:lang w:val="pt-BR"/>
        </w:rPr>
        <w:t>Hazlett</w:t>
      </w:r>
      <w:proofErr w:type="spellEnd"/>
      <w:r w:rsidR="00C61A23">
        <w:rPr>
          <w:rFonts w:eastAsia="Times New Roman"/>
          <w:color w:val="000000"/>
          <w:sz w:val="20"/>
          <w:szCs w:val="20"/>
          <w:lang w:val="pt-BR"/>
        </w:rPr>
        <w:t xml:space="preserve"> e Baron, 1989)</w:t>
      </w:r>
      <w:r w:rsidR="00C61A23" w:rsidRPr="00C61A23">
        <w:rPr>
          <w:rFonts w:eastAsia="Times New Roman"/>
          <w:color w:val="000000"/>
          <w:sz w:val="20"/>
          <w:szCs w:val="20"/>
        </w:rPr>
        <w:t>.</w:t>
      </w:r>
      <w:r w:rsidR="00C61A23" w:rsidRPr="00C61A23">
        <w:rPr>
          <w:rFonts w:eastAsia="Times New Roman"/>
          <w:color w:val="000000"/>
          <w:sz w:val="20"/>
          <w:szCs w:val="20"/>
        </w:rPr>
        <w:t xml:space="preserve"> </w:t>
      </w:r>
      <w:r w:rsidRPr="00C61A23">
        <w:rPr>
          <w:rFonts w:eastAsia="Times New Roman"/>
          <w:color w:val="000000"/>
          <w:sz w:val="20"/>
          <w:szCs w:val="20"/>
        </w:rPr>
        <w:t> </w:t>
      </w:r>
    </w:p>
    <w:p w14:paraId="2001F895" w14:textId="4B33FE06" w:rsidR="00E04D31" w:rsidRPr="00C61A23" w:rsidRDefault="00E04D31">
      <w:pPr>
        <w:spacing w:line="240" w:lineRule="auto"/>
        <w:ind w:firstLine="567"/>
        <w:jc w:val="both"/>
        <w:rPr>
          <w:color w:val="000000"/>
          <w:sz w:val="20"/>
          <w:szCs w:val="20"/>
          <w:shd w:val="clear" w:color="auto" w:fill="FFFF00"/>
          <w:lang w:val="pt-BR" w:eastAsia="zh-CN"/>
        </w:rPr>
      </w:pPr>
      <w:r w:rsidRPr="00C61A23">
        <w:rPr>
          <w:rFonts w:eastAsia="Times New Roman"/>
          <w:color w:val="000000"/>
          <w:sz w:val="20"/>
          <w:szCs w:val="20"/>
        </w:rPr>
        <w:t>Quando se analisa o desenvolvimento ontogênico de ermitões, é necessário levar em consideração se a população está ocupando conchas adequadas ao seu tamanho</w:t>
      </w:r>
      <w:r w:rsidRPr="00C61A23">
        <w:rPr>
          <w:rFonts w:eastAsia="Times New Roman"/>
          <w:color w:val="000000"/>
          <w:sz w:val="20"/>
          <w:szCs w:val="20"/>
          <w:shd w:val="clear" w:color="auto" w:fill="FFFFFF"/>
        </w:rPr>
        <w:t xml:space="preserve">, uma vez que, a ausência ou limitação de conchas no ambiente pode acarretar consequências negativas na estrutura corpórea dos ermitões </w:t>
      </w:r>
      <w:r w:rsidR="00C61A23">
        <w:rPr>
          <w:rFonts w:eastAsia="Times New Roman"/>
          <w:color w:val="000000"/>
          <w:sz w:val="20"/>
          <w:szCs w:val="20"/>
          <w:shd w:val="clear" w:color="auto" w:fill="FFFFFF"/>
          <w:lang w:val="pt-BR"/>
        </w:rPr>
        <w:t xml:space="preserve">(Biagi e </w:t>
      </w:r>
      <w:proofErr w:type="spellStart"/>
      <w:r w:rsidR="00C61A23">
        <w:rPr>
          <w:rFonts w:eastAsia="Times New Roman"/>
          <w:color w:val="000000"/>
          <w:sz w:val="20"/>
          <w:szCs w:val="20"/>
          <w:shd w:val="clear" w:color="auto" w:fill="FFFFFF"/>
          <w:lang w:val="pt-BR"/>
        </w:rPr>
        <w:t>Mantelatto</w:t>
      </w:r>
      <w:proofErr w:type="spellEnd"/>
      <w:r w:rsidR="00C61A23">
        <w:rPr>
          <w:rFonts w:eastAsia="Times New Roman"/>
          <w:color w:val="000000"/>
          <w:sz w:val="20"/>
          <w:szCs w:val="20"/>
          <w:shd w:val="clear" w:color="auto" w:fill="FFFFFF"/>
          <w:lang w:val="pt-BR"/>
        </w:rPr>
        <w:t>, 2006)</w:t>
      </w:r>
      <w:r w:rsidRPr="00C61A23">
        <w:rPr>
          <w:rFonts w:eastAsia="Times New Roman"/>
          <w:color w:val="000000"/>
          <w:sz w:val="20"/>
          <w:szCs w:val="20"/>
          <w:shd w:val="clear" w:color="auto" w:fill="FFFFFF"/>
        </w:rPr>
        <w:t>. Em caso de limitação desse recurso os pagurídeos ocuparão as conchas disponíveis no ambiente, podendo afetar o desenvolvimento de suas estruturas corporais</w:t>
      </w:r>
      <w:r w:rsidR="00C61A23">
        <w:rPr>
          <w:rFonts w:eastAsia="Times New Roman"/>
          <w:color w:val="000000"/>
          <w:sz w:val="20"/>
          <w:szCs w:val="20"/>
          <w:shd w:val="clear" w:color="auto" w:fill="FFFFFF"/>
          <w:lang w:val="pt-BR"/>
        </w:rPr>
        <w:t xml:space="preserve"> (Bertini e </w:t>
      </w:r>
      <w:proofErr w:type="spellStart"/>
      <w:r w:rsidR="00C61A23">
        <w:rPr>
          <w:rFonts w:eastAsia="Times New Roman"/>
          <w:color w:val="000000"/>
          <w:sz w:val="20"/>
          <w:szCs w:val="20"/>
          <w:shd w:val="clear" w:color="auto" w:fill="FFFFFF"/>
          <w:lang w:val="pt-BR"/>
        </w:rPr>
        <w:t>Fransozo</w:t>
      </w:r>
      <w:proofErr w:type="spellEnd"/>
      <w:r w:rsidR="00C61A23">
        <w:rPr>
          <w:rFonts w:eastAsia="Times New Roman"/>
          <w:color w:val="000000"/>
          <w:sz w:val="20"/>
          <w:szCs w:val="20"/>
          <w:shd w:val="clear" w:color="auto" w:fill="FFFFFF"/>
          <w:lang w:val="pt-BR"/>
        </w:rPr>
        <w:t>, 1999).</w:t>
      </w:r>
    </w:p>
    <w:p w14:paraId="2A5BBF0F" w14:textId="40492D94" w:rsidR="00B555C8" w:rsidRPr="00C61A23" w:rsidRDefault="00E04D31">
      <w:pPr>
        <w:spacing w:line="240" w:lineRule="auto"/>
        <w:ind w:firstLine="567"/>
        <w:jc w:val="both"/>
        <w:rPr>
          <w:rFonts w:eastAsia="Times New Roman"/>
          <w:sz w:val="20"/>
          <w:szCs w:val="20"/>
          <w:lang w:val="pt-BR"/>
        </w:rPr>
      </w:pPr>
      <w:r w:rsidRPr="00C61A23">
        <w:rPr>
          <w:rFonts w:eastAsia="Times New Roman"/>
          <w:color w:val="000000"/>
          <w:sz w:val="20"/>
          <w:szCs w:val="20"/>
        </w:rPr>
        <w:t>Portanto, nossos objetivos foram comparar o tamanho das estruturas corporais entre machos e fêmeas, avaliar os padrões de crescimento relativo entre os grupos demográficos e estimar o tamanho que machos e fêmeas atingem a maturidade sexual morfométrica.</w:t>
      </w:r>
    </w:p>
    <w:p w14:paraId="28A71EFA" w14:textId="77777777" w:rsidR="00B555C8" w:rsidRPr="00C61A23" w:rsidRDefault="00B555C8">
      <w:pPr>
        <w:spacing w:line="240" w:lineRule="auto"/>
        <w:jc w:val="both"/>
        <w:rPr>
          <w:rFonts w:eastAsia="Times New Roman"/>
          <w:b/>
          <w:sz w:val="20"/>
          <w:szCs w:val="20"/>
        </w:rPr>
      </w:pPr>
    </w:p>
    <w:p w14:paraId="2E5C18D7" w14:textId="1DDCADFE" w:rsidR="00B555C8" w:rsidRPr="00C61A23" w:rsidRDefault="00000000">
      <w:pPr>
        <w:spacing w:line="240" w:lineRule="auto"/>
        <w:jc w:val="both"/>
        <w:rPr>
          <w:rFonts w:eastAsia="Times New Roman"/>
          <w:b/>
          <w:sz w:val="20"/>
          <w:szCs w:val="20"/>
          <w:lang w:val="pt-BR"/>
        </w:rPr>
      </w:pPr>
      <w:r w:rsidRPr="00C61A23">
        <w:rPr>
          <w:rFonts w:eastAsia="Times New Roman"/>
          <w:b/>
          <w:sz w:val="20"/>
          <w:szCs w:val="20"/>
        </w:rPr>
        <w:t>MATERIAL E MÉTODOS</w:t>
      </w:r>
    </w:p>
    <w:p w14:paraId="7380487C" w14:textId="3BCB0323" w:rsidR="00E04D31" w:rsidRPr="00C61A23" w:rsidRDefault="00E04D31">
      <w:pPr>
        <w:spacing w:line="240" w:lineRule="auto"/>
        <w:ind w:firstLine="567"/>
        <w:jc w:val="both"/>
        <w:rPr>
          <w:color w:val="000000"/>
          <w:sz w:val="20"/>
          <w:szCs w:val="20"/>
          <w:lang w:eastAsia="zh-CN"/>
        </w:rPr>
      </w:pPr>
      <w:r w:rsidRPr="00C61A23">
        <w:rPr>
          <w:rFonts w:eastAsia="Times New Roman"/>
          <w:sz w:val="20"/>
          <w:szCs w:val="20"/>
        </w:rPr>
        <w:t xml:space="preserve">As coletas ocorreram em dois </w:t>
      </w:r>
      <w:r w:rsidRPr="00C61A23">
        <w:rPr>
          <w:rFonts w:eastAsia="Times New Roman"/>
          <w:color w:val="000000"/>
          <w:sz w:val="20"/>
          <w:szCs w:val="20"/>
          <w:lang w:eastAsia="zh-CN"/>
        </w:rPr>
        <w:t xml:space="preserve">costões rochosos, nas praias de Batuba e Olivença, sendo realizadas, bimestralmente, ao longo de um ano, com início em novembro de 2016 e término em outubro de 2017 no </w:t>
      </w:r>
      <w:r w:rsidRPr="00C61A23">
        <w:rPr>
          <w:rFonts w:eastAsia="Times New Roman"/>
          <w:sz w:val="20"/>
          <w:szCs w:val="20"/>
        </w:rPr>
        <w:t xml:space="preserve">município de Ilhéus. </w:t>
      </w:r>
      <w:r w:rsidRPr="00C61A23">
        <w:rPr>
          <w:rFonts w:eastAsia="Times New Roman"/>
          <w:color w:val="000000"/>
          <w:sz w:val="20"/>
          <w:szCs w:val="20"/>
          <w:lang w:eastAsia="zh-CN"/>
        </w:rPr>
        <w:t>Os ermitões foram identificados de acordo com (</w:t>
      </w:r>
      <w:r w:rsidR="00C61A23">
        <w:rPr>
          <w:rFonts w:eastAsia="Times New Roman"/>
          <w:color w:val="000000"/>
          <w:sz w:val="20"/>
          <w:szCs w:val="20"/>
          <w:lang w:val="pt-BR" w:eastAsia="zh-CN"/>
        </w:rPr>
        <w:t>Melo, 1999)</w:t>
      </w:r>
      <w:r w:rsidRPr="00C61A23">
        <w:rPr>
          <w:rFonts w:eastAsia="Times New Roman"/>
          <w:color w:val="000000"/>
          <w:sz w:val="20"/>
          <w:szCs w:val="20"/>
          <w:lang w:eastAsia="zh-CN"/>
        </w:rPr>
        <w:t xml:space="preserve"> e o sexo, determinado de acordo com a posição dos gonóporos</w:t>
      </w:r>
      <w:r w:rsidRPr="00C61A23">
        <w:rPr>
          <w:rFonts w:eastAsia="Times New Roman"/>
          <w:color w:val="000000"/>
          <w:sz w:val="20"/>
          <w:szCs w:val="20"/>
        </w:rPr>
        <w:t>.</w:t>
      </w:r>
    </w:p>
    <w:p w14:paraId="7D4196B9" w14:textId="2496D585" w:rsidR="00E04D31" w:rsidRPr="00C61A23" w:rsidRDefault="00E04D31">
      <w:pPr>
        <w:spacing w:line="240" w:lineRule="auto"/>
        <w:ind w:firstLine="567"/>
        <w:jc w:val="both"/>
        <w:rPr>
          <w:color w:val="000000"/>
          <w:sz w:val="20"/>
          <w:szCs w:val="20"/>
          <w:shd w:val="clear" w:color="auto" w:fill="FFFF00"/>
          <w:lang w:val="pt-BR" w:eastAsia="zh-CN"/>
        </w:rPr>
      </w:pPr>
      <w:r w:rsidRPr="00C61A23">
        <w:rPr>
          <w:rFonts w:eastAsia="Times New Roman"/>
          <w:color w:val="000000"/>
          <w:sz w:val="20"/>
          <w:szCs w:val="20"/>
          <w:lang w:eastAsia="zh-CN"/>
        </w:rPr>
        <w:t>Todos os ermitões obtidos foram mensurados quanto ao comprimento do escudo cefalotorácico</w:t>
      </w:r>
      <w:r w:rsidRPr="00C61A23">
        <w:rPr>
          <w:rFonts w:eastAsia="Times New Roman"/>
          <w:color w:val="000000"/>
          <w:sz w:val="20"/>
          <w:szCs w:val="20"/>
        </w:rPr>
        <w:t xml:space="preserve"> (CEC)</w:t>
      </w:r>
      <w:r w:rsidRPr="00C61A23">
        <w:rPr>
          <w:rFonts w:eastAsia="Times New Roman"/>
          <w:color w:val="000000"/>
          <w:sz w:val="20"/>
          <w:szCs w:val="20"/>
          <w:lang w:eastAsia="zh-CN"/>
        </w:rPr>
        <w:t>, altura do própodo do quelípodo esquerdo (APQE) e comprimento do própodo do quelípodo esquerdo</w:t>
      </w:r>
      <w:r w:rsidRPr="00C61A23">
        <w:rPr>
          <w:rFonts w:eastAsia="Times New Roman"/>
          <w:color w:val="000000"/>
          <w:sz w:val="20"/>
          <w:szCs w:val="20"/>
        </w:rPr>
        <w:t xml:space="preserve"> (CPQE)</w:t>
      </w:r>
      <w:r w:rsidRPr="00C61A23">
        <w:rPr>
          <w:rFonts w:eastAsia="Times New Roman"/>
          <w:color w:val="000000"/>
          <w:sz w:val="20"/>
          <w:szCs w:val="20"/>
          <w:lang w:eastAsia="zh-CN"/>
        </w:rPr>
        <w:t>,</w:t>
      </w:r>
      <w:r w:rsidRPr="00C61A23">
        <w:rPr>
          <w:rFonts w:eastAsia="Times New Roman"/>
          <w:b/>
          <w:bCs/>
          <w:color w:val="000000"/>
          <w:sz w:val="20"/>
          <w:szCs w:val="20"/>
          <w:lang w:eastAsia="zh-CN"/>
        </w:rPr>
        <w:t xml:space="preserve"> </w:t>
      </w:r>
      <w:r w:rsidRPr="00C61A23">
        <w:rPr>
          <w:rFonts w:eastAsia="Times New Roman"/>
          <w:color w:val="000000"/>
          <w:sz w:val="20"/>
          <w:szCs w:val="20"/>
          <w:lang w:eastAsia="zh-CN"/>
        </w:rPr>
        <w:t>utilizando-se um paquímetro digital</w:t>
      </w:r>
      <w:r w:rsidRPr="00C61A23">
        <w:rPr>
          <w:rFonts w:eastAsia="Times New Roman"/>
          <w:b/>
          <w:bCs/>
          <w:color w:val="000000"/>
          <w:sz w:val="20"/>
          <w:szCs w:val="20"/>
          <w:lang w:eastAsia="zh-CN"/>
        </w:rPr>
        <w:t xml:space="preserve">. </w:t>
      </w:r>
      <w:r w:rsidRPr="00C61A23">
        <w:rPr>
          <w:rFonts w:eastAsia="Times New Roman"/>
          <w:color w:val="000000"/>
          <w:sz w:val="20"/>
          <w:szCs w:val="20"/>
          <w:lang w:eastAsia="zh-CN"/>
        </w:rPr>
        <w:t>As fêmeas ovígeras foram identificadas pela presença da massa de ovos nos pleópodos. Para distinguir os machos jovens (MJ) dos machos adultos (MA), utizou-se o método K-means baseado na diferença do tamanho do CPQE em relação ao CEC e, para as fêmeas, foram consideradas juvenis (FJ) aquelas que possuíam o CEC menor que o CEC da menor fêmea ovígera. As análises de crescimento relativo foram realizadas pelo modelo de regresão do tipo II com o pacote “Smatr”</w:t>
      </w:r>
      <w:r w:rsidR="00C61A23">
        <w:rPr>
          <w:rFonts w:eastAsia="Times New Roman"/>
          <w:color w:val="000000"/>
          <w:sz w:val="20"/>
          <w:szCs w:val="20"/>
          <w:lang w:val="pt-BR" w:eastAsia="zh-CN"/>
        </w:rPr>
        <w:t xml:space="preserve"> (</w:t>
      </w:r>
      <w:proofErr w:type="spellStart"/>
      <w:r w:rsidR="00C61A23">
        <w:rPr>
          <w:rFonts w:eastAsia="Times New Roman"/>
          <w:color w:val="000000"/>
          <w:sz w:val="20"/>
          <w:szCs w:val="20"/>
          <w:lang w:val="pt-BR" w:eastAsia="zh-CN"/>
        </w:rPr>
        <w:t>Warton</w:t>
      </w:r>
      <w:proofErr w:type="spellEnd"/>
      <w:r w:rsidR="00C61A23">
        <w:rPr>
          <w:rFonts w:eastAsia="Times New Roman"/>
          <w:color w:val="000000"/>
          <w:sz w:val="20"/>
          <w:szCs w:val="20"/>
          <w:lang w:val="pt-BR" w:eastAsia="zh-CN"/>
        </w:rPr>
        <w:t xml:space="preserve"> et al., 2012), </w:t>
      </w:r>
      <w:proofErr w:type="gramStart"/>
      <w:r w:rsidR="00C61A23">
        <w:rPr>
          <w:rFonts w:eastAsia="Times New Roman"/>
          <w:color w:val="000000"/>
          <w:sz w:val="20"/>
          <w:szCs w:val="20"/>
          <w:lang w:val="pt-BR" w:eastAsia="zh-CN"/>
        </w:rPr>
        <w:t>e</w:t>
      </w:r>
      <w:r w:rsidRPr="00C61A23">
        <w:rPr>
          <w:rFonts w:eastAsia="Times New Roman"/>
          <w:color w:val="000000"/>
          <w:sz w:val="20"/>
          <w:szCs w:val="20"/>
          <w:lang w:eastAsia="zh-CN"/>
        </w:rPr>
        <w:t>nquanto que</w:t>
      </w:r>
      <w:proofErr w:type="gramEnd"/>
      <w:r w:rsidRPr="00C61A23">
        <w:rPr>
          <w:rFonts w:eastAsia="Times New Roman"/>
          <w:color w:val="000000"/>
          <w:sz w:val="20"/>
          <w:szCs w:val="20"/>
          <w:lang w:eastAsia="zh-CN"/>
        </w:rPr>
        <w:t xml:space="preserve"> a maturidade sexual morfométrica foi estimada pela regressão logística com o pacote “SizeMat” </w:t>
      </w:r>
      <w:r w:rsidR="00C61A23">
        <w:rPr>
          <w:rFonts w:eastAsia="Times New Roman"/>
          <w:color w:val="000000"/>
          <w:sz w:val="20"/>
          <w:szCs w:val="20"/>
          <w:lang w:val="pt-BR" w:eastAsia="zh-CN"/>
        </w:rPr>
        <w:t>(</w:t>
      </w:r>
      <w:proofErr w:type="spellStart"/>
      <w:r w:rsidR="00C61A23">
        <w:rPr>
          <w:rFonts w:eastAsia="Times New Roman"/>
          <w:color w:val="000000"/>
          <w:sz w:val="20"/>
          <w:szCs w:val="20"/>
          <w:lang w:val="pt-BR" w:eastAsia="zh-CN"/>
        </w:rPr>
        <w:t>Torrejon</w:t>
      </w:r>
      <w:proofErr w:type="spellEnd"/>
      <w:r w:rsidR="00C61A23">
        <w:rPr>
          <w:rFonts w:eastAsia="Times New Roman"/>
          <w:color w:val="000000"/>
          <w:sz w:val="20"/>
          <w:szCs w:val="20"/>
          <w:lang w:val="pt-BR" w:eastAsia="zh-CN"/>
        </w:rPr>
        <w:t>-Magallanes, 2016).</w:t>
      </w:r>
    </w:p>
    <w:p w14:paraId="1E31B68A" w14:textId="03DBF064" w:rsidR="00B555C8" w:rsidRPr="00C61A23" w:rsidRDefault="00E04D31">
      <w:pPr>
        <w:spacing w:line="240" w:lineRule="auto"/>
        <w:ind w:firstLine="567"/>
        <w:jc w:val="both"/>
        <w:rPr>
          <w:rFonts w:eastAsia="Times New Roman"/>
          <w:sz w:val="20"/>
          <w:szCs w:val="20"/>
          <w:lang w:val="pt-BR"/>
        </w:rPr>
      </w:pPr>
      <w:r w:rsidRPr="00C61A23">
        <w:rPr>
          <w:rFonts w:eastAsia="Times New Roman"/>
          <w:color w:val="000000"/>
          <w:sz w:val="20"/>
          <w:szCs w:val="20"/>
          <w:lang w:eastAsia="zh-CN"/>
        </w:rPr>
        <w:t>Para verificar diferenças nos tamanhos das estruturas corporais entre machos e fêmeas, aplicamos o teste de Wilcoxon e T de Studente posterior ao teste de normalidade (Shapiro-Wilk), com nível de significância de 5%. Todas as análises foram realizadas no software Rstudio</w:t>
      </w:r>
      <w:r w:rsidR="00C61A23">
        <w:rPr>
          <w:rFonts w:eastAsia="Times New Roman"/>
          <w:color w:val="000000"/>
          <w:sz w:val="20"/>
          <w:szCs w:val="20"/>
          <w:lang w:val="pt-BR" w:eastAsia="zh-CN"/>
        </w:rPr>
        <w:t xml:space="preserve"> (R </w:t>
      </w:r>
      <w:proofErr w:type="spellStart"/>
      <w:r w:rsidR="00C61A23">
        <w:rPr>
          <w:rFonts w:eastAsia="Times New Roman"/>
          <w:color w:val="000000"/>
          <w:sz w:val="20"/>
          <w:szCs w:val="20"/>
          <w:lang w:val="pt-BR" w:eastAsia="zh-CN"/>
        </w:rPr>
        <w:t>Development</w:t>
      </w:r>
      <w:proofErr w:type="spellEnd"/>
      <w:r w:rsidR="00C61A23">
        <w:rPr>
          <w:rFonts w:eastAsia="Times New Roman"/>
          <w:color w:val="000000"/>
          <w:sz w:val="20"/>
          <w:szCs w:val="20"/>
          <w:lang w:val="pt-BR" w:eastAsia="zh-CN"/>
        </w:rPr>
        <w:t xml:space="preserve"> Core Team, 2016)</w:t>
      </w:r>
      <w:r w:rsidRPr="00C61A23">
        <w:rPr>
          <w:rFonts w:eastAsia="Times New Roman"/>
          <w:color w:val="000000"/>
          <w:sz w:val="20"/>
          <w:szCs w:val="20"/>
          <w:lang w:eastAsia="zh-CN"/>
        </w:rPr>
        <w:t>.</w:t>
      </w:r>
    </w:p>
    <w:p w14:paraId="74349C14" w14:textId="77777777" w:rsidR="00B555C8" w:rsidRPr="00C61A23" w:rsidRDefault="00B555C8">
      <w:pPr>
        <w:spacing w:line="240" w:lineRule="auto"/>
        <w:jc w:val="both"/>
        <w:rPr>
          <w:rFonts w:eastAsia="Times New Roman"/>
          <w:b/>
          <w:sz w:val="20"/>
          <w:szCs w:val="20"/>
          <w:lang w:val="pt-BR"/>
        </w:rPr>
      </w:pPr>
    </w:p>
    <w:p w14:paraId="2154A434" w14:textId="77777777" w:rsidR="00B555C8" w:rsidRPr="00C61A23" w:rsidRDefault="00000000">
      <w:pPr>
        <w:spacing w:line="240" w:lineRule="auto"/>
        <w:jc w:val="both"/>
        <w:rPr>
          <w:rFonts w:eastAsia="Times New Roman"/>
          <w:b/>
          <w:sz w:val="20"/>
          <w:szCs w:val="20"/>
        </w:rPr>
      </w:pPr>
      <w:r w:rsidRPr="00C61A23">
        <w:rPr>
          <w:rFonts w:eastAsia="Times New Roman"/>
          <w:b/>
          <w:sz w:val="20"/>
          <w:szCs w:val="20"/>
        </w:rPr>
        <w:t>RESULTADOS E DISCUSSÃO</w:t>
      </w:r>
    </w:p>
    <w:p w14:paraId="75840B2E" w14:textId="16ECFB27" w:rsidR="00E04D31" w:rsidRPr="00C61A23" w:rsidRDefault="00E04D31">
      <w:pPr>
        <w:spacing w:line="240" w:lineRule="auto"/>
        <w:ind w:firstLine="567"/>
        <w:jc w:val="both"/>
        <w:rPr>
          <w:color w:val="000000"/>
          <w:sz w:val="20"/>
          <w:szCs w:val="20"/>
          <w:shd w:val="clear" w:color="auto" w:fill="FFFF00"/>
          <w:lang w:val="pt-BR" w:eastAsia="zh-CN"/>
        </w:rPr>
      </w:pPr>
      <w:r w:rsidRPr="00C61A23">
        <w:rPr>
          <w:rFonts w:eastAsia="Times New Roman"/>
          <w:color w:val="000000"/>
          <w:sz w:val="20"/>
          <w:szCs w:val="20"/>
        </w:rPr>
        <w:t xml:space="preserve">No total, foram coletados 547 indivíduos de </w:t>
      </w:r>
      <w:r w:rsidRPr="00C61A23">
        <w:rPr>
          <w:rFonts w:eastAsia="Times New Roman"/>
          <w:i/>
          <w:iCs/>
          <w:color w:val="000000"/>
          <w:sz w:val="20"/>
          <w:szCs w:val="20"/>
        </w:rPr>
        <w:t xml:space="preserve">C. tibicen </w:t>
      </w:r>
      <w:r w:rsidRPr="00C61A23">
        <w:rPr>
          <w:rFonts w:eastAsia="Times New Roman"/>
          <w:color w:val="000000"/>
          <w:sz w:val="20"/>
          <w:szCs w:val="20"/>
        </w:rPr>
        <w:t xml:space="preserve">sendo 245 machos (M), 208 fêmeas não ovígeras (FNO) e 94 fêmeas ovígeras (FO). O tamanho médio do CEC nos machos foi 3,81 mm ± 0,9 e nas fêmeas (FNO+FO) foi de 3,55 mm ± 0,6. Estatisticamente, os machos foram maiores que as fêmeas em todos as mensurações morfométricas (CEC, Teste t, df = 544, p&lt;0,05; CPQE, teste de </w:t>
      </w:r>
      <w:r w:rsidRPr="00C61A23">
        <w:rPr>
          <w:rFonts w:eastAsia="Times New Roman"/>
          <w:color w:val="000000"/>
          <w:sz w:val="20"/>
          <w:szCs w:val="20"/>
        </w:rPr>
        <w:lastRenderedPageBreak/>
        <w:t>Wilcoxon, W = 197, p &lt;0,05; APQE, teste de Wilcoxon, W= 203, p&lt;0,05).  Tais resultados indicam estratégias reprodutivas distintas, pois os machos investem maior energia para o crescimento enquanto as fêmeas para reprodução</w:t>
      </w:r>
      <w:r w:rsidR="00C61A23">
        <w:rPr>
          <w:rFonts w:eastAsia="Times New Roman"/>
          <w:color w:val="000000"/>
          <w:sz w:val="20"/>
          <w:szCs w:val="20"/>
          <w:lang w:val="pt-BR"/>
        </w:rPr>
        <w:t xml:space="preserve"> (</w:t>
      </w:r>
      <w:proofErr w:type="spellStart"/>
      <w:r w:rsidR="00C61A23">
        <w:rPr>
          <w:rFonts w:eastAsia="Times New Roman"/>
          <w:color w:val="000000"/>
          <w:sz w:val="20"/>
          <w:szCs w:val="20"/>
          <w:lang w:val="pt-BR"/>
        </w:rPr>
        <w:t>Fransozo</w:t>
      </w:r>
      <w:proofErr w:type="spellEnd"/>
      <w:r w:rsidR="00C61A23">
        <w:rPr>
          <w:rFonts w:eastAsia="Times New Roman"/>
          <w:color w:val="000000"/>
          <w:sz w:val="20"/>
          <w:szCs w:val="20"/>
          <w:lang w:val="pt-BR"/>
        </w:rPr>
        <w:t xml:space="preserve"> et al., 2003). A</w:t>
      </w:r>
      <w:r w:rsidRPr="00C61A23">
        <w:rPr>
          <w:rFonts w:eastAsia="Times New Roman"/>
          <w:color w:val="000000"/>
          <w:sz w:val="20"/>
          <w:szCs w:val="20"/>
        </w:rPr>
        <w:t>lém disso, o tamanho maior dos quelípodos nos machos está associado ao embate com outros machos por fêmeas e nos comportamentos de cópula</w:t>
      </w:r>
      <w:r w:rsidR="00C61A23">
        <w:rPr>
          <w:rFonts w:eastAsia="Times New Roman"/>
          <w:color w:val="000000"/>
          <w:sz w:val="20"/>
          <w:szCs w:val="20"/>
          <w:lang w:val="pt-BR"/>
        </w:rPr>
        <w:t xml:space="preserve"> (</w:t>
      </w:r>
      <w:proofErr w:type="spellStart"/>
      <w:r w:rsidR="00C61A23">
        <w:rPr>
          <w:rFonts w:eastAsia="Times New Roman"/>
          <w:color w:val="000000"/>
          <w:sz w:val="20"/>
          <w:szCs w:val="20"/>
          <w:lang w:val="pt-BR"/>
        </w:rPr>
        <w:t>Mantelatto</w:t>
      </w:r>
      <w:proofErr w:type="spellEnd"/>
      <w:r w:rsidR="00C61A23">
        <w:rPr>
          <w:rFonts w:eastAsia="Times New Roman"/>
          <w:color w:val="000000"/>
          <w:sz w:val="20"/>
          <w:szCs w:val="20"/>
          <w:lang w:val="pt-BR"/>
        </w:rPr>
        <w:t xml:space="preserve"> e Martinelli, 2001; </w:t>
      </w:r>
      <w:proofErr w:type="spellStart"/>
      <w:r w:rsidR="00C61A23">
        <w:rPr>
          <w:rFonts w:eastAsia="Times New Roman"/>
          <w:color w:val="000000"/>
          <w:sz w:val="20"/>
          <w:szCs w:val="20"/>
          <w:lang w:val="pt-BR"/>
        </w:rPr>
        <w:t>Fransozo</w:t>
      </w:r>
      <w:proofErr w:type="spellEnd"/>
      <w:r w:rsidR="00C61A23">
        <w:rPr>
          <w:rFonts w:eastAsia="Times New Roman"/>
          <w:color w:val="000000"/>
          <w:sz w:val="20"/>
          <w:szCs w:val="20"/>
          <w:lang w:val="pt-BR"/>
        </w:rPr>
        <w:t xml:space="preserve"> et al., 2003).</w:t>
      </w:r>
    </w:p>
    <w:p w14:paraId="579B0969" w14:textId="61EEC63D" w:rsidR="00E04D31" w:rsidRPr="00C11974" w:rsidRDefault="00E04D31">
      <w:pPr>
        <w:spacing w:line="240" w:lineRule="auto"/>
        <w:ind w:firstLine="567"/>
        <w:jc w:val="both"/>
        <w:rPr>
          <w:color w:val="000000"/>
          <w:sz w:val="20"/>
          <w:szCs w:val="20"/>
          <w:shd w:val="clear" w:color="auto" w:fill="FFFF00"/>
          <w:lang w:val="pt-BR" w:eastAsia="zh-CN"/>
        </w:rPr>
      </w:pPr>
      <w:r w:rsidRPr="00C61A23">
        <w:rPr>
          <w:rFonts w:eastAsia="Times New Roman"/>
          <w:color w:val="000000"/>
          <w:sz w:val="20"/>
          <w:szCs w:val="20"/>
          <w:lang w:eastAsia="zh-CN"/>
        </w:rPr>
        <w:t>As análises de crescimento relativo na relação CPQE</w:t>
      </w:r>
      <w:r w:rsidRPr="00C61A23">
        <w:rPr>
          <w:rFonts w:eastAsia="Times New Roman"/>
          <w:i/>
          <w:iCs/>
          <w:color w:val="000000"/>
          <w:sz w:val="20"/>
          <w:szCs w:val="20"/>
          <w:lang w:eastAsia="zh-CN"/>
        </w:rPr>
        <w:t xml:space="preserve"> vs. </w:t>
      </w:r>
      <w:r w:rsidRPr="00C61A23">
        <w:rPr>
          <w:rFonts w:eastAsia="Times New Roman"/>
          <w:color w:val="000000"/>
          <w:sz w:val="20"/>
          <w:szCs w:val="20"/>
          <w:lang w:eastAsia="zh-CN"/>
        </w:rPr>
        <w:t xml:space="preserve">CEC se mostrou isométrica nos juvenis (MJ) e alométrica negativa nos adultos (MA) enquanto que tanto nas fêmeas juvenis (FJ) quanto nas fêmeas adultas (FA) o padrão obervado foi isométrico (Tab.1). Embora na literatura, os padrões alométricos em ermitões seja comum a alometria positiva nas quelípodes dos MA e negatova nas FA </w:t>
      </w:r>
      <w:r w:rsidR="00C11974">
        <w:rPr>
          <w:rFonts w:eastAsia="Times New Roman"/>
          <w:color w:val="000000"/>
          <w:sz w:val="20"/>
          <w:szCs w:val="20"/>
          <w:lang w:val="pt-BR" w:eastAsia="zh-CN"/>
        </w:rPr>
        <w:t>(</w:t>
      </w:r>
      <w:proofErr w:type="spellStart"/>
      <w:r w:rsidR="00C11974">
        <w:rPr>
          <w:rFonts w:eastAsia="Times New Roman"/>
          <w:color w:val="000000"/>
          <w:sz w:val="20"/>
          <w:szCs w:val="20"/>
          <w:lang w:val="pt-BR" w:eastAsia="zh-CN"/>
        </w:rPr>
        <w:t>Mantellato</w:t>
      </w:r>
      <w:proofErr w:type="spellEnd"/>
      <w:r w:rsidR="00C11974">
        <w:rPr>
          <w:rFonts w:eastAsia="Times New Roman"/>
          <w:color w:val="000000"/>
          <w:sz w:val="20"/>
          <w:szCs w:val="20"/>
          <w:lang w:val="pt-BR" w:eastAsia="zh-CN"/>
        </w:rPr>
        <w:t xml:space="preserve"> e Martinelli, 2001)</w:t>
      </w:r>
      <w:r w:rsidRPr="00C61A23">
        <w:rPr>
          <w:rFonts w:eastAsia="Times New Roman"/>
          <w:color w:val="000000"/>
          <w:sz w:val="20"/>
          <w:szCs w:val="20"/>
          <w:lang w:eastAsia="zh-CN"/>
        </w:rPr>
        <w:t> esse padrão não é uma regra, pois existem alguns fatores físicos e químicos que podem inferir, como por exemplo, disponibilidade de conchas adequadas no ambiente, a dinâmica populacional das espécies em detrminada região bem como a influência da latitude, temperatura da água, disponibilidade de alimento e efeitos da predação</w:t>
      </w:r>
      <w:r w:rsidR="00C11974">
        <w:rPr>
          <w:rFonts w:eastAsia="Times New Roman"/>
          <w:color w:val="000000"/>
          <w:sz w:val="20"/>
          <w:szCs w:val="20"/>
          <w:lang w:val="pt-BR" w:eastAsia="zh-CN"/>
        </w:rPr>
        <w:t xml:space="preserve"> </w:t>
      </w:r>
      <w:r w:rsidR="00C11974">
        <w:rPr>
          <w:rFonts w:eastAsia="Times New Roman"/>
          <w:color w:val="000000"/>
          <w:sz w:val="20"/>
          <w:szCs w:val="20"/>
          <w:lang w:val="pt-BR" w:eastAsia="zh-CN"/>
        </w:rPr>
        <w:t>(</w:t>
      </w:r>
      <w:proofErr w:type="spellStart"/>
      <w:r w:rsidR="00C11974">
        <w:rPr>
          <w:rFonts w:eastAsia="Times New Roman"/>
          <w:color w:val="000000"/>
          <w:sz w:val="20"/>
          <w:szCs w:val="20"/>
          <w:lang w:val="pt-BR" w:eastAsia="zh-CN"/>
        </w:rPr>
        <w:t>Mantellato</w:t>
      </w:r>
      <w:proofErr w:type="spellEnd"/>
      <w:r w:rsidR="00C11974">
        <w:rPr>
          <w:rFonts w:eastAsia="Times New Roman"/>
          <w:color w:val="000000"/>
          <w:sz w:val="20"/>
          <w:szCs w:val="20"/>
          <w:lang w:val="pt-BR" w:eastAsia="zh-CN"/>
        </w:rPr>
        <w:t xml:space="preserve"> e Martinelli, 2001)</w:t>
      </w:r>
      <w:r w:rsidR="00C11974">
        <w:rPr>
          <w:rFonts w:eastAsia="Times New Roman"/>
          <w:color w:val="000000"/>
          <w:sz w:val="20"/>
          <w:szCs w:val="20"/>
          <w:lang w:val="pt-BR" w:eastAsia="zh-CN"/>
        </w:rPr>
        <w:t>.</w:t>
      </w:r>
    </w:p>
    <w:p w14:paraId="49DEBBB4" w14:textId="77777777" w:rsidR="00E04D31" w:rsidRDefault="00E04D31">
      <w:pPr>
        <w:spacing w:line="240" w:lineRule="auto"/>
        <w:ind w:firstLine="567"/>
        <w:jc w:val="both"/>
        <w:rPr>
          <w:sz w:val="20"/>
          <w:szCs w:val="20"/>
          <w:lang w:val="pt-BR" w:eastAsia="zh-CN"/>
        </w:rPr>
      </w:pPr>
    </w:p>
    <w:p w14:paraId="591C125B" w14:textId="4764D084" w:rsidR="00E04D31" w:rsidRPr="00C11974" w:rsidRDefault="00C11974" w:rsidP="00C11974">
      <w:pPr>
        <w:spacing w:line="240" w:lineRule="auto"/>
        <w:ind w:firstLine="567"/>
        <w:jc w:val="center"/>
        <w:rPr>
          <w:rFonts w:hint="eastAsia"/>
          <w:sz w:val="20"/>
          <w:szCs w:val="20"/>
          <w:lang w:val="pt-BR" w:eastAsia="zh-CN"/>
        </w:rPr>
      </w:pPr>
      <w:r>
        <w:rPr>
          <w:sz w:val="20"/>
          <w:szCs w:val="20"/>
          <w:lang w:val="pt-BR" w:eastAsia="zh-CN"/>
        </w:rPr>
        <w:t xml:space="preserve">Tabela 1. Análise e resultados sobre o crescimento relativo dos machos e fêmeas de </w:t>
      </w:r>
      <w:proofErr w:type="spellStart"/>
      <w:r>
        <w:rPr>
          <w:sz w:val="20"/>
          <w:szCs w:val="20"/>
          <w:lang w:val="pt-BR" w:eastAsia="zh-CN"/>
        </w:rPr>
        <w:t>Calcinus</w:t>
      </w:r>
      <w:proofErr w:type="spellEnd"/>
      <w:r>
        <w:rPr>
          <w:sz w:val="20"/>
          <w:szCs w:val="20"/>
          <w:lang w:val="pt-BR" w:eastAsia="zh-CN"/>
        </w:rPr>
        <w:t xml:space="preserve"> </w:t>
      </w:r>
      <w:proofErr w:type="spellStart"/>
      <w:r>
        <w:rPr>
          <w:sz w:val="20"/>
          <w:szCs w:val="20"/>
          <w:lang w:val="pt-BR" w:eastAsia="zh-CN"/>
        </w:rPr>
        <w:t>Tibicen</w:t>
      </w:r>
      <w:proofErr w:type="spellEnd"/>
      <w:r>
        <w:rPr>
          <w:sz w:val="20"/>
          <w:szCs w:val="20"/>
          <w:lang w:val="pt-BR" w:eastAsia="zh-CN"/>
        </w:rPr>
        <w:t xml:space="preserve"> (</w:t>
      </w:r>
      <w:proofErr w:type="spellStart"/>
      <w:r>
        <w:rPr>
          <w:sz w:val="20"/>
          <w:szCs w:val="20"/>
          <w:lang w:val="pt-BR" w:eastAsia="zh-CN"/>
        </w:rPr>
        <w:t>Herbst</w:t>
      </w:r>
      <w:proofErr w:type="spellEnd"/>
      <w:r>
        <w:rPr>
          <w:sz w:val="20"/>
          <w:szCs w:val="20"/>
          <w:lang w:val="pt-BR" w:eastAsia="zh-CN"/>
        </w:rPr>
        <w:t>, 1791) de acordo com a classificação etária.</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735"/>
        <w:gridCol w:w="465"/>
        <w:gridCol w:w="930"/>
        <w:gridCol w:w="225"/>
        <w:gridCol w:w="660"/>
        <w:gridCol w:w="525"/>
        <w:gridCol w:w="1440"/>
        <w:gridCol w:w="1050"/>
        <w:gridCol w:w="1425"/>
      </w:tblGrid>
      <w:tr w:rsidR="00E04D31" w:rsidRPr="00C61A23" w14:paraId="3CBE8F53" w14:textId="77777777" w:rsidTr="00E04D31">
        <w:trPr>
          <w:trHeight w:val="300"/>
        </w:trPr>
        <w:tc>
          <w:tcPr>
            <w:tcW w:w="1515" w:type="dxa"/>
            <w:vMerge w:val="restart"/>
            <w:tcBorders>
              <w:top w:val="single" w:sz="6" w:space="0" w:color="000000"/>
              <w:left w:val="nil"/>
              <w:bottom w:val="single" w:sz="6" w:space="0" w:color="000000"/>
              <w:right w:val="nil"/>
            </w:tcBorders>
            <w:shd w:val="clear" w:color="auto" w:fill="auto"/>
            <w:vAlign w:val="center"/>
            <w:hideMark/>
          </w:tcPr>
          <w:p w14:paraId="24F914D6"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Relações </w:t>
            </w:r>
            <w:r w:rsidRPr="00C61A23">
              <w:rPr>
                <w:rFonts w:eastAsia="Times New Roman"/>
                <w:color w:val="000000"/>
                <w:sz w:val="20"/>
                <w:szCs w:val="20"/>
              </w:rPr>
              <w:t> </w:t>
            </w:r>
          </w:p>
        </w:tc>
        <w:tc>
          <w:tcPr>
            <w:tcW w:w="735" w:type="dxa"/>
            <w:vMerge w:val="restart"/>
            <w:tcBorders>
              <w:top w:val="single" w:sz="6" w:space="0" w:color="000000"/>
              <w:left w:val="nil"/>
              <w:bottom w:val="single" w:sz="6" w:space="0" w:color="000000"/>
              <w:right w:val="nil"/>
            </w:tcBorders>
            <w:shd w:val="clear" w:color="auto" w:fill="auto"/>
            <w:vAlign w:val="center"/>
            <w:hideMark/>
          </w:tcPr>
          <w:p w14:paraId="02A11F2D"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Grupo</w:t>
            </w:r>
            <w:r w:rsidRPr="00C61A23">
              <w:rPr>
                <w:rFonts w:eastAsia="Times New Roman"/>
                <w:color w:val="000000"/>
                <w:sz w:val="20"/>
                <w:szCs w:val="20"/>
              </w:rPr>
              <w:t> </w:t>
            </w:r>
          </w:p>
        </w:tc>
        <w:tc>
          <w:tcPr>
            <w:tcW w:w="465" w:type="dxa"/>
            <w:vMerge w:val="restart"/>
            <w:tcBorders>
              <w:top w:val="single" w:sz="6" w:space="0" w:color="000000"/>
              <w:left w:val="nil"/>
              <w:bottom w:val="single" w:sz="6" w:space="0" w:color="000000"/>
              <w:right w:val="nil"/>
            </w:tcBorders>
            <w:shd w:val="clear" w:color="auto" w:fill="auto"/>
            <w:vAlign w:val="center"/>
            <w:hideMark/>
          </w:tcPr>
          <w:p w14:paraId="7A35B51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N</w:t>
            </w:r>
            <w:r w:rsidRPr="00C61A23">
              <w:rPr>
                <w:rFonts w:eastAsia="Times New Roman"/>
                <w:color w:val="000000"/>
                <w:sz w:val="20"/>
                <w:szCs w:val="20"/>
              </w:rPr>
              <w:t> </w:t>
            </w:r>
          </w:p>
        </w:tc>
        <w:tc>
          <w:tcPr>
            <w:tcW w:w="1815" w:type="dxa"/>
            <w:gridSpan w:val="3"/>
            <w:tcBorders>
              <w:top w:val="single" w:sz="6" w:space="0" w:color="000000"/>
              <w:left w:val="nil"/>
              <w:bottom w:val="single" w:sz="6" w:space="0" w:color="000000"/>
              <w:right w:val="nil"/>
            </w:tcBorders>
            <w:shd w:val="clear" w:color="auto" w:fill="auto"/>
            <w:vAlign w:val="bottom"/>
            <w:hideMark/>
          </w:tcPr>
          <w:p w14:paraId="797253C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lang w:val="en-US"/>
              </w:rPr>
            </w:pPr>
            <w:proofErr w:type="spellStart"/>
            <w:r w:rsidRPr="00C61A23">
              <w:rPr>
                <w:rFonts w:eastAsia="Times New Roman"/>
                <w:b/>
                <w:bCs/>
                <w:color w:val="000000"/>
                <w:sz w:val="20"/>
                <w:szCs w:val="20"/>
                <w:lang w:val="en-US"/>
              </w:rPr>
              <w:t>logY</w:t>
            </w:r>
            <w:proofErr w:type="spellEnd"/>
            <w:r w:rsidRPr="00C61A23">
              <w:rPr>
                <w:rFonts w:eastAsia="Times New Roman"/>
                <w:b/>
                <w:bCs/>
                <w:color w:val="000000"/>
                <w:sz w:val="20"/>
                <w:szCs w:val="20"/>
                <w:lang w:val="en-US"/>
              </w:rPr>
              <w:t xml:space="preserve"> = </w:t>
            </w:r>
            <w:r w:rsidRPr="00C61A23">
              <w:rPr>
                <w:rFonts w:ascii="Cambria Math" w:eastAsia="Times New Roman" w:hAnsi="Cambria Math" w:cs="Times New Roman"/>
                <w:b/>
                <w:bCs/>
                <w:color w:val="000000"/>
                <w:sz w:val="20"/>
                <w:szCs w:val="20"/>
              </w:rPr>
              <w:t>𝛼</w:t>
            </w:r>
            <w:r w:rsidRPr="00C61A23">
              <w:rPr>
                <w:rFonts w:eastAsia="Times New Roman"/>
                <w:b/>
                <w:bCs/>
                <w:color w:val="000000"/>
                <w:sz w:val="20"/>
                <w:szCs w:val="20"/>
                <w:lang w:val="en-US"/>
              </w:rPr>
              <w:t xml:space="preserve"> </w:t>
            </w:r>
            <w:proofErr w:type="gramStart"/>
            <w:r w:rsidRPr="00C61A23">
              <w:rPr>
                <w:rFonts w:eastAsia="Times New Roman"/>
                <w:b/>
                <w:bCs/>
                <w:color w:val="000000"/>
                <w:sz w:val="20"/>
                <w:szCs w:val="20"/>
                <w:lang w:val="en-US"/>
              </w:rPr>
              <w:t xml:space="preserve">+  </w:t>
            </w:r>
            <w:r w:rsidRPr="00C61A23">
              <w:rPr>
                <w:rFonts w:ascii="Cambria Math" w:eastAsia="Times New Roman" w:hAnsi="Cambria Math" w:cs="Times New Roman"/>
                <w:b/>
                <w:bCs/>
                <w:color w:val="000000"/>
                <w:sz w:val="20"/>
                <w:szCs w:val="20"/>
              </w:rPr>
              <w:t>𝛽</w:t>
            </w:r>
            <w:proofErr w:type="gramEnd"/>
            <w:r w:rsidRPr="00C61A23">
              <w:rPr>
                <w:rFonts w:eastAsia="Times New Roman"/>
                <w:b/>
                <w:bCs/>
                <w:color w:val="000000"/>
                <w:sz w:val="20"/>
                <w:szCs w:val="20"/>
                <w:lang w:val="en-US"/>
              </w:rPr>
              <w:t>.</w:t>
            </w:r>
            <w:proofErr w:type="spellStart"/>
            <w:r w:rsidRPr="00C61A23">
              <w:rPr>
                <w:rFonts w:eastAsia="Times New Roman"/>
                <w:b/>
                <w:bCs/>
                <w:color w:val="000000"/>
                <w:sz w:val="20"/>
                <w:szCs w:val="20"/>
                <w:lang w:val="en-US"/>
              </w:rPr>
              <w:t>logX</w:t>
            </w:r>
            <w:proofErr w:type="spellEnd"/>
            <w:r w:rsidRPr="00C61A23">
              <w:rPr>
                <w:rFonts w:eastAsia="Times New Roman"/>
                <w:color w:val="000000"/>
                <w:sz w:val="20"/>
                <w:szCs w:val="20"/>
                <w:lang w:val="en-US"/>
              </w:rPr>
              <w:t> </w:t>
            </w:r>
          </w:p>
        </w:tc>
        <w:tc>
          <w:tcPr>
            <w:tcW w:w="525" w:type="dxa"/>
            <w:vMerge w:val="restart"/>
            <w:tcBorders>
              <w:top w:val="single" w:sz="6" w:space="0" w:color="000000"/>
              <w:left w:val="nil"/>
              <w:bottom w:val="single" w:sz="6" w:space="0" w:color="000000"/>
              <w:right w:val="nil"/>
            </w:tcBorders>
            <w:shd w:val="clear" w:color="auto" w:fill="auto"/>
            <w:vAlign w:val="center"/>
            <w:hideMark/>
          </w:tcPr>
          <w:p w14:paraId="32060C2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R²</w:t>
            </w:r>
            <w:r w:rsidRPr="00C61A23">
              <w:rPr>
                <w:rFonts w:eastAsia="Times New Roman"/>
                <w:color w:val="000000"/>
                <w:sz w:val="20"/>
                <w:szCs w:val="20"/>
              </w:rPr>
              <w:t> </w:t>
            </w:r>
          </w:p>
        </w:tc>
        <w:tc>
          <w:tcPr>
            <w:tcW w:w="1440" w:type="dxa"/>
            <w:tcBorders>
              <w:top w:val="single" w:sz="6" w:space="0" w:color="000000"/>
              <w:left w:val="nil"/>
              <w:bottom w:val="nil"/>
              <w:right w:val="nil"/>
            </w:tcBorders>
            <w:shd w:val="clear" w:color="auto" w:fill="auto"/>
            <w:vAlign w:val="center"/>
            <w:hideMark/>
          </w:tcPr>
          <w:p w14:paraId="2D0E34C7"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Significância</w:t>
            </w:r>
            <w:r w:rsidRPr="00C61A23">
              <w:rPr>
                <w:rFonts w:eastAsia="Times New Roman"/>
                <w:color w:val="000000"/>
                <w:sz w:val="20"/>
                <w:szCs w:val="20"/>
              </w:rPr>
              <w:t> </w:t>
            </w:r>
          </w:p>
        </w:tc>
        <w:tc>
          <w:tcPr>
            <w:tcW w:w="1050" w:type="dxa"/>
            <w:tcBorders>
              <w:top w:val="single" w:sz="6" w:space="0" w:color="000000"/>
              <w:left w:val="nil"/>
              <w:bottom w:val="nil"/>
              <w:right w:val="nil"/>
            </w:tcBorders>
            <w:shd w:val="clear" w:color="auto" w:fill="auto"/>
            <w:vAlign w:val="center"/>
            <w:hideMark/>
          </w:tcPr>
          <w:p w14:paraId="150B77A2"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Alometria</w:t>
            </w:r>
            <w:r w:rsidRPr="00C61A23">
              <w:rPr>
                <w:rFonts w:eastAsia="Times New Roman"/>
                <w:color w:val="000000"/>
                <w:sz w:val="20"/>
                <w:szCs w:val="20"/>
              </w:rPr>
              <w:t> </w:t>
            </w:r>
          </w:p>
        </w:tc>
        <w:tc>
          <w:tcPr>
            <w:tcW w:w="1425" w:type="dxa"/>
            <w:tcBorders>
              <w:top w:val="single" w:sz="6" w:space="0" w:color="000000"/>
              <w:left w:val="nil"/>
              <w:bottom w:val="nil"/>
              <w:right w:val="nil"/>
            </w:tcBorders>
            <w:shd w:val="clear" w:color="auto" w:fill="auto"/>
            <w:vAlign w:val="center"/>
            <w:hideMark/>
          </w:tcPr>
          <w:p w14:paraId="73F9444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Significância </w:t>
            </w:r>
            <w:r w:rsidRPr="00C61A23">
              <w:rPr>
                <w:rFonts w:eastAsia="Times New Roman"/>
                <w:color w:val="000000"/>
                <w:sz w:val="20"/>
                <w:szCs w:val="20"/>
              </w:rPr>
              <w:t> </w:t>
            </w:r>
          </w:p>
        </w:tc>
      </w:tr>
      <w:tr w:rsidR="00E04D31" w:rsidRPr="00C61A23" w14:paraId="07777703" w14:textId="77777777" w:rsidTr="00E04D31">
        <w:trPr>
          <w:trHeight w:val="225"/>
        </w:trPr>
        <w:tc>
          <w:tcPr>
            <w:tcW w:w="0" w:type="auto"/>
            <w:vMerge/>
            <w:tcBorders>
              <w:top w:val="single" w:sz="6" w:space="0" w:color="000000"/>
              <w:left w:val="nil"/>
              <w:bottom w:val="single" w:sz="6" w:space="0" w:color="000000"/>
              <w:right w:val="nil"/>
            </w:tcBorders>
            <w:shd w:val="clear" w:color="auto" w:fill="auto"/>
            <w:vAlign w:val="center"/>
            <w:hideMark/>
          </w:tcPr>
          <w:p w14:paraId="758D2A1B"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0" w:type="auto"/>
            <w:vMerge/>
            <w:tcBorders>
              <w:top w:val="single" w:sz="6" w:space="0" w:color="000000"/>
              <w:left w:val="nil"/>
              <w:bottom w:val="single" w:sz="6" w:space="0" w:color="000000"/>
              <w:right w:val="nil"/>
            </w:tcBorders>
            <w:shd w:val="clear" w:color="auto" w:fill="auto"/>
            <w:vAlign w:val="center"/>
            <w:hideMark/>
          </w:tcPr>
          <w:p w14:paraId="43954E89"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0" w:type="auto"/>
            <w:vMerge/>
            <w:tcBorders>
              <w:top w:val="single" w:sz="6" w:space="0" w:color="000000"/>
              <w:left w:val="nil"/>
              <w:bottom w:val="single" w:sz="6" w:space="0" w:color="000000"/>
              <w:right w:val="nil"/>
            </w:tcBorders>
            <w:shd w:val="clear" w:color="auto" w:fill="auto"/>
            <w:vAlign w:val="center"/>
            <w:hideMark/>
          </w:tcPr>
          <w:p w14:paraId="51F2BA01"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930" w:type="dxa"/>
            <w:vMerge w:val="restart"/>
            <w:tcBorders>
              <w:top w:val="single" w:sz="6" w:space="0" w:color="000000"/>
              <w:left w:val="nil"/>
              <w:bottom w:val="single" w:sz="6" w:space="0" w:color="000000"/>
              <w:right w:val="nil"/>
            </w:tcBorders>
            <w:shd w:val="clear" w:color="auto" w:fill="auto"/>
            <w:vAlign w:val="center"/>
            <w:hideMark/>
          </w:tcPr>
          <w:p w14:paraId="67D6A934"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ascii="Cambria Math" w:eastAsia="Times New Roman" w:hAnsi="Cambria Math" w:cs="Times New Roman"/>
                <w:b/>
                <w:bCs/>
                <w:color w:val="000000"/>
                <w:sz w:val="20"/>
                <w:szCs w:val="20"/>
              </w:rPr>
              <w:t>𝛼</w:t>
            </w:r>
            <w:r w:rsidRPr="00C61A23">
              <w:rPr>
                <w:rFonts w:ascii="Cambria Math" w:eastAsia="Times New Roman" w:hAnsi="Cambria Math" w:cs="Times New Roman"/>
                <w:color w:val="000000"/>
                <w:sz w:val="20"/>
                <w:szCs w:val="20"/>
              </w:rPr>
              <w:t> </w:t>
            </w:r>
          </w:p>
        </w:tc>
        <w:tc>
          <w:tcPr>
            <w:tcW w:w="225" w:type="dxa"/>
            <w:tcBorders>
              <w:top w:val="single" w:sz="6" w:space="0" w:color="000000"/>
              <w:left w:val="nil"/>
              <w:bottom w:val="nil"/>
              <w:right w:val="nil"/>
            </w:tcBorders>
            <w:shd w:val="clear" w:color="auto" w:fill="auto"/>
            <w:vAlign w:val="bottom"/>
            <w:hideMark/>
          </w:tcPr>
          <w:p w14:paraId="31261EDC" w14:textId="77777777" w:rsidR="00E04D31" w:rsidRPr="00C61A23" w:rsidRDefault="00E04D31" w:rsidP="00836D54">
            <w:pPr>
              <w:spacing w:line="240" w:lineRule="auto"/>
              <w:textAlignment w:val="baseline"/>
              <w:rPr>
                <w:rFonts w:ascii="Times New Roman" w:eastAsia="Times New Roman" w:hAnsi="Times New Roman" w:cs="Times New Roman"/>
                <w:sz w:val="24"/>
                <w:szCs w:val="24"/>
              </w:rPr>
            </w:pPr>
            <w:r w:rsidRPr="00C61A23">
              <w:rPr>
                <w:rFonts w:eastAsia="Times New Roman"/>
                <w:b/>
                <w:bCs/>
                <w:color w:val="000000"/>
                <w:sz w:val="20"/>
                <w:szCs w:val="20"/>
              </w:rPr>
              <w:t> </w:t>
            </w:r>
            <w:r w:rsidRPr="00C61A23">
              <w:rPr>
                <w:rFonts w:eastAsia="Times New Roman"/>
                <w:color w:val="000000"/>
                <w:sz w:val="20"/>
                <w:szCs w:val="20"/>
              </w:rPr>
              <w:t> </w:t>
            </w:r>
          </w:p>
        </w:tc>
        <w:tc>
          <w:tcPr>
            <w:tcW w:w="660" w:type="dxa"/>
            <w:vMerge w:val="restart"/>
            <w:tcBorders>
              <w:top w:val="single" w:sz="6" w:space="0" w:color="000000"/>
              <w:left w:val="nil"/>
              <w:bottom w:val="single" w:sz="6" w:space="0" w:color="000000"/>
              <w:right w:val="nil"/>
            </w:tcBorders>
            <w:shd w:val="clear" w:color="auto" w:fill="auto"/>
            <w:vAlign w:val="center"/>
            <w:hideMark/>
          </w:tcPr>
          <w:p w14:paraId="1E7AB823"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 </w:t>
            </w:r>
            <w:r w:rsidRPr="00C61A23">
              <w:rPr>
                <w:rFonts w:ascii="Cambria Math" w:eastAsia="Times New Roman" w:hAnsi="Cambria Math" w:cs="Times New Roman"/>
                <w:b/>
                <w:bCs/>
                <w:color w:val="000000"/>
                <w:sz w:val="20"/>
                <w:szCs w:val="20"/>
              </w:rPr>
              <w:t>𝛽</w:t>
            </w:r>
            <w:r w:rsidRPr="00C61A23">
              <w:rPr>
                <w:rFonts w:ascii="Cambria Math" w:eastAsia="Times New Roman" w:hAnsi="Cambria Math" w:cs="Times New Roman"/>
                <w:color w:val="000000"/>
                <w:sz w:val="20"/>
                <w:szCs w:val="20"/>
              </w:rPr>
              <w:t> </w:t>
            </w:r>
          </w:p>
        </w:tc>
        <w:tc>
          <w:tcPr>
            <w:tcW w:w="0" w:type="auto"/>
            <w:vMerge/>
            <w:tcBorders>
              <w:top w:val="single" w:sz="6" w:space="0" w:color="000000"/>
              <w:left w:val="nil"/>
              <w:bottom w:val="single" w:sz="6" w:space="0" w:color="000000"/>
              <w:right w:val="nil"/>
            </w:tcBorders>
            <w:shd w:val="clear" w:color="auto" w:fill="auto"/>
            <w:vAlign w:val="center"/>
            <w:hideMark/>
          </w:tcPr>
          <w:p w14:paraId="64F6E4DD"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vAlign w:val="center"/>
            <w:hideMark/>
          </w:tcPr>
          <w:p w14:paraId="6EB6DD6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entre as retas</w:t>
            </w:r>
            <w:r w:rsidRPr="00C61A23">
              <w:rPr>
                <w:rFonts w:eastAsia="Times New Roman"/>
                <w:color w:val="000000"/>
                <w:sz w:val="20"/>
                <w:szCs w:val="20"/>
              </w:rPr>
              <w:t> </w:t>
            </w:r>
          </w:p>
        </w:tc>
        <w:tc>
          <w:tcPr>
            <w:tcW w:w="1050" w:type="dxa"/>
            <w:tcBorders>
              <w:top w:val="nil"/>
              <w:left w:val="nil"/>
              <w:bottom w:val="nil"/>
              <w:right w:val="nil"/>
            </w:tcBorders>
            <w:shd w:val="clear" w:color="auto" w:fill="auto"/>
            <w:vAlign w:val="center"/>
            <w:hideMark/>
          </w:tcPr>
          <w:p w14:paraId="7859BB6B" w14:textId="77777777" w:rsidR="00E04D31" w:rsidRPr="00C61A23" w:rsidRDefault="00E04D31" w:rsidP="00836D54">
            <w:pPr>
              <w:spacing w:line="240" w:lineRule="auto"/>
              <w:textAlignment w:val="baseline"/>
              <w:rPr>
                <w:rFonts w:ascii="Times New Roman" w:eastAsia="Times New Roman" w:hAnsi="Times New Roman" w:cs="Times New Roman"/>
                <w:sz w:val="24"/>
                <w:szCs w:val="24"/>
              </w:rPr>
            </w:pPr>
            <w:r w:rsidRPr="00C61A23">
              <w:rPr>
                <w:rFonts w:eastAsia="Times New Roman"/>
                <w:sz w:val="20"/>
                <w:szCs w:val="20"/>
              </w:rPr>
              <w:t> </w:t>
            </w:r>
          </w:p>
        </w:tc>
        <w:tc>
          <w:tcPr>
            <w:tcW w:w="1425" w:type="dxa"/>
            <w:tcBorders>
              <w:top w:val="nil"/>
              <w:left w:val="nil"/>
              <w:bottom w:val="nil"/>
              <w:right w:val="nil"/>
            </w:tcBorders>
            <w:shd w:val="clear" w:color="auto" w:fill="auto"/>
            <w:vAlign w:val="center"/>
            <w:hideMark/>
          </w:tcPr>
          <w:p w14:paraId="2577FED2"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alométrica </w:t>
            </w:r>
            <w:r w:rsidRPr="00C61A23">
              <w:rPr>
                <w:rFonts w:eastAsia="Times New Roman"/>
                <w:color w:val="000000"/>
                <w:sz w:val="20"/>
                <w:szCs w:val="20"/>
              </w:rPr>
              <w:t> </w:t>
            </w:r>
          </w:p>
        </w:tc>
      </w:tr>
      <w:tr w:rsidR="00E04D31" w:rsidRPr="00C61A23" w14:paraId="10F14CE4" w14:textId="77777777" w:rsidTr="00E04D31">
        <w:trPr>
          <w:trHeight w:val="225"/>
        </w:trPr>
        <w:tc>
          <w:tcPr>
            <w:tcW w:w="1515" w:type="dxa"/>
            <w:tcBorders>
              <w:top w:val="nil"/>
              <w:left w:val="nil"/>
              <w:bottom w:val="single" w:sz="6" w:space="0" w:color="000000"/>
              <w:right w:val="nil"/>
            </w:tcBorders>
            <w:shd w:val="clear" w:color="auto" w:fill="auto"/>
            <w:vAlign w:val="center"/>
            <w:hideMark/>
          </w:tcPr>
          <w:p w14:paraId="0D1D74D3"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Morfométricas</w:t>
            </w:r>
            <w:r w:rsidRPr="00C61A23">
              <w:rPr>
                <w:rFonts w:eastAsia="Times New Roman"/>
                <w:color w:val="000000"/>
                <w:sz w:val="20"/>
                <w:szCs w:val="20"/>
              </w:rPr>
              <w:t> </w:t>
            </w:r>
          </w:p>
        </w:tc>
        <w:tc>
          <w:tcPr>
            <w:tcW w:w="735" w:type="dxa"/>
            <w:tcBorders>
              <w:top w:val="nil"/>
              <w:left w:val="nil"/>
              <w:bottom w:val="single" w:sz="6" w:space="0" w:color="000000"/>
              <w:right w:val="nil"/>
            </w:tcBorders>
            <w:shd w:val="clear" w:color="auto" w:fill="auto"/>
            <w:vAlign w:val="bottom"/>
            <w:hideMark/>
          </w:tcPr>
          <w:p w14:paraId="3E17881C"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Etário</w:t>
            </w:r>
            <w:r w:rsidRPr="00C61A23">
              <w:rPr>
                <w:rFonts w:eastAsia="Times New Roman"/>
                <w:color w:val="000000"/>
                <w:sz w:val="20"/>
                <w:szCs w:val="20"/>
              </w:rPr>
              <w:t> </w:t>
            </w:r>
          </w:p>
        </w:tc>
        <w:tc>
          <w:tcPr>
            <w:tcW w:w="0" w:type="auto"/>
            <w:vMerge/>
            <w:tcBorders>
              <w:top w:val="single" w:sz="6" w:space="0" w:color="000000"/>
              <w:left w:val="nil"/>
              <w:bottom w:val="single" w:sz="6" w:space="0" w:color="000000"/>
              <w:right w:val="nil"/>
            </w:tcBorders>
            <w:shd w:val="clear" w:color="auto" w:fill="auto"/>
            <w:vAlign w:val="center"/>
            <w:hideMark/>
          </w:tcPr>
          <w:p w14:paraId="27CD82A0"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0" w:type="auto"/>
            <w:vMerge/>
            <w:tcBorders>
              <w:top w:val="single" w:sz="6" w:space="0" w:color="000000"/>
              <w:left w:val="nil"/>
              <w:bottom w:val="single" w:sz="6" w:space="0" w:color="000000"/>
              <w:right w:val="nil"/>
            </w:tcBorders>
            <w:shd w:val="clear" w:color="auto" w:fill="auto"/>
            <w:vAlign w:val="center"/>
            <w:hideMark/>
          </w:tcPr>
          <w:p w14:paraId="1218EF8C"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225" w:type="dxa"/>
            <w:tcBorders>
              <w:top w:val="nil"/>
              <w:left w:val="nil"/>
              <w:bottom w:val="single" w:sz="6" w:space="0" w:color="000000"/>
              <w:right w:val="nil"/>
            </w:tcBorders>
            <w:shd w:val="clear" w:color="auto" w:fill="auto"/>
            <w:vAlign w:val="bottom"/>
            <w:hideMark/>
          </w:tcPr>
          <w:p w14:paraId="61AA82E8" w14:textId="77777777" w:rsidR="00E04D31" w:rsidRPr="00C61A23" w:rsidRDefault="00E04D31" w:rsidP="00836D54">
            <w:pPr>
              <w:spacing w:line="240" w:lineRule="auto"/>
              <w:textAlignment w:val="baseline"/>
              <w:rPr>
                <w:rFonts w:ascii="Times New Roman" w:eastAsia="Times New Roman" w:hAnsi="Times New Roman" w:cs="Times New Roman"/>
                <w:sz w:val="24"/>
                <w:szCs w:val="24"/>
              </w:rPr>
            </w:pPr>
            <w:r w:rsidRPr="00C61A23">
              <w:rPr>
                <w:rFonts w:eastAsia="Times New Roman"/>
                <w:b/>
                <w:bCs/>
                <w:color w:val="000000"/>
                <w:sz w:val="20"/>
                <w:szCs w:val="20"/>
              </w:rPr>
              <w:t> </w:t>
            </w:r>
            <w:r w:rsidRPr="00C61A23">
              <w:rPr>
                <w:rFonts w:eastAsia="Times New Roman"/>
                <w:color w:val="000000"/>
                <w:sz w:val="20"/>
                <w:szCs w:val="20"/>
              </w:rPr>
              <w:t> </w:t>
            </w:r>
          </w:p>
        </w:tc>
        <w:tc>
          <w:tcPr>
            <w:tcW w:w="0" w:type="auto"/>
            <w:vMerge/>
            <w:tcBorders>
              <w:top w:val="single" w:sz="6" w:space="0" w:color="000000"/>
              <w:left w:val="nil"/>
              <w:bottom w:val="single" w:sz="6" w:space="0" w:color="000000"/>
              <w:right w:val="nil"/>
            </w:tcBorders>
            <w:shd w:val="clear" w:color="auto" w:fill="auto"/>
            <w:vAlign w:val="center"/>
            <w:hideMark/>
          </w:tcPr>
          <w:p w14:paraId="656CEF32"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0" w:type="auto"/>
            <w:vMerge/>
            <w:tcBorders>
              <w:top w:val="single" w:sz="6" w:space="0" w:color="000000"/>
              <w:left w:val="nil"/>
              <w:bottom w:val="single" w:sz="6" w:space="0" w:color="000000"/>
              <w:right w:val="nil"/>
            </w:tcBorders>
            <w:shd w:val="clear" w:color="auto" w:fill="auto"/>
            <w:vAlign w:val="center"/>
            <w:hideMark/>
          </w:tcPr>
          <w:p w14:paraId="1F21471B"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1440" w:type="dxa"/>
            <w:tcBorders>
              <w:top w:val="nil"/>
              <w:left w:val="nil"/>
              <w:bottom w:val="single" w:sz="6" w:space="0" w:color="000000"/>
              <w:right w:val="nil"/>
            </w:tcBorders>
            <w:shd w:val="clear" w:color="auto" w:fill="auto"/>
            <w:vAlign w:val="center"/>
            <w:hideMark/>
          </w:tcPr>
          <w:p w14:paraId="5AB18689" w14:textId="77777777" w:rsidR="00E04D31" w:rsidRPr="00C61A23" w:rsidRDefault="00E04D31" w:rsidP="00836D54">
            <w:pPr>
              <w:spacing w:line="240" w:lineRule="auto"/>
              <w:textAlignment w:val="baseline"/>
              <w:rPr>
                <w:rFonts w:ascii="Times New Roman" w:eastAsia="Times New Roman" w:hAnsi="Times New Roman" w:cs="Times New Roman"/>
                <w:sz w:val="24"/>
                <w:szCs w:val="24"/>
              </w:rPr>
            </w:pPr>
            <w:r w:rsidRPr="00C61A23">
              <w:rPr>
                <w:rFonts w:eastAsia="Times New Roman"/>
                <w:sz w:val="20"/>
                <w:szCs w:val="20"/>
              </w:rPr>
              <w:t> </w:t>
            </w:r>
          </w:p>
        </w:tc>
        <w:tc>
          <w:tcPr>
            <w:tcW w:w="1050" w:type="dxa"/>
            <w:tcBorders>
              <w:top w:val="nil"/>
              <w:left w:val="nil"/>
              <w:bottom w:val="single" w:sz="6" w:space="0" w:color="000000"/>
              <w:right w:val="nil"/>
            </w:tcBorders>
            <w:shd w:val="clear" w:color="auto" w:fill="auto"/>
            <w:vAlign w:val="center"/>
            <w:hideMark/>
          </w:tcPr>
          <w:p w14:paraId="67832AA8"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 </w:t>
            </w:r>
            <w:r w:rsidRPr="00C61A23">
              <w:rPr>
                <w:rFonts w:eastAsia="Times New Roman"/>
                <w:color w:val="000000"/>
                <w:sz w:val="20"/>
                <w:szCs w:val="20"/>
              </w:rPr>
              <w:t> </w:t>
            </w:r>
          </w:p>
        </w:tc>
        <w:tc>
          <w:tcPr>
            <w:tcW w:w="1425" w:type="dxa"/>
            <w:tcBorders>
              <w:top w:val="nil"/>
              <w:left w:val="nil"/>
              <w:bottom w:val="single" w:sz="6" w:space="0" w:color="000000"/>
              <w:right w:val="nil"/>
            </w:tcBorders>
            <w:shd w:val="clear" w:color="auto" w:fill="auto"/>
            <w:vAlign w:val="center"/>
            <w:hideMark/>
          </w:tcPr>
          <w:p w14:paraId="2E0856A9"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color w:val="000000"/>
                <w:sz w:val="20"/>
                <w:szCs w:val="20"/>
              </w:rPr>
              <w:t> </w:t>
            </w:r>
            <w:r w:rsidRPr="00C61A23">
              <w:rPr>
                <w:rFonts w:eastAsia="Times New Roman"/>
                <w:color w:val="000000"/>
                <w:sz w:val="20"/>
                <w:szCs w:val="20"/>
              </w:rPr>
              <w:t> </w:t>
            </w:r>
          </w:p>
        </w:tc>
      </w:tr>
      <w:tr w:rsidR="00E04D31" w:rsidRPr="00C61A23" w14:paraId="53D22187" w14:textId="77777777" w:rsidTr="00E04D31">
        <w:trPr>
          <w:trHeight w:val="300"/>
        </w:trPr>
        <w:tc>
          <w:tcPr>
            <w:tcW w:w="1515" w:type="dxa"/>
            <w:vMerge w:val="restart"/>
            <w:tcBorders>
              <w:top w:val="single" w:sz="6" w:space="0" w:color="000000"/>
              <w:left w:val="nil"/>
              <w:bottom w:val="single" w:sz="6" w:space="0" w:color="000000"/>
              <w:right w:val="nil"/>
            </w:tcBorders>
            <w:shd w:val="clear" w:color="auto" w:fill="auto"/>
            <w:vAlign w:val="center"/>
            <w:hideMark/>
          </w:tcPr>
          <w:p w14:paraId="141F82D9"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xml:space="preserve">CPQE </w:t>
            </w:r>
            <w:r w:rsidRPr="00C61A23">
              <w:rPr>
                <w:rFonts w:eastAsia="Times New Roman"/>
                <w:i/>
                <w:iCs/>
                <w:color w:val="000000"/>
                <w:sz w:val="20"/>
                <w:szCs w:val="20"/>
              </w:rPr>
              <w:t xml:space="preserve">vs. </w:t>
            </w:r>
            <w:r w:rsidRPr="00C61A23">
              <w:rPr>
                <w:rFonts w:eastAsia="Times New Roman"/>
                <w:color w:val="000000"/>
                <w:sz w:val="20"/>
                <w:szCs w:val="20"/>
              </w:rPr>
              <w:t>CEC </w:t>
            </w:r>
          </w:p>
        </w:tc>
        <w:tc>
          <w:tcPr>
            <w:tcW w:w="735" w:type="dxa"/>
            <w:tcBorders>
              <w:top w:val="single" w:sz="6" w:space="0" w:color="000000"/>
              <w:left w:val="nil"/>
              <w:bottom w:val="nil"/>
              <w:right w:val="nil"/>
            </w:tcBorders>
            <w:shd w:val="clear" w:color="auto" w:fill="auto"/>
            <w:vAlign w:val="center"/>
            <w:hideMark/>
          </w:tcPr>
          <w:p w14:paraId="17EB8544"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FA </w:t>
            </w:r>
          </w:p>
        </w:tc>
        <w:tc>
          <w:tcPr>
            <w:tcW w:w="465" w:type="dxa"/>
            <w:tcBorders>
              <w:top w:val="single" w:sz="6" w:space="0" w:color="000000"/>
              <w:left w:val="nil"/>
              <w:bottom w:val="nil"/>
              <w:right w:val="nil"/>
            </w:tcBorders>
            <w:shd w:val="clear" w:color="auto" w:fill="auto"/>
            <w:vAlign w:val="bottom"/>
            <w:hideMark/>
          </w:tcPr>
          <w:p w14:paraId="416451A7"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253 </w:t>
            </w:r>
          </w:p>
        </w:tc>
        <w:tc>
          <w:tcPr>
            <w:tcW w:w="930" w:type="dxa"/>
            <w:tcBorders>
              <w:top w:val="single" w:sz="6" w:space="0" w:color="000000"/>
              <w:left w:val="nil"/>
              <w:bottom w:val="nil"/>
              <w:right w:val="nil"/>
            </w:tcBorders>
            <w:shd w:val="clear" w:color="auto" w:fill="auto"/>
            <w:vAlign w:val="center"/>
            <w:hideMark/>
          </w:tcPr>
          <w:p w14:paraId="409D463D"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0,11 </w:t>
            </w:r>
          </w:p>
        </w:tc>
        <w:tc>
          <w:tcPr>
            <w:tcW w:w="225" w:type="dxa"/>
            <w:tcBorders>
              <w:top w:val="single" w:sz="6" w:space="0" w:color="000000"/>
              <w:left w:val="nil"/>
              <w:bottom w:val="nil"/>
              <w:right w:val="nil"/>
            </w:tcBorders>
            <w:shd w:val="clear" w:color="auto" w:fill="auto"/>
            <w:vAlign w:val="bottom"/>
            <w:hideMark/>
          </w:tcPr>
          <w:p w14:paraId="6C9C7271"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660" w:type="dxa"/>
            <w:tcBorders>
              <w:top w:val="single" w:sz="6" w:space="0" w:color="000000"/>
              <w:left w:val="nil"/>
              <w:bottom w:val="nil"/>
              <w:right w:val="nil"/>
            </w:tcBorders>
            <w:shd w:val="clear" w:color="auto" w:fill="auto"/>
            <w:vAlign w:val="center"/>
            <w:hideMark/>
          </w:tcPr>
          <w:p w14:paraId="48DF428D"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0,94 </w:t>
            </w:r>
          </w:p>
        </w:tc>
        <w:tc>
          <w:tcPr>
            <w:tcW w:w="525" w:type="dxa"/>
            <w:tcBorders>
              <w:top w:val="single" w:sz="6" w:space="0" w:color="000000"/>
              <w:left w:val="nil"/>
              <w:bottom w:val="nil"/>
              <w:right w:val="nil"/>
            </w:tcBorders>
            <w:shd w:val="clear" w:color="auto" w:fill="auto"/>
            <w:vAlign w:val="center"/>
            <w:hideMark/>
          </w:tcPr>
          <w:p w14:paraId="3808EB79"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0,39 </w:t>
            </w:r>
          </w:p>
        </w:tc>
        <w:tc>
          <w:tcPr>
            <w:tcW w:w="1440" w:type="dxa"/>
            <w:vMerge w:val="restart"/>
            <w:tcBorders>
              <w:top w:val="single" w:sz="6" w:space="0" w:color="000000"/>
              <w:left w:val="nil"/>
              <w:bottom w:val="single" w:sz="6" w:space="0" w:color="000000"/>
              <w:right w:val="nil"/>
            </w:tcBorders>
            <w:shd w:val="clear" w:color="auto" w:fill="auto"/>
            <w:vAlign w:val="center"/>
            <w:hideMark/>
          </w:tcPr>
          <w:p w14:paraId="493E490A"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i/>
                <w:iCs/>
                <w:color w:val="000000"/>
                <w:sz w:val="20"/>
                <w:szCs w:val="20"/>
              </w:rPr>
              <w:t>p &gt;</w:t>
            </w:r>
            <w:r w:rsidRPr="00C61A23">
              <w:rPr>
                <w:rFonts w:eastAsia="Times New Roman"/>
                <w:color w:val="000000"/>
                <w:sz w:val="20"/>
                <w:szCs w:val="20"/>
              </w:rPr>
              <w:t xml:space="preserve"> 0.05 </w:t>
            </w:r>
          </w:p>
        </w:tc>
        <w:tc>
          <w:tcPr>
            <w:tcW w:w="1050" w:type="dxa"/>
            <w:tcBorders>
              <w:top w:val="single" w:sz="6" w:space="0" w:color="000000"/>
              <w:left w:val="nil"/>
              <w:bottom w:val="nil"/>
              <w:right w:val="nil"/>
            </w:tcBorders>
            <w:shd w:val="clear" w:color="auto" w:fill="auto"/>
            <w:vAlign w:val="center"/>
            <w:hideMark/>
          </w:tcPr>
          <w:p w14:paraId="7584D46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1425" w:type="dxa"/>
            <w:tcBorders>
              <w:top w:val="single" w:sz="6" w:space="0" w:color="000000"/>
              <w:left w:val="nil"/>
              <w:bottom w:val="nil"/>
              <w:right w:val="nil"/>
            </w:tcBorders>
            <w:shd w:val="clear" w:color="auto" w:fill="auto"/>
            <w:vAlign w:val="center"/>
            <w:hideMark/>
          </w:tcPr>
          <w:p w14:paraId="03D66AF6"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p &gt; 0.05 </w:t>
            </w:r>
          </w:p>
        </w:tc>
      </w:tr>
      <w:tr w:rsidR="00E04D31" w:rsidRPr="00C61A23" w14:paraId="56E356C1" w14:textId="77777777" w:rsidTr="00E04D31">
        <w:trPr>
          <w:trHeight w:val="300"/>
        </w:trPr>
        <w:tc>
          <w:tcPr>
            <w:tcW w:w="0" w:type="auto"/>
            <w:vMerge/>
            <w:tcBorders>
              <w:top w:val="single" w:sz="6" w:space="0" w:color="000000"/>
              <w:left w:val="nil"/>
              <w:bottom w:val="single" w:sz="6" w:space="0" w:color="000000"/>
              <w:right w:val="nil"/>
            </w:tcBorders>
            <w:shd w:val="clear" w:color="auto" w:fill="auto"/>
            <w:vAlign w:val="center"/>
            <w:hideMark/>
          </w:tcPr>
          <w:p w14:paraId="3F5D20CB"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735" w:type="dxa"/>
            <w:tcBorders>
              <w:top w:val="nil"/>
              <w:left w:val="nil"/>
              <w:bottom w:val="single" w:sz="6" w:space="0" w:color="000000"/>
              <w:right w:val="nil"/>
            </w:tcBorders>
            <w:shd w:val="clear" w:color="auto" w:fill="auto"/>
            <w:vAlign w:val="center"/>
            <w:hideMark/>
          </w:tcPr>
          <w:p w14:paraId="72BFE309"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FJ </w:t>
            </w:r>
          </w:p>
        </w:tc>
        <w:tc>
          <w:tcPr>
            <w:tcW w:w="465" w:type="dxa"/>
            <w:tcBorders>
              <w:top w:val="nil"/>
              <w:left w:val="nil"/>
              <w:bottom w:val="single" w:sz="6" w:space="0" w:color="000000"/>
              <w:right w:val="nil"/>
            </w:tcBorders>
            <w:shd w:val="clear" w:color="auto" w:fill="auto"/>
            <w:vAlign w:val="bottom"/>
            <w:hideMark/>
          </w:tcPr>
          <w:p w14:paraId="4675C190"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28 </w:t>
            </w:r>
          </w:p>
        </w:tc>
        <w:tc>
          <w:tcPr>
            <w:tcW w:w="930" w:type="dxa"/>
            <w:tcBorders>
              <w:top w:val="nil"/>
              <w:left w:val="nil"/>
              <w:bottom w:val="single" w:sz="6" w:space="0" w:color="000000"/>
              <w:right w:val="nil"/>
            </w:tcBorders>
            <w:shd w:val="clear" w:color="auto" w:fill="auto"/>
            <w:vAlign w:val="center"/>
            <w:hideMark/>
          </w:tcPr>
          <w:p w14:paraId="2E8F7D5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- 0,006 </w:t>
            </w:r>
          </w:p>
        </w:tc>
        <w:tc>
          <w:tcPr>
            <w:tcW w:w="225" w:type="dxa"/>
            <w:tcBorders>
              <w:top w:val="nil"/>
              <w:left w:val="nil"/>
              <w:bottom w:val="single" w:sz="6" w:space="0" w:color="000000"/>
              <w:right w:val="nil"/>
            </w:tcBorders>
            <w:shd w:val="clear" w:color="auto" w:fill="auto"/>
            <w:vAlign w:val="bottom"/>
            <w:hideMark/>
          </w:tcPr>
          <w:p w14:paraId="51C940A3"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660" w:type="dxa"/>
            <w:tcBorders>
              <w:top w:val="nil"/>
              <w:left w:val="nil"/>
              <w:bottom w:val="single" w:sz="6" w:space="0" w:color="000000"/>
              <w:right w:val="nil"/>
            </w:tcBorders>
            <w:shd w:val="clear" w:color="auto" w:fill="auto"/>
            <w:vAlign w:val="bottom"/>
            <w:hideMark/>
          </w:tcPr>
          <w:p w14:paraId="30C17D9D"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1,10 </w:t>
            </w:r>
          </w:p>
        </w:tc>
        <w:tc>
          <w:tcPr>
            <w:tcW w:w="525" w:type="dxa"/>
            <w:tcBorders>
              <w:top w:val="nil"/>
              <w:left w:val="nil"/>
              <w:bottom w:val="single" w:sz="6" w:space="0" w:color="000000"/>
              <w:right w:val="nil"/>
            </w:tcBorders>
            <w:shd w:val="clear" w:color="auto" w:fill="auto"/>
            <w:vAlign w:val="center"/>
            <w:hideMark/>
          </w:tcPr>
          <w:p w14:paraId="09FCC60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0,20 </w:t>
            </w:r>
          </w:p>
        </w:tc>
        <w:tc>
          <w:tcPr>
            <w:tcW w:w="0" w:type="auto"/>
            <w:vMerge/>
            <w:tcBorders>
              <w:top w:val="single" w:sz="6" w:space="0" w:color="000000"/>
              <w:left w:val="nil"/>
              <w:bottom w:val="single" w:sz="6" w:space="0" w:color="000000"/>
              <w:right w:val="nil"/>
            </w:tcBorders>
            <w:shd w:val="clear" w:color="auto" w:fill="auto"/>
            <w:vAlign w:val="center"/>
            <w:hideMark/>
          </w:tcPr>
          <w:p w14:paraId="4146CEA5"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1050" w:type="dxa"/>
            <w:tcBorders>
              <w:top w:val="nil"/>
              <w:left w:val="nil"/>
              <w:bottom w:val="single" w:sz="6" w:space="0" w:color="000000"/>
              <w:right w:val="nil"/>
            </w:tcBorders>
            <w:shd w:val="clear" w:color="auto" w:fill="auto"/>
            <w:vAlign w:val="center"/>
            <w:hideMark/>
          </w:tcPr>
          <w:p w14:paraId="54725553"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1425" w:type="dxa"/>
            <w:tcBorders>
              <w:top w:val="nil"/>
              <w:left w:val="nil"/>
              <w:bottom w:val="single" w:sz="6" w:space="0" w:color="000000"/>
              <w:right w:val="nil"/>
            </w:tcBorders>
            <w:shd w:val="clear" w:color="auto" w:fill="auto"/>
            <w:vAlign w:val="center"/>
            <w:hideMark/>
          </w:tcPr>
          <w:p w14:paraId="414032A2"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p &gt; 0.05 </w:t>
            </w:r>
          </w:p>
        </w:tc>
      </w:tr>
      <w:tr w:rsidR="00E04D31" w:rsidRPr="00C61A23" w14:paraId="63A63BCA" w14:textId="77777777" w:rsidTr="00E04D31">
        <w:trPr>
          <w:trHeight w:val="300"/>
        </w:trPr>
        <w:tc>
          <w:tcPr>
            <w:tcW w:w="0" w:type="auto"/>
            <w:vMerge/>
            <w:tcBorders>
              <w:top w:val="single" w:sz="6" w:space="0" w:color="000000"/>
              <w:left w:val="nil"/>
              <w:bottom w:val="single" w:sz="6" w:space="0" w:color="000000"/>
              <w:right w:val="nil"/>
            </w:tcBorders>
            <w:shd w:val="clear" w:color="auto" w:fill="auto"/>
            <w:vAlign w:val="center"/>
            <w:hideMark/>
          </w:tcPr>
          <w:p w14:paraId="6A840526"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735" w:type="dxa"/>
            <w:tcBorders>
              <w:top w:val="single" w:sz="6" w:space="0" w:color="000000"/>
              <w:left w:val="nil"/>
              <w:bottom w:val="nil"/>
              <w:right w:val="nil"/>
            </w:tcBorders>
            <w:shd w:val="clear" w:color="auto" w:fill="auto"/>
            <w:vAlign w:val="center"/>
            <w:hideMark/>
          </w:tcPr>
          <w:p w14:paraId="65C6773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MA </w:t>
            </w:r>
          </w:p>
        </w:tc>
        <w:tc>
          <w:tcPr>
            <w:tcW w:w="465" w:type="dxa"/>
            <w:tcBorders>
              <w:top w:val="single" w:sz="6" w:space="0" w:color="000000"/>
              <w:left w:val="nil"/>
              <w:bottom w:val="nil"/>
              <w:right w:val="nil"/>
            </w:tcBorders>
            <w:shd w:val="clear" w:color="auto" w:fill="auto"/>
            <w:vAlign w:val="bottom"/>
            <w:hideMark/>
          </w:tcPr>
          <w:p w14:paraId="09D969B5"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115 </w:t>
            </w:r>
          </w:p>
        </w:tc>
        <w:tc>
          <w:tcPr>
            <w:tcW w:w="930" w:type="dxa"/>
            <w:tcBorders>
              <w:top w:val="single" w:sz="6" w:space="0" w:color="000000"/>
              <w:left w:val="nil"/>
              <w:bottom w:val="nil"/>
              <w:right w:val="nil"/>
            </w:tcBorders>
            <w:shd w:val="clear" w:color="auto" w:fill="auto"/>
            <w:vAlign w:val="center"/>
            <w:hideMark/>
          </w:tcPr>
          <w:p w14:paraId="74B8F29B"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0,25 </w:t>
            </w:r>
          </w:p>
        </w:tc>
        <w:tc>
          <w:tcPr>
            <w:tcW w:w="225" w:type="dxa"/>
            <w:tcBorders>
              <w:top w:val="single" w:sz="6" w:space="0" w:color="000000"/>
              <w:left w:val="nil"/>
              <w:bottom w:val="nil"/>
              <w:right w:val="nil"/>
            </w:tcBorders>
            <w:shd w:val="clear" w:color="auto" w:fill="auto"/>
            <w:vAlign w:val="bottom"/>
            <w:hideMark/>
          </w:tcPr>
          <w:p w14:paraId="76402ACD" w14:textId="77777777" w:rsidR="00E04D31" w:rsidRPr="00C61A23" w:rsidRDefault="00E04D31" w:rsidP="00836D54">
            <w:pPr>
              <w:spacing w:line="240" w:lineRule="auto"/>
              <w:textAlignment w:val="baseline"/>
              <w:rPr>
                <w:rFonts w:ascii="Times New Roman" w:eastAsia="Times New Roman" w:hAnsi="Times New Roman" w:cs="Times New Roman"/>
                <w:sz w:val="24"/>
                <w:szCs w:val="24"/>
              </w:rPr>
            </w:pPr>
            <w:r w:rsidRPr="00C61A23">
              <w:rPr>
                <w:rFonts w:eastAsia="Times New Roman"/>
                <w:sz w:val="20"/>
                <w:szCs w:val="20"/>
              </w:rPr>
              <w:t> </w:t>
            </w:r>
          </w:p>
        </w:tc>
        <w:tc>
          <w:tcPr>
            <w:tcW w:w="660" w:type="dxa"/>
            <w:tcBorders>
              <w:top w:val="single" w:sz="6" w:space="0" w:color="000000"/>
              <w:left w:val="nil"/>
              <w:bottom w:val="nil"/>
              <w:right w:val="nil"/>
            </w:tcBorders>
            <w:shd w:val="clear" w:color="auto" w:fill="auto"/>
            <w:vAlign w:val="center"/>
            <w:hideMark/>
          </w:tcPr>
          <w:p w14:paraId="16B6FC7A"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0,65 </w:t>
            </w:r>
          </w:p>
        </w:tc>
        <w:tc>
          <w:tcPr>
            <w:tcW w:w="525" w:type="dxa"/>
            <w:tcBorders>
              <w:top w:val="single" w:sz="6" w:space="0" w:color="000000"/>
              <w:left w:val="nil"/>
              <w:bottom w:val="nil"/>
              <w:right w:val="nil"/>
            </w:tcBorders>
            <w:shd w:val="clear" w:color="auto" w:fill="auto"/>
            <w:vAlign w:val="center"/>
            <w:hideMark/>
          </w:tcPr>
          <w:p w14:paraId="05008D7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0,46 </w:t>
            </w:r>
          </w:p>
        </w:tc>
        <w:tc>
          <w:tcPr>
            <w:tcW w:w="1440" w:type="dxa"/>
            <w:vMerge w:val="restart"/>
            <w:tcBorders>
              <w:top w:val="single" w:sz="6" w:space="0" w:color="000000"/>
              <w:left w:val="nil"/>
              <w:bottom w:val="single" w:sz="6" w:space="0" w:color="000000"/>
              <w:right w:val="nil"/>
            </w:tcBorders>
            <w:shd w:val="clear" w:color="auto" w:fill="auto"/>
            <w:vAlign w:val="center"/>
            <w:hideMark/>
          </w:tcPr>
          <w:p w14:paraId="0140E4F5"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b/>
                <w:bCs/>
                <w:i/>
                <w:iCs/>
                <w:color w:val="000000"/>
                <w:sz w:val="20"/>
                <w:szCs w:val="20"/>
              </w:rPr>
              <w:t>p &lt;</w:t>
            </w:r>
            <w:r w:rsidRPr="00C61A23">
              <w:rPr>
                <w:rFonts w:eastAsia="Times New Roman"/>
                <w:b/>
                <w:bCs/>
                <w:color w:val="000000"/>
                <w:sz w:val="20"/>
                <w:szCs w:val="20"/>
              </w:rPr>
              <w:t xml:space="preserve"> 0.05</w:t>
            </w:r>
            <w:r w:rsidRPr="00C61A23">
              <w:rPr>
                <w:rFonts w:eastAsia="Times New Roman"/>
                <w:color w:val="000000"/>
                <w:sz w:val="20"/>
                <w:szCs w:val="20"/>
              </w:rPr>
              <w:t> </w:t>
            </w:r>
          </w:p>
        </w:tc>
        <w:tc>
          <w:tcPr>
            <w:tcW w:w="1050" w:type="dxa"/>
            <w:tcBorders>
              <w:top w:val="single" w:sz="6" w:space="0" w:color="000000"/>
              <w:left w:val="nil"/>
              <w:bottom w:val="nil"/>
              <w:right w:val="nil"/>
            </w:tcBorders>
            <w:shd w:val="clear" w:color="auto" w:fill="auto"/>
            <w:vAlign w:val="center"/>
            <w:hideMark/>
          </w:tcPr>
          <w:p w14:paraId="319C37BD"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1425" w:type="dxa"/>
            <w:tcBorders>
              <w:top w:val="single" w:sz="6" w:space="0" w:color="000000"/>
              <w:left w:val="nil"/>
              <w:bottom w:val="nil"/>
              <w:right w:val="nil"/>
            </w:tcBorders>
            <w:shd w:val="clear" w:color="auto" w:fill="auto"/>
            <w:vAlign w:val="center"/>
            <w:hideMark/>
          </w:tcPr>
          <w:p w14:paraId="511311F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p &lt; 0.05 </w:t>
            </w:r>
          </w:p>
        </w:tc>
      </w:tr>
      <w:tr w:rsidR="00E04D31" w:rsidRPr="00C61A23" w14:paraId="79D7C0D8" w14:textId="77777777" w:rsidTr="00E04D31">
        <w:trPr>
          <w:trHeight w:val="300"/>
        </w:trPr>
        <w:tc>
          <w:tcPr>
            <w:tcW w:w="0" w:type="auto"/>
            <w:vMerge/>
            <w:tcBorders>
              <w:top w:val="single" w:sz="6" w:space="0" w:color="000000"/>
              <w:left w:val="nil"/>
              <w:bottom w:val="single" w:sz="6" w:space="0" w:color="000000"/>
              <w:right w:val="nil"/>
            </w:tcBorders>
            <w:shd w:val="clear" w:color="auto" w:fill="auto"/>
            <w:vAlign w:val="center"/>
            <w:hideMark/>
          </w:tcPr>
          <w:p w14:paraId="7B5095F0"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735" w:type="dxa"/>
            <w:tcBorders>
              <w:top w:val="nil"/>
              <w:left w:val="nil"/>
              <w:bottom w:val="single" w:sz="6" w:space="0" w:color="000000"/>
              <w:right w:val="nil"/>
            </w:tcBorders>
            <w:shd w:val="clear" w:color="auto" w:fill="auto"/>
            <w:vAlign w:val="center"/>
            <w:hideMark/>
          </w:tcPr>
          <w:p w14:paraId="5D95050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MJ </w:t>
            </w:r>
          </w:p>
        </w:tc>
        <w:tc>
          <w:tcPr>
            <w:tcW w:w="465" w:type="dxa"/>
            <w:tcBorders>
              <w:top w:val="nil"/>
              <w:left w:val="nil"/>
              <w:bottom w:val="single" w:sz="6" w:space="0" w:color="000000"/>
              <w:right w:val="nil"/>
            </w:tcBorders>
            <w:shd w:val="clear" w:color="auto" w:fill="auto"/>
            <w:vAlign w:val="bottom"/>
            <w:hideMark/>
          </w:tcPr>
          <w:p w14:paraId="38EFE771"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108 </w:t>
            </w:r>
          </w:p>
        </w:tc>
        <w:tc>
          <w:tcPr>
            <w:tcW w:w="930" w:type="dxa"/>
            <w:tcBorders>
              <w:top w:val="nil"/>
              <w:left w:val="nil"/>
              <w:bottom w:val="single" w:sz="6" w:space="0" w:color="000000"/>
              <w:right w:val="nil"/>
            </w:tcBorders>
            <w:shd w:val="clear" w:color="auto" w:fill="auto"/>
            <w:vAlign w:val="center"/>
            <w:hideMark/>
          </w:tcPr>
          <w:p w14:paraId="668EAF78"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0,11 </w:t>
            </w:r>
          </w:p>
        </w:tc>
        <w:tc>
          <w:tcPr>
            <w:tcW w:w="225" w:type="dxa"/>
            <w:tcBorders>
              <w:top w:val="nil"/>
              <w:left w:val="nil"/>
              <w:bottom w:val="single" w:sz="6" w:space="0" w:color="000000"/>
              <w:right w:val="nil"/>
            </w:tcBorders>
            <w:shd w:val="clear" w:color="auto" w:fill="auto"/>
            <w:vAlign w:val="bottom"/>
            <w:hideMark/>
          </w:tcPr>
          <w:p w14:paraId="0AEE6B22" w14:textId="77777777" w:rsidR="00E04D31" w:rsidRPr="00C61A23" w:rsidRDefault="00E04D31" w:rsidP="00836D54">
            <w:pPr>
              <w:spacing w:line="240" w:lineRule="auto"/>
              <w:textAlignment w:val="baseline"/>
              <w:rPr>
                <w:rFonts w:ascii="Times New Roman" w:eastAsia="Times New Roman" w:hAnsi="Times New Roman" w:cs="Times New Roman"/>
                <w:sz w:val="24"/>
                <w:szCs w:val="24"/>
              </w:rPr>
            </w:pPr>
            <w:r w:rsidRPr="00C61A23">
              <w:rPr>
                <w:rFonts w:eastAsia="Times New Roman"/>
                <w:sz w:val="20"/>
                <w:szCs w:val="20"/>
              </w:rPr>
              <w:t> </w:t>
            </w:r>
          </w:p>
        </w:tc>
        <w:tc>
          <w:tcPr>
            <w:tcW w:w="660" w:type="dxa"/>
            <w:tcBorders>
              <w:top w:val="nil"/>
              <w:left w:val="nil"/>
              <w:bottom w:val="single" w:sz="6" w:space="0" w:color="000000"/>
              <w:right w:val="nil"/>
            </w:tcBorders>
            <w:shd w:val="clear" w:color="auto" w:fill="auto"/>
            <w:vAlign w:val="center"/>
            <w:hideMark/>
          </w:tcPr>
          <w:p w14:paraId="7790B756"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0,88 </w:t>
            </w:r>
          </w:p>
        </w:tc>
        <w:tc>
          <w:tcPr>
            <w:tcW w:w="525" w:type="dxa"/>
            <w:tcBorders>
              <w:top w:val="nil"/>
              <w:left w:val="nil"/>
              <w:bottom w:val="single" w:sz="6" w:space="0" w:color="000000"/>
              <w:right w:val="nil"/>
            </w:tcBorders>
            <w:shd w:val="clear" w:color="auto" w:fill="auto"/>
            <w:vAlign w:val="center"/>
            <w:hideMark/>
          </w:tcPr>
          <w:p w14:paraId="05D66318"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0,51 </w:t>
            </w:r>
          </w:p>
        </w:tc>
        <w:tc>
          <w:tcPr>
            <w:tcW w:w="0" w:type="auto"/>
            <w:vMerge/>
            <w:tcBorders>
              <w:top w:val="single" w:sz="6" w:space="0" w:color="000000"/>
              <w:left w:val="nil"/>
              <w:bottom w:val="single" w:sz="6" w:space="0" w:color="000000"/>
              <w:right w:val="nil"/>
            </w:tcBorders>
            <w:shd w:val="clear" w:color="auto" w:fill="auto"/>
            <w:vAlign w:val="center"/>
            <w:hideMark/>
          </w:tcPr>
          <w:p w14:paraId="0CA44525"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1050" w:type="dxa"/>
            <w:tcBorders>
              <w:top w:val="nil"/>
              <w:left w:val="nil"/>
              <w:bottom w:val="single" w:sz="6" w:space="0" w:color="000000"/>
              <w:right w:val="nil"/>
            </w:tcBorders>
            <w:shd w:val="clear" w:color="auto" w:fill="auto"/>
            <w:vAlign w:val="center"/>
            <w:hideMark/>
          </w:tcPr>
          <w:p w14:paraId="14FD637A"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1425" w:type="dxa"/>
            <w:tcBorders>
              <w:top w:val="nil"/>
              <w:left w:val="nil"/>
              <w:bottom w:val="single" w:sz="6" w:space="0" w:color="000000"/>
              <w:right w:val="nil"/>
            </w:tcBorders>
            <w:shd w:val="clear" w:color="auto" w:fill="auto"/>
            <w:vAlign w:val="center"/>
            <w:hideMark/>
          </w:tcPr>
          <w:p w14:paraId="57DDFA4A"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p &gt; 0.05 </w:t>
            </w:r>
          </w:p>
        </w:tc>
      </w:tr>
      <w:tr w:rsidR="00E04D31" w:rsidRPr="00C61A23" w14:paraId="4FCCBEA2" w14:textId="77777777" w:rsidTr="00E04D31">
        <w:trPr>
          <w:trHeight w:val="300"/>
        </w:trPr>
        <w:tc>
          <w:tcPr>
            <w:tcW w:w="1515" w:type="dxa"/>
            <w:vMerge w:val="restart"/>
            <w:tcBorders>
              <w:top w:val="single" w:sz="6" w:space="0" w:color="000000"/>
              <w:left w:val="nil"/>
              <w:bottom w:val="single" w:sz="6" w:space="0" w:color="000000"/>
              <w:right w:val="nil"/>
            </w:tcBorders>
            <w:shd w:val="clear" w:color="auto" w:fill="auto"/>
            <w:vAlign w:val="center"/>
            <w:hideMark/>
          </w:tcPr>
          <w:p w14:paraId="650E281C"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APQE vs. CEC </w:t>
            </w:r>
          </w:p>
        </w:tc>
        <w:tc>
          <w:tcPr>
            <w:tcW w:w="735" w:type="dxa"/>
            <w:tcBorders>
              <w:top w:val="single" w:sz="6" w:space="0" w:color="000000"/>
              <w:left w:val="nil"/>
              <w:bottom w:val="nil"/>
              <w:right w:val="nil"/>
            </w:tcBorders>
            <w:shd w:val="clear" w:color="auto" w:fill="auto"/>
            <w:vAlign w:val="center"/>
            <w:hideMark/>
          </w:tcPr>
          <w:p w14:paraId="6B25ADE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FA </w:t>
            </w:r>
          </w:p>
        </w:tc>
        <w:tc>
          <w:tcPr>
            <w:tcW w:w="465" w:type="dxa"/>
            <w:tcBorders>
              <w:top w:val="single" w:sz="6" w:space="0" w:color="000000"/>
              <w:left w:val="nil"/>
              <w:bottom w:val="nil"/>
              <w:right w:val="nil"/>
            </w:tcBorders>
            <w:shd w:val="clear" w:color="auto" w:fill="auto"/>
            <w:vAlign w:val="bottom"/>
            <w:hideMark/>
          </w:tcPr>
          <w:p w14:paraId="1F8E9C04"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252 </w:t>
            </w:r>
          </w:p>
        </w:tc>
        <w:tc>
          <w:tcPr>
            <w:tcW w:w="930" w:type="dxa"/>
            <w:tcBorders>
              <w:top w:val="single" w:sz="6" w:space="0" w:color="000000"/>
              <w:left w:val="nil"/>
              <w:bottom w:val="nil"/>
              <w:right w:val="nil"/>
            </w:tcBorders>
            <w:shd w:val="clear" w:color="auto" w:fill="auto"/>
            <w:vAlign w:val="center"/>
            <w:hideMark/>
          </w:tcPr>
          <w:p w14:paraId="3D041866"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0,10 </w:t>
            </w:r>
          </w:p>
        </w:tc>
        <w:tc>
          <w:tcPr>
            <w:tcW w:w="225" w:type="dxa"/>
            <w:tcBorders>
              <w:top w:val="single" w:sz="6" w:space="0" w:color="000000"/>
              <w:left w:val="nil"/>
              <w:bottom w:val="nil"/>
              <w:right w:val="nil"/>
            </w:tcBorders>
            <w:shd w:val="clear" w:color="auto" w:fill="auto"/>
            <w:vAlign w:val="center"/>
            <w:hideMark/>
          </w:tcPr>
          <w:p w14:paraId="6128DDD0"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660" w:type="dxa"/>
            <w:tcBorders>
              <w:top w:val="single" w:sz="6" w:space="0" w:color="000000"/>
              <w:left w:val="nil"/>
              <w:bottom w:val="nil"/>
              <w:right w:val="nil"/>
            </w:tcBorders>
            <w:shd w:val="clear" w:color="auto" w:fill="auto"/>
            <w:vAlign w:val="center"/>
            <w:hideMark/>
          </w:tcPr>
          <w:p w14:paraId="77D26FD1"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0,98 </w:t>
            </w:r>
          </w:p>
        </w:tc>
        <w:tc>
          <w:tcPr>
            <w:tcW w:w="525" w:type="dxa"/>
            <w:tcBorders>
              <w:top w:val="single" w:sz="6" w:space="0" w:color="000000"/>
              <w:left w:val="nil"/>
              <w:bottom w:val="nil"/>
              <w:right w:val="nil"/>
            </w:tcBorders>
            <w:shd w:val="clear" w:color="auto" w:fill="auto"/>
            <w:vAlign w:val="center"/>
            <w:hideMark/>
          </w:tcPr>
          <w:p w14:paraId="5F189D69"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0,64 </w:t>
            </w:r>
          </w:p>
        </w:tc>
        <w:tc>
          <w:tcPr>
            <w:tcW w:w="1440" w:type="dxa"/>
            <w:vMerge w:val="restart"/>
            <w:tcBorders>
              <w:top w:val="single" w:sz="6" w:space="0" w:color="000000"/>
              <w:left w:val="nil"/>
              <w:bottom w:val="nil"/>
              <w:right w:val="nil"/>
            </w:tcBorders>
            <w:shd w:val="clear" w:color="auto" w:fill="auto"/>
            <w:vAlign w:val="center"/>
            <w:hideMark/>
          </w:tcPr>
          <w:p w14:paraId="4E5BA1FB"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i/>
                <w:iCs/>
                <w:color w:val="000000"/>
                <w:sz w:val="20"/>
                <w:szCs w:val="20"/>
              </w:rPr>
              <w:t>p &gt;</w:t>
            </w:r>
            <w:r w:rsidRPr="00C61A23">
              <w:rPr>
                <w:rFonts w:eastAsia="Times New Roman"/>
                <w:color w:val="000000"/>
                <w:sz w:val="20"/>
                <w:szCs w:val="20"/>
              </w:rPr>
              <w:t xml:space="preserve"> 0.05 </w:t>
            </w:r>
          </w:p>
        </w:tc>
        <w:tc>
          <w:tcPr>
            <w:tcW w:w="1050" w:type="dxa"/>
            <w:tcBorders>
              <w:top w:val="single" w:sz="6" w:space="0" w:color="000000"/>
              <w:left w:val="nil"/>
              <w:bottom w:val="nil"/>
              <w:right w:val="nil"/>
            </w:tcBorders>
            <w:shd w:val="clear" w:color="auto" w:fill="auto"/>
            <w:vAlign w:val="center"/>
            <w:hideMark/>
          </w:tcPr>
          <w:p w14:paraId="2C61F60C"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1425" w:type="dxa"/>
            <w:tcBorders>
              <w:top w:val="single" w:sz="6" w:space="0" w:color="000000"/>
              <w:left w:val="nil"/>
              <w:bottom w:val="nil"/>
              <w:right w:val="nil"/>
            </w:tcBorders>
            <w:shd w:val="clear" w:color="auto" w:fill="auto"/>
            <w:vAlign w:val="center"/>
            <w:hideMark/>
          </w:tcPr>
          <w:p w14:paraId="4528F85C"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p &gt; 0.05 </w:t>
            </w:r>
          </w:p>
        </w:tc>
      </w:tr>
      <w:tr w:rsidR="00E04D31" w:rsidRPr="00C61A23" w14:paraId="5888E3C7" w14:textId="77777777" w:rsidTr="00E04D31">
        <w:trPr>
          <w:trHeight w:val="300"/>
        </w:trPr>
        <w:tc>
          <w:tcPr>
            <w:tcW w:w="0" w:type="auto"/>
            <w:vMerge/>
            <w:tcBorders>
              <w:top w:val="single" w:sz="6" w:space="0" w:color="000000"/>
              <w:left w:val="nil"/>
              <w:bottom w:val="single" w:sz="6" w:space="0" w:color="000000"/>
              <w:right w:val="nil"/>
            </w:tcBorders>
            <w:shd w:val="clear" w:color="auto" w:fill="auto"/>
            <w:vAlign w:val="center"/>
            <w:hideMark/>
          </w:tcPr>
          <w:p w14:paraId="7CBA2530"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735" w:type="dxa"/>
            <w:tcBorders>
              <w:top w:val="nil"/>
              <w:left w:val="nil"/>
              <w:bottom w:val="single" w:sz="6" w:space="0" w:color="000000"/>
              <w:right w:val="nil"/>
            </w:tcBorders>
            <w:shd w:val="clear" w:color="auto" w:fill="auto"/>
            <w:vAlign w:val="center"/>
            <w:hideMark/>
          </w:tcPr>
          <w:p w14:paraId="0C31A890"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FJ </w:t>
            </w:r>
          </w:p>
        </w:tc>
        <w:tc>
          <w:tcPr>
            <w:tcW w:w="465" w:type="dxa"/>
            <w:tcBorders>
              <w:top w:val="nil"/>
              <w:left w:val="nil"/>
              <w:bottom w:val="single" w:sz="6" w:space="0" w:color="000000"/>
              <w:right w:val="nil"/>
            </w:tcBorders>
            <w:shd w:val="clear" w:color="auto" w:fill="auto"/>
            <w:vAlign w:val="bottom"/>
            <w:hideMark/>
          </w:tcPr>
          <w:p w14:paraId="681C552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28 </w:t>
            </w:r>
          </w:p>
        </w:tc>
        <w:tc>
          <w:tcPr>
            <w:tcW w:w="930" w:type="dxa"/>
            <w:tcBorders>
              <w:top w:val="nil"/>
              <w:left w:val="nil"/>
              <w:bottom w:val="single" w:sz="6" w:space="0" w:color="000000"/>
              <w:right w:val="nil"/>
            </w:tcBorders>
            <w:shd w:val="clear" w:color="auto" w:fill="auto"/>
            <w:vAlign w:val="center"/>
            <w:hideMark/>
          </w:tcPr>
          <w:p w14:paraId="21FCC0B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0,14 </w:t>
            </w:r>
          </w:p>
        </w:tc>
        <w:tc>
          <w:tcPr>
            <w:tcW w:w="225" w:type="dxa"/>
            <w:tcBorders>
              <w:top w:val="nil"/>
              <w:left w:val="nil"/>
              <w:bottom w:val="single" w:sz="6" w:space="0" w:color="000000"/>
              <w:right w:val="nil"/>
            </w:tcBorders>
            <w:shd w:val="clear" w:color="auto" w:fill="auto"/>
            <w:vAlign w:val="center"/>
            <w:hideMark/>
          </w:tcPr>
          <w:p w14:paraId="787B1C9A"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660" w:type="dxa"/>
            <w:tcBorders>
              <w:top w:val="nil"/>
              <w:left w:val="nil"/>
              <w:bottom w:val="single" w:sz="6" w:space="0" w:color="000000"/>
              <w:right w:val="nil"/>
            </w:tcBorders>
            <w:shd w:val="clear" w:color="auto" w:fill="auto"/>
            <w:vAlign w:val="center"/>
            <w:hideMark/>
          </w:tcPr>
          <w:p w14:paraId="26052926"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0,82 </w:t>
            </w:r>
          </w:p>
        </w:tc>
        <w:tc>
          <w:tcPr>
            <w:tcW w:w="525" w:type="dxa"/>
            <w:tcBorders>
              <w:top w:val="nil"/>
              <w:left w:val="nil"/>
              <w:bottom w:val="single" w:sz="6" w:space="0" w:color="000000"/>
              <w:right w:val="nil"/>
            </w:tcBorders>
            <w:shd w:val="clear" w:color="auto" w:fill="auto"/>
            <w:vAlign w:val="center"/>
            <w:hideMark/>
          </w:tcPr>
          <w:p w14:paraId="2F084B2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0,57 </w:t>
            </w:r>
          </w:p>
        </w:tc>
        <w:tc>
          <w:tcPr>
            <w:tcW w:w="0" w:type="auto"/>
            <w:vMerge/>
            <w:tcBorders>
              <w:top w:val="single" w:sz="6" w:space="0" w:color="000000"/>
              <w:left w:val="nil"/>
              <w:bottom w:val="nil"/>
              <w:right w:val="nil"/>
            </w:tcBorders>
            <w:shd w:val="clear" w:color="auto" w:fill="auto"/>
            <w:vAlign w:val="center"/>
            <w:hideMark/>
          </w:tcPr>
          <w:p w14:paraId="6C38FC46"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1050" w:type="dxa"/>
            <w:tcBorders>
              <w:top w:val="nil"/>
              <w:left w:val="nil"/>
              <w:bottom w:val="single" w:sz="6" w:space="0" w:color="000000"/>
              <w:right w:val="nil"/>
            </w:tcBorders>
            <w:shd w:val="clear" w:color="auto" w:fill="auto"/>
            <w:vAlign w:val="center"/>
            <w:hideMark/>
          </w:tcPr>
          <w:p w14:paraId="6132FE17"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1425" w:type="dxa"/>
            <w:tcBorders>
              <w:top w:val="nil"/>
              <w:left w:val="nil"/>
              <w:bottom w:val="single" w:sz="6" w:space="0" w:color="000000"/>
              <w:right w:val="nil"/>
            </w:tcBorders>
            <w:shd w:val="clear" w:color="auto" w:fill="auto"/>
            <w:vAlign w:val="center"/>
            <w:hideMark/>
          </w:tcPr>
          <w:p w14:paraId="7C4AB183"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p &gt; 0.05 </w:t>
            </w:r>
          </w:p>
        </w:tc>
      </w:tr>
      <w:tr w:rsidR="00E04D31" w:rsidRPr="00C61A23" w14:paraId="466388F5" w14:textId="77777777" w:rsidTr="00E04D31">
        <w:trPr>
          <w:trHeight w:val="300"/>
        </w:trPr>
        <w:tc>
          <w:tcPr>
            <w:tcW w:w="0" w:type="auto"/>
            <w:vMerge/>
            <w:tcBorders>
              <w:top w:val="single" w:sz="6" w:space="0" w:color="000000"/>
              <w:left w:val="nil"/>
              <w:bottom w:val="single" w:sz="6" w:space="0" w:color="000000"/>
              <w:right w:val="nil"/>
            </w:tcBorders>
            <w:shd w:val="clear" w:color="auto" w:fill="auto"/>
            <w:vAlign w:val="center"/>
            <w:hideMark/>
          </w:tcPr>
          <w:p w14:paraId="1697266F"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735" w:type="dxa"/>
            <w:tcBorders>
              <w:top w:val="single" w:sz="6" w:space="0" w:color="000000"/>
              <w:left w:val="nil"/>
              <w:bottom w:val="nil"/>
              <w:right w:val="nil"/>
            </w:tcBorders>
            <w:shd w:val="clear" w:color="auto" w:fill="auto"/>
            <w:vAlign w:val="center"/>
            <w:hideMark/>
          </w:tcPr>
          <w:p w14:paraId="3FAA1B55"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MA </w:t>
            </w:r>
          </w:p>
        </w:tc>
        <w:tc>
          <w:tcPr>
            <w:tcW w:w="465" w:type="dxa"/>
            <w:tcBorders>
              <w:top w:val="single" w:sz="6" w:space="0" w:color="000000"/>
              <w:left w:val="nil"/>
              <w:bottom w:val="nil"/>
              <w:right w:val="nil"/>
            </w:tcBorders>
            <w:shd w:val="clear" w:color="auto" w:fill="auto"/>
            <w:vAlign w:val="bottom"/>
            <w:hideMark/>
          </w:tcPr>
          <w:p w14:paraId="7BE76FC1"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121 </w:t>
            </w:r>
          </w:p>
        </w:tc>
        <w:tc>
          <w:tcPr>
            <w:tcW w:w="930" w:type="dxa"/>
            <w:tcBorders>
              <w:top w:val="single" w:sz="6" w:space="0" w:color="000000"/>
              <w:left w:val="nil"/>
              <w:bottom w:val="nil"/>
              <w:right w:val="nil"/>
            </w:tcBorders>
            <w:shd w:val="clear" w:color="auto" w:fill="auto"/>
            <w:vAlign w:val="center"/>
            <w:hideMark/>
          </w:tcPr>
          <w:p w14:paraId="78B7442F"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0,14 </w:t>
            </w:r>
          </w:p>
        </w:tc>
        <w:tc>
          <w:tcPr>
            <w:tcW w:w="225" w:type="dxa"/>
            <w:tcBorders>
              <w:top w:val="single" w:sz="6" w:space="0" w:color="000000"/>
              <w:left w:val="nil"/>
              <w:bottom w:val="nil"/>
              <w:right w:val="nil"/>
            </w:tcBorders>
            <w:shd w:val="clear" w:color="auto" w:fill="auto"/>
            <w:vAlign w:val="center"/>
            <w:hideMark/>
          </w:tcPr>
          <w:p w14:paraId="29BFAFB1" w14:textId="77777777" w:rsidR="00E04D31" w:rsidRPr="00C61A23" w:rsidRDefault="00E04D31" w:rsidP="00836D54">
            <w:pPr>
              <w:spacing w:line="240" w:lineRule="auto"/>
              <w:textAlignment w:val="baseline"/>
              <w:rPr>
                <w:rFonts w:ascii="Times New Roman" w:eastAsia="Times New Roman" w:hAnsi="Times New Roman" w:cs="Times New Roman"/>
                <w:sz w:val="24"/>
                <w:szCs w:val="24"/>
              </w:rPr>
            </w:pPr>
            <w:r w:rsidRPr="00C61A23">
              <w:rPr>
                <w:rFonts w:eastAsia="Times New Roman"/>
                <w:sz w:val="20"/>
                <w:szCs w:val="20"/>
              </w:rPr>
              <w:t> </w:t>
            </w:r>
          </w:p>
        </w:tc>
        <w:tc>
          <w:tcPr>
            <w:tcW w:w="660" w:type="dxa"/>
            <w:tcBorders>
              <w:top w:val="single" w:sz="6" w:space="0" w:color="000000"/>
              <w:left w:val="nil"/>
              <w:bottom w:val="nil"/>
              <w:right w:val="nil"/>
            </w:tcBorders>
            <w:shd w:val="clear" w:color="auto" w:fill="auto"/>
            <w:vAlign w:val="center"/>
            <w:hideMark/>
          </w:tcPr>
          <w:p w14:paraId="39C3F371"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0,85 </w:t>
            </w:r>
          </w:p>
        </w:tc>
        <w:tc>
          <w:tcPr>
            <w:tcW w:w="525" w:type="dxa"/>
            <w:tcBorders>
              <w:top w:val="single" w:sz="6" w:space="0" w:color="000000"/>
              <w:left w:val="nil"/>
              <w:bottom w:val="nil"/>
              <w:right w:val="nil"/>
            </w:tcBorders>
            <w:shd w:val="clear" w:color="auto" w:fill="auto"/>
            <w:vAlign w:val="center"/>
            <w:hideMark/>
          </w:tcPr>
          <w:p w14:paraId="2D5EFD3C"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0,59 </w:t>
            </w:r>
          </w:p>
        </w:tc>
        <w:tc>
          <w:tcPr>
            <w:tcW w:w="1440" w:type="dxa"/>
            <w:vMerge w:val="restart"/>
            <w:tcBorders>
              <w:top w:val="single" w:sz="6" w:space="0" w:color="000000"/>
              <w:left w:val="nil"/>
              <w:bottom w:val="single" w:sz="6" w:space="0" w:color="000000"/>
              <w:right w:val="nil"/>
            </w:tcBorders>
            <w:shd w:val="clear" w:color="auto" w:fill="auto"/>
            <w:vAlign w:val="center"/>
            <w:hideMark/>
          </w:tcPr>
          <w:p w14:paraId="3025AFB4"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i/>
                <w:iCs/>
                <w:color w:val="000000"/>
                <w:sz w:val="20"/>
                <w:szCs w:val="20"/>
              </w:rPr>
              <w:t>p &gt;</w:t>
            </w:r>
            <w:r w:rsidRPr="00C61A23">
              <w:rPr>
                <w:rFonts w:eastAsia="Times New Roman"/>
                <w:color w:val="000000"/>
                <w:sz w:val="20"/>
                <w:szCs w:val="20"/>
              </w:rPr>
              <w:t xml:space="preserve"> 0.05 </w:t>
            </w:r>
          </w:p>
        </w:tc>
        <w:tc>
          <w:tcPr>
            <w:tcW w:w="1050" w:type="dxa"/>
            <w:tcBorders>
              <w:top w:val="single" w:sz="6" w:space="0" w:color="000000"/>
              <w:left w:val="nil"/>
              <w:bottom w:val="nil"/>
              <w:right w:val="nil"/>
            </w:tcBorders>
            <w:shd w:val="clear" w:color="auto" w:fill="auto"/>
            <w:vAlign w:val="center"/>
            <w:hideMark/>
          </w:tcPr>
          <w:p w14:paraId="30D25C1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1425" w:type="dxa"/>
            <w:tcBorders>
              <w:top w:val="single" w:sz="6" w:space="0" w:color="000000"/>
              <w:left w:val="nil"/>
              <w:bottom w:val="nil"/>
              <w:right w:val="nil"/>
            </w:tcBorders>
            <w:shd w:val="clear" w:color="auto" w:fill="auto"/>
            <w:vAlign w:val="center"/>
            <w:hideMark/>
          </w:tcPr>
          <w:p w14:paraId="1124A891"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p &lt; 0.05 </w:t>
            </w:r>
          </w:p>
        </w:tc>
      </w:tr>
      <w:tr w:rsidR="00E04D31" w:rsidRPr="00C61A23" w14:paraId="17E526D4" w14:textId="77777777" w:rsidTr="00E04D31">
        <w:trPr>
          <w:trHeight w:val="300"/>
        </w:trPr>
        <w:tc>
          <w:tcPr>
            <w:tcW w:w="0" w:type="auto"/>
            <w:vMerge/>
            <w:tcBorders>
              <w:top w:val="single" w:sz="6" w:space="0" w:color="000000"/>
              <w:left w:val="nil"/>
              <w:bottom w:val="single" w:sz="6" w:space="0" w:color="000000"/>
              <w:right w:val="nil"/>
            </w:tcBorders>
            <w:shd w:val="clear" w:color="auto" w:fill="auto"/>
            <w:vAlign w:val="center"/>
            <w:hideMark/>
          </w:tcPr>
          <w:p w14:paraId="738A0760"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735" w:type="dxa"/>
            <w:tcBorders>
              <w:top w:val="nil"/>
              <w:left w:val="nil"/>
              <w:bottom w:val="single" w:sz="6" w:space="0" w:color="000000"/>
              <w:right w:val="nil"/>
            </w:tcBorders>
            <w:shd w:val="clear" w:color="auto" w:fill="auto"/>
            <w:vAlign w:val="center"/>
            <w:hideMark/>
          </w:tcPr>
          <w:p w14:paraId="1149EF0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MJ </w:t>
            </w:r>
          </w:p>
        </w:tc>
        <w:tc>
          <w:tcPr>
            <w:tcW w:w="465" w:type="dxa"/>
            <w:tcBorders>
              <w:top w:val="nil"/>
              <w:left w:val="nil"/>
              <w:bottom w:val="single" w:sz="6" w:space="0" w:color="000000"/>
              <w:right w:val="nil"/>
            </w:tcBorders>
            <w:shd w:val="clear" w:color="auto" w:fill="auto"/>
            <w:vAlign w:val="bottom"/>
            <w:hideMark/>
          </w:tcPr>
          <w:p w14:paraId="5C64A541"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102 </w:t>
            </w:r>
          </w:p>
        </w:tc>
        <w:tc>
          <w:tcPr>
            <w:tcW w:w="930" w:type="dxa"/>
            <w:tcBorders>
              <w:top w:val="nil"/>
              <w:left w:val="nil"/>
              <w:bottom w:val="single" w:sz="6" w:space="0" w:color="000000"/>
              <w:right w:val="nil"/>
            </w:tcBorders>
            <w:shd w:val="clear" w:color="auto" w:fill="auto"/>
            <w:vAlign w:val="center"/>
            <w:hideMark/>
          </w:tcPr>
          <w:p w14:paraId="1C249F28"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0,15 </w:t>
            </w:r>
          </w:p>
        </w:tc>
        <w:tc>
          <w:tcPr>
            <w:tcW w:w="225" w:type="dxa"/>
            <w:tcBorders>
              <w:top w:val="nil"/>
              <w:left w:val="nil"/>
              <w:bottom w:val="single" w:sz="6" w:space="0" w:color="000000"/>
              <w:right w:val="nil"/>
            </w:tcBorders>
            <w:shd w:val="clear" w:color="auto" w:fill="auto"/>
            <w:vAlign w:val="center"/>
            <w:hideMark/>
          </w:tcPr>
          <w:p w14:paraId="43FA94A0"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660" w:type="dxa"/>
            <w:tcBorders>
              <w:top w:val="nil"/>
              <w:left w:val="nil"/>
              <w:bottom w:val="single" w:sz="6" w:space="0" w:color="000000"/>
              <w:right w:val="nil"/>
            </w:tcBorders>
            <w:shd w:val="clear" w:color="auto" w:fill="auto"/>
            <w:vAlign w:val="center"/>
            <w:hideMark/>
          </w:tcPr>
          <w:p w14:paraId="7F24A8D2"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0,82 </w:t>
            </w:r>
          </w:p>
        </w:tc>
        <w:tc>
          <w:tcPr>
            <w:tcW w:w="525" w:type="dxa"/>
            <w:tcBorders>
              <w:top w:val="nil"/>
              <w:left w:val="nil"/>
              <w:bottom w:val="single" w:sz="6" w:space="0" w:color="000000"/>
              <w:right w:val="nil"/>
            </w:tcBorders>
            <w:shd w:val="clear" w:color="auto" w:fill="auto"/>
            <w:vAlign w:val="center"/>
            <w:hideMark/>
          </w:tcPr>
          <w:p w14:paraId="3C6D734E"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0,72 </w:t>
            </w:r>
          </w:p>
        </w:tc>
        <w:tc>
          <w:tcPr>
            <w:tcW w:w="0" w:type="auto"/>
            <w:vMerge/>
            <w:tcBorders>
              <w:top w:val="single" w:sz="6" w:space="0" w:color="000000"/>
              <w:left w:val="nil"/>
              <w:bottom w:val="single" w:sz="6" w:space="0" w:color="000000"/>
              <w:right w:val="nil"/>
            </w:tcBorders>
            <w:shd w:val="clear" w:color="auto" w:fill="auto"/>
            <w:vAlign w:val="center"/>
            <w:hideMark/>
          </w:tcPr>
          <w:p w14:paraId="4DED4A48" w14:textId="77777777" w:rsidR="00E04D31" w:rsidRPr="00C61A23" w:rsidRDefault="00E04D31" w:rsidP="00836D54">
            <w:pPr>
              <w:spacing w:line="240" w:lineRule="auto"/>
              <w:rPr>
                <w:rFonts w:ascii="Times New Roman" w:eastAsia="Times New Roman" w:hAnsi="Times New Roman" w:cs="Times New Roman"/>
                <w:sz w:val="24"/>
                <w:szCs w:val="24"/>
              </w:rPr>
            </w:pPr>
          </w:p>
        </w:tc>
        <w:tc>
          <w:tcPr>
            <w:tcW w:w="1050" w:type="dxa"/>
            <w:tcBorders>
              <w:top w:val="nil"/>
              <w:left w:val="nil"/>
              <w:bottom w:val="single" w:sz="6" w:space="0" w:color="000000"/>
              <w:right w:val="nil"/>
            </w:tcBorders>
            <w:shd w:val="clear" w:color="auto" w:fill="auto"/>
            <w:vAlign w:val="center"/>
            <w:hideMark/>
          </w:tcPr>
          <w:p w14:paraId="234788EB"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 </w:t>
            </w:r>
          </w:p>
        </w:tc>
        <w:tc>
          <w:tcPr>
            <w:tcW w:w="1425" w:type="dxa"/>
            <w:tcBorders>
              <w:top w:val="nil"/>
              <w:left w:val="nil"/>
              <w:bottom w:val="single" w:sz="6" w:space="0" w:color="000000"/>
              <w:right w:val="nil"/>
            </w:tcBorders>
            <w:shd w:val="clear" w:color="auto" w:fill="auto"/>
            <w:vAlign w:val="center"/>
            <w:hideMark/>
          </w:tcPr>
          <w:p w14:paraId="0A5C7445" w14:textId="77777777" w:rsidR="00E04D31" w:rsidRPr="00C61A23" w:rsidRDefault="00E04D31" w:rsidP="00836D54">
            <w:pPr>
              <w:spacing w:line="240" w:lineRule="auto"/>
              <w:jc w:val="center"/>
              <w:textAlignment w:val="baseline"/>
              <w:rPr>
                <w:rFonts w:ascii="Times New Roman" w:eastAsia="Times New Roman" w:hAnsi="Times New Roman" w:cs="Times New Roman"/>
                <w:sz w:val="24"/>
                <w:szCs w:val="24"/>
              </w:rPr>
            </w:pPr>
            <w:r w:rsidRPr="00C61A23">
              <w:rPr>
                <w:rFonts w:eastAsia="Times New Roman"/>
                <w:color w:val="000000"/>
                <w:sz w:val="20"/>
                <w:szCs w:val="20"/>
              </w:rPr>
              <w:t>p &lt; 0.05 </w:t>
            </w:r>
          </w:p>
        </w:tc>
      </w:tr>
    </w:tbl>
    <w:p w14:paraId="1D595480" w14:textId="6ED84E72" w:rsidR="00C11974" w:rsidRDefault="00C11974" w:rsidP="00C11974">
      <w:pPr>
        <w:spacing w:line="240" w:lineRule="auto"/>
        <w:ind w:firstLine="567"/>
        <w:jc w:val="center"/>
        <w:rPr>
          <w:color w:val="000000"/>
          <w:sz w:val="20"/>
          <w:szCs w:val="20"/>
          <w:lang w:val="pt-BR" w:eastAsia="zh-CN"/>
        </w:rPr>
      </w:pPr>
      <w:r>
        <w:rPr>
          <w:color w:val="000000"/>
          <w:sz w:val="20"/>
          <w:szCs w:val="20"/>
          <w:lang w:val="pt-BR" w:eastAsia="zh-CN"/>
        </w:rPr>
        <w:t xml:space="preserve">Abreviaturas: FA= fêmeas adultas; FJ= fêmeas juvenis; MA= machos adultos; MJ= machos juvenis; CEC= comprimento do escudo </w:t>
      </w:r>
      <w:proofErr w:type="spellStart"/>
      <w:r>
        <w:rPr>
          <w:color w:val="000000"/>
          <w:sz w:val="20"/>
          <w:szCs w:val="20"/>
          <w:lang w:val="pt-BR" w:eastAsia="zh-CN"/>
        </w:rPr>
        <w:t>cefalotorácico</w:t>
      </w:r>
      <w:proofErr w:type="spellEnd"/>
      <w:r>
        <w:rPr>
          <w:color w:val="000000"/>
          <w:sz w:val="20"/>
          <w:szCs w:val="20"/>
          <w:lang w:val="pt-BR" w:eastAsia="zh-CN"/>
        </w:rPr>
        <w:t xml:space="preserve">; CPQE= comprimento do </w:t>
      </w:r>
      <w:proofErr w:type="spellStart"/>
      <w:r>
        <w:rPr>
          <w:color w:val="000000"/>
          <w:sz w:val="20"/>
          <w:szCs w:val="20"/>
          <w:lang w:val="pt-BR" w:eastAsia="zh-CN"/>
        </w:rPr>
        <w:t>própodo</w:t>
      </w:r>
      <w:proofErr w:type="spellEnd"/>
      <w:r>
        <w:rPr>
          <w:color w:val="000000"/>
          <w:sz w:val="20"/>
          <w:szCs w:val="20"/>
          <w:lang w:val="pt-BR" w:eastAsia="zh-CN"/>
        </w:rPr>
        <w:t xml:space="preserve"> quelar esquerdo; APQE= altura do </w:t>
      </w:r>
      <w:proofErr w:type="spellStart"/>
      <w:r>
        <w:rPr>
          <w:color w:val="000000"/>
          <w:sz w:val="20"/>
          <w:szCs w:val="20"/>
          <w:lang w:val="pt-BR" w:eastAsia="zh-CN"/>
        </w:rPr>
        <w:t>própodo</w:t>
      </w:r>
      <w:proofErr w:type="spellEnd"/>
      <w:r>
        <w:rPr>
          <w:color w:val="000000"/>
          <w:sz w:val="20"/>
          <w:szCs w:val="20"/>
          <w:lang w:val="pt-BR" w:eastAsia="zh-CN"/>
        </w:rPr>
        <w:t xml:space="preserve"> quelar esquerdo; N= número de indivíduos, R</w:t>
      </w:r>
      <w:r>
        <w:rPr>
          <w:color w:val="000000"/>
          <w:sz w:val="20"/>
          <w:szCs w:val="20"/>
          <w:vertAlign w:val="superscript"/>
          <w:lang w:val="pt-BR" w:eastAsia="zh-CN"/>
        </w:rPr>
        <w:t>2</w:t>
      </w:r>
      <w:r>
        <w:rPr>
          <w:color w:val="000000"/>
          <w:sz w:val="20"/>
          <w:szCs w:val="20"/>
          <w:lang w:val="pt-BR" w:eastAsia="zh-CN"/>
        </w:rPr>
        <w:t>= coeficiente de angulação.</w:t>
      </w:r>
    </w:p>
    <w:p w14:paraId="5550F887" w14:textId="77777777" w:rsidR="00C11974" w:rsidRPr="00C11974" w:rsidRDefault="00C11974" w:rsidP="00E04D31">
      <w:pPr>
        <w:spacing w:line="240" w:lineRule="auto"/>
        <w:ind w:firstLine="567"/>
        <w:jc w:val="both"/>
        <w:rPr>
          <w:color w:val="000000"/>
          <w:sz w:val="20"/>
          <w:szCs w:val="20"/>
          <w:lang w:val="pt-BR" w:eastAsia="zh-CN"/>
        </w:rPr>
      </w:pPr>
    </w:p>
    <w:p w14:paraId="76313AD8" w14:textId="286B8804" w:rsidR="00E04D31" w:rsidRPr="008351D5" w:rsidRDefault="00E04D31" w:rsidP="00E04D31">
      <w:pPr>
        <w:spacing w:line="240" w:lineRule="auto"/>
        <w:ind w:firstLine="567"/>
        <w:jc w:val="both"/>
        <w:rPr>
          <w:color w:val="000000"/>
          <w:sz w:val="20"/>
          <w:szCs w:val="20"/>
          <w:shd w:val="clear" w:color="auto" w:fill="FFFF00"/>
          <w:lang w:val="pt-BR" w:eastAsia="zh-CN"/>
        </w:rPr>
      </w:pPr>
      <w:r w:rsidRPr="00C61A23">
        <w:rPr>
          <w:rFonts w:eastAsia="Times New Roman"/>
          <w:color w:val="000000"/>
          <w:sz w:val="20"/>
          <w:szCs w:val="20"/>
          <w:lang w:eastAsia="zh-CN"/>
        </w:rPr>
        <w:t>O tamanho no qual 50% dos machos atingem a maturidade sexual morfométrica foi de 4,0 mm de CEC (intervalo de confiança: 3,9 mm a 4,0 mm) (Fig. 1 - B), enquanto nas fêmeas foi de 3,3 mm de CEC (intervalo de confiança: 3,3 mm a 3,4 mm) (Fig.1 - A). Considerando que a menor fêmea ovígera possui 2,89 mm de CEC e, consequentemente, madura do ponto de vista gonadal, sugere-se que a maturidade gonadal ocorra antes da maturidade sexual morfométrica. É comum que a maturidade sexual morfológica esteja associada à maturidade gonadal, possibilitando assim, inferir que os indivíduos morfologicamente maduros sejam, também, funcionalmente maduros</w:t>
      </w:r>
      <w:r w:rsidR="008351D5">
        <w:rPr>
          <w:rFonts w:eastAsia="Times New Roman"/>
          <w:color w:val="000000"/>
          <w:sz w:val="20"/>
          <w:szCs w:val="20"/>
          <w:lang w:val="pt-BR" w:eastAsia="zh-CN"/>
        </w:rPr>
        <w:t xml:space="preserve"> (Biagi e </w:t>
      </w:r>
      <w:proofErr w:type="spellStart"/>
      <w:r w:rsidR="008351D5">
        <w:rPr>
          <w:rFonts w:eastAsia="Times New Roman"/>
          <w:color w:val="000000"/>
          <w:sz w:val="20"/>
          <w:szCs w:val="20"/>
          <w:lang w:val="pt-BR" w:eastAsia="zh-CN"/>
        </w:rPr>
        <w:t>Mantelatto</w:t>
      </w:r>
      <w:proofErr w:type="spellEnd"/>
      <w:r w:rsidR="008351D5">
        <w:rPr>
          <w:rFonts w:eastAsia="Times New Roman"/>
          <w:color w:val="000000"/>
          <w:sz w:val="20"/>
          <w:szCs w:val="20"/>
          <w:lang w:val="pt-BR" w:eastAsia="zh-CN"/>
        </w:rPr>
        <w:t>, 2006).</w:t>
      </w:r>
    </w:p>
    <w:p w14:paraId="2DBB8B35" w14:textId="6F4173A8" w:rsidR="00E04D31" w:rsidRPr="00C61A23" w:rsidRDefault="00E04D31" w:rsidP="008351D5">
      <w:pPr>
        <w:spacing w:line="240" w:lineRule="auto"/>
        <w:ind w:firstLine="567"/>
        <w:jc w:val="both"/>
        <w:rPr>
          <w:sz w:val="20"/>
          <w:szCs w:val="20"/>
          <w:lang w:eastAsia="zh-CN"/>
        </w:rPr>
      </w:pPr>
      <w:r w:rsidRPr="00C61A23">
        <w:rPr>
          <w:noProof/>
        </w:rPr>
        <w:drawing>
          <wp:inline distT="0" distB="0" distL="0" distR="0" wp14:anchorId="00E64296" wp14:editId="59E01982">
            <wp:extent cx="4884591" cy="1781175"/>
            <wp:effectExtent l="0" t="0" r="0" b="0"/>
            <wp:docPr id="529780490"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80490" name="Imagem 1" descr="Gráfic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4591" cy="1781175"/>
                    </a:xfrm>
                    <a:prstGeom prst="rect">
                      <a:avLst/>
                    </a:prstGeom>
                    <a:noFill/>
                    <a:ln>
                      <a:noFill/>
                    </a:ln>
                  </pic:spPr>
                </pic:pic>
              </a:graphicData>
            </a:graphic>
          </wp:inline>
        </w:drawing>
      </w:r>
    </w:p>
    <w:p w14:paraId="08BD3EEB" w14:textId="6CF0DC54" w:rsidR="00B555C8" w:rsidRPr="008351D5" w:rsidRDefault="008351D5" w:rsidP="008351D5">
      <w:pPr>
        <w:spacing w:line="240" w:lineRule="auto"/>
        <w:jc w:val="center"/>
        <w:rPr>
          <w:bCs/>
          <w:sz w:val="20"/>
          <w:szCs w:val="20"/>
          <w:lang w:val="pt-BR" w:eastAsia="zh-CN"/>
        </w:rPr>
      </w:pPr>
      <w:r w:rsidRPr="008351D5">
        <w:rPr>
          <w:bCs/>
          <w:sz w:val="20"/>
          <w:szCs w:val="20"/>
          <w:lang w:val="pt-BR" w:eastAsia="zh-CN"/>
        </w:rPr>
        <w:lastRenderedPageBreak/>
        <w:t xml:space="preserve">Figura 1. Maturidade sexual </w:t>
      </w:r>
      <w:proofErr w:type="spellStart"/>
      <w:r w:rsidRPr="008351D5">
        <w:rPr>
          <w:bCs/>
          <w:sz w:val="20"/>
          <w:szCs w:val="20"/>
          <w:lang w:val="pt-BR" w:eastAsia="zh-CN"/>
        </w:rPr>
        <w:t>morfométrica</w:t>
      </w:r>
      <w:proofErr w:type="spellEnd"/>
      <w:r w:rsidRPr="008351D5">
        <w:rPr>
          <w:bCs/>
          <w:sz w:val="20"/>
          <w:szCs w:val="20"/>
          <w:lang w:val="pt-BR" w:eastAsia="zh-CN"/>
        </w:rPr>
        <w:t xml:space="preserve"> das fêmeas (A) e machos (B) de </w:t>
      </w:r>
      <w:proofErr w:type="spellStart"/>
      <w:r w:rsidRPr="008351D5">
        <w:rPr>
          <w:bCs/>
          <w:sz w:val="20"/>
          <w:szCs w:val="20"/>
          <w:lang w:val="pt-BR" w:eastAsia="zh-CN"/>
        </w:rPr>
        <w:t>Calcinus</w:t>
      </w:r>
      <w:proofErr w:type="spellEnd"/>
      <w:r w:rsidRPr="008351D5">
        <w:rPr>
          <w:bCs/>
          <w:sz w:val="20"/>
          <w:szCs w:val="20"/>
          <w:lang w:val="pt-BR" w:eastAsia="zh-CN"/>
        </w:rPr>
        <w:t xml:space="preserve"> </w:t>
      </w:r>
      <w:proofErr w:type="spellStart"/>
      <w:r w:rsidRPr="008351D5">
        <w:rPr>
          <w:bCs/>
          <w:sz w:val="20"/>
          <w:szCs w:val="20"/>
          <w:lang w:val="pt-BR" w:eastAsia="zh-CN"/>
        </w:rPr>
        <w:t>tibicen</w:t>
      </w:r>
      <w:proofErr w:type="spellEnd"/>
      <w:r w:rsidRPr="008351D5">
        <w:rPr>
          <w:bCs/>
          <w:sz w:val="20"/>
          <w:szCs w:val="20"/>
          <w:lang w:val="pt-BR" w:eastAsia="zh-CN"/>
        </w:rPr>
        <w:t xml:space="preserve"> (</w:t>
      </w:r>
      <w:proofErr w:type="spellStart"/>
      <w:r w:rsidRPr="008351D5">
        <w:rPr>
          <w:bCs/>
          <w:sz w:val="20"/>
          <w:szCs w:val="20"/>
          <w:lang w:val="pt-BR" w:eastAsia="zh-CN"/>
        </w:rPr>
        <w:t>Herbst</w:t>
      </w:r>
      <w:proofErr w:type="spellEnd"/>
      <w:r w:rsidRPr="008351D5">
        <w:rPr>
          <w:bCs/>
          <w:sz w:val="20"/>
          <w:szCs w:val="20"/>
          <w:lang w:val="pt-BR" w:eastAsia="zh-CN"/>
        </w:rPr>
        <w:t xml:space="preserve">, 1791). O ponto em vermelho indica o tamanho estimado, no qual 50% das fêmeas e machos atingem a maturidade sexual </w:t>
      </w:r>
      <w:proofErr w:type="spellStart"/>
      <w:r w:rsidRPr="008351D5">
        <w:rPr>
          <w:bCs/>
          <w:sz w:val="20"/>
          <w:szCs w:val="20"/>
          <w:lang w:val="pt-BR" w:eastAsia="zh-CN"/>
        </w:rPr>
        <w:t>morfométrica</w:t>
      </w:r>
      <w:proofErr w:type="spellEnd"/>
      <w:r w:rsidRPr="008351D5">
        <w:rPr>
          <w:bCs/>
          <w:sz w:val="20"/>
          <w:szCs w:val="20"/>
          <w:lang w:val="pt-BR" w:eastAsia="zh-CN"/>
        </w:rPr>
        <w:t xml:space="preserve"> (L</w:t>
      </w:r>
      <w:r w:rsidRPr="008351D5">
        <w:rPr>
          <w:bCs/>
          <w:sz w:val="20"/>
          <w:szCs w:val="20"/>
          <w:vertAlign w:val="subscript"/>
          <w:lang w:val="pt-BR" w:eastAsia="zh-CN"/>
        </w:rPr>
        <w:t>50</w:t>
      </w:r>
      <w:r w:rsidRPr="008351D5">
        <w:rPr>
          <w:bCs/>
          <w:sz w:val="20"/>
          <w:szCs w:val="20"/>
          <w:lang w:val="pt-BR" w:eastAsia="zh-CN"/>
        </w:rPr>
        <w:t>) e o R</w:t>
      </w:r>
      <w:r w:rsidRPr="008351D5">
        <w:rPr>
          <w:bCs/>
          <w:sz w:val="20"/>
          <w:szCs w:val="20"/>
          <w:vertAlign w:val="superscript"/>
          <w:lang w:val="pt-BR" w:eastAsia="zh-CN"/>
        </w:rPr>
        <w:t>2</w:t>
      </w:r>
      <w:r w:rsidRPr="008351D5">
        <w:rPr>
          <w:bCs/>
          <w:sz w:val="20"/>
          <w:szCs w:val="20"/>
          <w:lang w:val="pt-BR" w:eastAsia="zh-CN"/>
        </w:rPr>
        <w:t>, coeficiente de angulação da curva logística.</w:t>
      </w:r>
    </w:p>
    <w:p w14:paraId="0398384E" w14:textId="77777777" w:rsidR="008351D5" w:rsidRPr="008351D5" w:rsidRDefault="008351D5">
      <w:pPr>
        <w:spacing w:line="240" w:lineRule="auto"/>
        <w:jc w:val="both"/>
        <w:rPr>
          <w:rFonts w:hint="eastAsia"/>
          <w:b/>
          <w:sz w:val="20"/>
          <w:szCs w:val="20"/>
          <w:lang w:eastAsia="zh-CN"/>
        </w:rPr>
      </w:pPr>
    </w:p>
    <w:p w14:paraId="5F237617" w14:textId="77777777" w:rsidR="00B555C8" w:rsidRPr="00C61A23" w:rsidRDefault="00000000">
      <w:pPr>
        <w:spacing w:line="240" w:lineRule="auto"/>
        <w:jc w:val="both"/>
        <w:rPr>
          <w:rFonts w:eastAsia="Times New Roman"/>
          <w:b/>
          <w:sz w:val="20"/>
          <w:szCs w:val="20"/>
        </w:rPr>
      </w:pPr>
      <w:r w:rsidRPr="00C61A23">
        <w:rPr>
          <w:rFonts w:eastAsia="Times New Roman"/>
          <w:b/>
          <w:sz w:val="20"/>
          <w:szCs w:val="20"/>
        </w:rPr>
        <w:t>CONCLUSÕES</w:t>
      </w:r>
    </w:p>
    <w:p w14:paraId="44DB7741" w14:textId="77777777" w:rsidR="00E04D31" w:rsidRPr="00C61A23" w:rsidRDefault="00E04D31">
      <w:pPr>
        <w:spacing w:line="240" w:lineRule="auto"/>
        <w:ind w:firstLine="567"/>
        <w:jc w:val="both"/>
        <w:rPr>
          <w:color w:val="000000"/>
          <w:sz w:val="20"/>
          <w:szCs w:val="20"/>
          <w:shd w:val="clear" w:color="auto" w:fill="FFFFFF"/>
          <w:lang w:eastAsia="zh-CN"/>
        </w:rPr>
      </w:pPr>
      <w:r w:rsidRPr="00C61A23">
        <w:rPr>
          <w:rFonts w:eastAsia="Times New Roman"/>
          <w:color w:val="000000"/>
          <w:sz w:val="20"/>
          <w:szCs w:val="20"/>
        </w:rPr>
        <w:t>No presente estudo os machos e fêmeas apresentam taxas de crescimento distintas, evidenciando dimorfismo sexual com machos sendo maiores que as fêmeas em todos os parâmetros morfométricos analisados. Tais diferenças estão relacionados ao investimento energético diferenciado entre os grupos demográfico devido a comportamentos sexuais distintos. Contudo, as análises de crescimento relativo entre os grupos demográficos contrastaram com o padrão típico observado em caranguejos ermitões. S</w:t>
      </w:r>
      <w:r w:rsidRPr="00C61A23">
        <w:rPr>
          <w:rFonts w:eastAsia="Times New Roman"/>
          <w:color w:val="000000"/>
          <w:sz w:val="20"/>
          <w:szCs w:val="20"/>
          <w:shd w:val="clear" w:color="auto" w:fill="FFFFFF"/>
        </w:rPr>
        <w:t>ugere-se estudos mais detalhados que investigue outros parâmetros como a disponibilidade das conchas e a influência dos fatores ambientais na estrutura da população.</w:t>
      </w:r>
    </w:p>
    <w:p w14:paraId="49205099" w14:textId="77777777" w:rsidR="00B555C8" w:rsidRPr="00C61A23" w:rsidRDefault="00B555C8">
      <w:pPr>
        <w:spacing w:line="240" w:lineRule="auto"/>
        <w:ind w:firstLine="567"/>
        <w:jc w:val="both"/>
        <w:rPr>
          <w:rFonts w:eastAsia="Times New Roman"/>
          <w:sz w:val="20"/>
          <w:szCs w:val="20"/>
        </w:rPr>
      </w:pPr>
    </w:p>
    <w:p w14:paraId="77C0E61B" w14:textId="77777777" w:rsidR="00B555C8" w:rsidRPr="00C61A23" w:rsidRDefault="00000000">
      <w:pPr>
        <w:spacing w:line="240" w:lineRule="auto"/>
        <w:jc w:val="both"/>
        <w:rPr>
          <w:rFonts w:eastAsia="Times New Roman"/>
          <w:b/>
          <w:sz w:val="20"/>
          <w:szCs w:val="20"/>
        </w:rPr>
      </w:pPr>
      <w:r w:rsidRPr="00C61A23">
        <w:rPr>
          <w:rFonts w:eastAsia="Times New Roman"/>
          <w:b/>
          <w:sz w:val="20"/>
          <w:szCs w:val="20"/>
        </w:rPr>
        <w:t xml:space="preserve">REFERÊNCIAS </w:t>
      </w:r>
    </w:p>
    <w:p w14:paraId="43F257E5" w14:textId="77777777" w:rsidR="00C61A23" w:rsidRPr="00C61A23" w:rsidRDefault="00C61A23" w:rsidP="00C61A23">
      <w:pPr>
        <w:spacing w:line="240" w:lineRule="auto"/>
        <w:jc w:val="both"/>
        <w:textAlignment w:val="baseline"/>
        <w:rPr>
          <w:rFonts w:ascii="Segoe UI" w:eastAsia="Times New Roman" w:hAnsi="Segoe UI" w:cs="Segoe UI"/>
          <w:sz w:val="18"/>
          <w:szCs w:val="18"/>
        </w:rPr>
      </w:pPr>
      <w:r w:rsidRPr="00C61A23">
        <w:rPr>
          <w:rFonts w:eastAsia="Times New Roman"/>
          <w:b/>
          <w:bCs/>
          <w:sz w:val="20"/>
          <w:szCs w:val="20"/>
          <w:lang w:eastAsia="zh-CN"/>
        </w:rPr>
        <w:t xml:space="preserve">Periódicos: </w:t>
      </w:r>
      <w:r w:rsidRPr="00C61A23">
        <w:rPr>
          <w:rFonts w:eastAsia="Times New Roman"/>
          <w:sz w:val="20"/>
          <w:szCs w:val="20"/>
        </w:rPr>
        <w:t> </w:t>
      </w:r>
      <w:r w:rsidRPr="00C61A23">
        <w:rPr>
          <w:rFonts w:eastAsia="Times New Roman"/>
          <w:sz w:val="20"/>
          <w:szCs w:val="20"/>
        </w:rPr>
        <w:br/>
      </w:r>
      <w:r w:rsidRPr="00C61A23">
        <w:rPr>
          <w:rFonts w:eastAsia="Times New Roman"/>
          <w:color w:val="000000"/>
          <w:sz w:val="20"/>
          <w:szCs w:val="20"/>
          <w:shd w:val="clear" w:color="auto" w:fill="FFFFFF"/>
          <w:lang w:eastAsia="zh-CN"/>
        </w:rPr>
        <w:t xml:space="preserve">Bertini, G. &amp; Fransozo, A. 1999. </w:t>
      </w:r>
      <w:r w:rsidRPr="00C61A23">
        <w:rPr>
          <w:rFonts w:eastAsia="Times New Roman"/>
          <w:color w:val="000000"/>
          <w:sz w:val="20"/>
          <w:szCs w:val="20"/>
          <w:shd w:val="clear" w:color="auto" w:fill="FFFFFF"/>
          <w:lang w:val="en-US" w:eastAsia="zh-CN"/>
        </w:rPr>
        <w:t xml:space="preserve">Relative growth the of </w:t>
      </w:r>
      <w:proofErr w:type="spellStart"/>
      <w:r w:rsidRPr="00C61A23">
        <w:rPr>
          <w:rFonts w:eastAsia="Times New Roman"/>
          <w:i/>
          <w:iCs/>
          <w:color w:val="000000"/>
          <w:sz w:val="20"/>
          <w:szCs w:val="20"/>
          <w:shd w:val="clear" w:color="auto" w:fill="FFFFFF"/>
          <w:lang w:val="en-US" w:eastAsia="zh-CN"/>
        </w:rPr>
        <w:t>Petrochirus</w:t>
      </w:r>
      <w:proofErr w:type="spellEnd"/>
      <w:r w:rsidRPr="00C61A23">
        <w:rPr>
          <w:rFonts w:eastAsia="Times New Roman"/>
          <w:i/>
          <w:iCs/>
          <w:color w:val="000000"/>
          <w:sz w:val="20"/>
          <w:szCs w:val="20"/>
          <w:shd w:val="clear" w:color="auto" w:fill="FFFFFF"/>
          <w:lang w:val="en-US" w:eastAsia="zh-CN"/>
        </w:rPr>
        <w:t xml:space="preserve"> </w:t>
      </w:r>
      <w:proofErr w:type="spellStart"/>
      <w:r w:rsidRPr="00C61A23">
        <w:rPr>
          <w:rFonts w:eastAsia="Times New Roman"/>
          <w:i/>
          <w:iCs/>
          <w:color w:val="000000"/>
          <w:sz w:val="20"/>
          <w:szCs w:val="20"/>
          <w:shd w:val="clear" w:color="auto" w:fill="FFFFFF"/>
          <w:lang w:val="en-US" w:eastAsia="zh-CN"/>
        </w:rPr>
        <w:t>diogenes</w:t>
      </w:r>
      <w:proofErr w:type="spellEnd"/>
      <w:r w:rsidRPr="00C61A23">
        <w:rPr>
          <w:rFonts w:eastAsia="Times New Roman"/>
          <w:color w:val="000000"/>
          <w:sz w:val="20"/>
          <w:szCs w:val="20"/>
          <w:shd w:val="clear" w:color="auto" w:fill="FFFFFF"/>
          <w:lang w:val="en-US" w:eastAsia="zh-CN"/>
        </w:rPr>
        <w:t xml:space="preserve"> (Linnaeus, 1758) (Crustacea, Anomura, </w:t>
      </w:r>
      <w:proofErr w:type="spellStart"/>
      <w:r w:rsidRPr="00C61A23">
        <w:rPr>
          <w:rFonts w:eastAsia="Times New Roman"/>
          <w:color w:val="000000"/>
          <w:sz w:val="20"/>
          <w:szCs w:val="20"/>
          <w:shd w:val="clear" w:color="auto" w:fill="FFFFFF"/>
          <w:lang w:val="en-US" w:eastAsia="zh-CN"/>
        </w:rPr>
        <w:t>Diogenidae</w:t>
      </w:r>
      <w:proofErr w:type="spellEnd"/>
      <w:r w:rsidRPr="00C61A23">
        <w:rPr>
          <w:rFonts w:eastAsia="Times New Roman"/>
          <w:color w:val="000000"/>
          <w:sz w:val="20"/>
          <w:szCs w:val="20"/>
          <w:shd w:val="clear" w:color="auto" w:fill="FFFFFF"/>
          <w:lang w:val="en-US" w:eastAsia="zh-CN"/>
        </w:rPr>
        <w:t xml:space="preserve">) in the </w:t>
      </w:r>
      <w:proofErr w:type="spellStart"/>
      <w:r w:rsidRPr="00C61A23">
        <w:rPr>
          <w:rFonts w:eastAsia="Times New Roman"/>
          <w:color w:val="000000"/>
          <w:sz w:val="20"/>
          <w:szCs w:val="20"/>
          <w:shd w:val="clear" w:color="auto" w:fill="FFFFFF"/>
          <w:lang w:val="en-US" w:eastAsia="zh-CN"/>
        </w:rPr>
        <w:t>Ubatuba</w:t>
      </w:r>
      <w:proofErr w:type="spellEnd"/>
      <w:r w:rsidRPr="00C61A23">
        <w:rPr>
          <w:rFonts w:eastAsia="Times New Roman"/>
          <w:color w:val="000000"/>
          <w:sz w:val="20"/>
          <w:szCs w:val="20"/>
          <w:shd w:val="clear" w:color="auto" w:fill="FFFFFF"/>
          <w:lang w:val="en-US" w:eastAsia="zh-CN"/>
        </w:rPr>
        <w:t xml:space="preserve"> region, São Paulo, Brazil.</w:t>
      </w:r>
      <w:r w:rsidRPr="00C61A23">
        <w:rPr>
          <w:rFonts w:eastAsia="Times New Roman"/>
          <w:i/>
          <w:iCs/>
          <w:color w:val="000000"/>
          <w:sz w:val="20"/>
          <w:szCs w:val="20"/>
          <w:shd w:val="clear" w:color="auto" w:fill="FFFFFF"/>
          <w:lang w:val="en-US" w:eastAsia="zh-CN"/>
        </w:rPr>
        <w:t xml:space="preserve"> </w:t>
      </w:r>
      <w:r w:rsidRPr="00C61A23">
        <w:rPr>
          <w:rFonts w:eastAsia="Times New Roman"/>
          <w:color w:val="000000"/>
          <w:sz w:val="20"/>
          <w:szCs w:val="20"/>
          <w:shd w:val="clear" w:color="auto" w:fill="FFFFFF"/>
          <w:lang w:eastAsia="zh-CN"/>
        </w:rPr>
        <w:t>Revista Brasileira de Biologia. 4 (1) 617-625.</w:t>
      </w:r>
      <w:r w:rsidRPr="00C61A23">
        <w:rPr>
          <w:rFonts w:eastAsia="Times New Roman"/>
          <w:color w:val="000000"/>
          <w:sz w:val="20"/>
          <w:szCs w:val="20"/>
        </w:rPr>
        <w:t> </w:t>
      </w:r>
    </w:p>
    <w:p w14:paraId="4322B925" w14:textId="77777777" w:rsidR="00C61A23" w:rsidRPr="00C61A23" w:rsidRDefault="00C61A23" w:rsidP="00C61A23">
      <w:pPr>
        <w:spacing w:line="240" w:lineRule="auto"/>
        <w:jc w:val="both"/>
        <w:textAlignment w:val="baseline"/>
        <w:rPr>
          <w:rFonts w:ascii="Segoe UI" w:eastAsia="Times New Roman" w:hAnsi="Segoe UI" w:cs="Segoe UI"/>
          <w:sz w:val="18"/>
          <w:szCs w:val="18"/>
          <w:lang w:val="en-US"/>
        </w:rPr>
      </w:pPr>
      <w:r w:rsidRPr="00C61A23">
        <w:rPr>
          <w:rFonts w:eastAsia="Times New Roman"/>
          <w:color w:val="000000"/>
          <w:sz w:val="20"/>
          <w:szCs w:val="20"/>
        </w:rPr>
        <w:t xml:space="preserve">Biagi, R. &amp; Mantelatto, F.L.M. 2006. </w:t>
      </w:r>
      <w:r w:rsidRPr="00C61A23">
        <w:rPr>
          <w:rFonts w:eastAsia="Times New Roman"/>
          <w:color w:val="000000"/>
          <w:sz w:val="20"/>
          <w:szCs w:val="20"/>
          <w:lang w:val="en-US"/>
        </w:rPr>
        <w:t xml:space="preserve">Relative growth and sexual maturity of the hermit crab </w:t>
      </w:r>
      <w:proofErr w:type="spellStart"/>
      <w:r w:rsidRPr="00C61A23">
        <w:rPr>
          <w:rFonts w:eastAsia="Times New Roman"/>
          <w:i/>
          <w:iCs/>
          <w:color w:val="000000"/>
          <w:sz w:val="20"/>
          <w:szCs w:val="20"/>
          <w:lang w:val="en-US"/>
        </w:rPr>
        <w:t>Paguristes</w:t>
      </w:r>
      <w:proofErr w:type="spellEnd"/>
      <w:r w:rsidRPr="00C61A23">
        <w:rPr>
          <w:rFonts w:eastAsia="Times New Roman"/>
          <w:i/>
          <w:iCs/>
          <w:color w:val="000000"/>
          <w:sz w:val="20"/>
          <w:szCs w:val="20"/>
          <w:lang w:val="en-US"/>
        </w:rPr>
        <w:t xml:space="preserve"> </w:t>
      </w:r>
      <w:proofErr w:type="spellStart"/>
      <w:r w:rsidRPr="00C61A23">
        <w:rPr>
          <w:rFonts w:eastAsia="Times New Roman"/>
          <w:i/>
          <w:iCs/>
          <w:color w:val="000000"/>
          <w:sz w:val="20"/>
          <w:szCs w:val="20"/>
          <w:lang w:val="en-US"/>
        </w:rPr>
        <w:t>erythrops</w:t>
      </w:r>
      <w:proofErr w:type="spellEnd"/>
      <w:r w:rsidRPr="00C61A23">
        <w:rPr>
          <w:rFonts w:eastAsia="Times New Roman"/>
          <w:color w:val="000000"/>
          <w:sz w:val="20"/>
          <w:szCs w:val="20"/>
          <w:lang w:val="en-US"/>
        </w:rPr>
        <w:t xml:space="preserve"> (Anomura, </w:t>
      </w:r>
      <w:proofErr w:type="spellStart"/>
      <w:r w:rsidRPr="00C61A23">
        <w:rPr>
          <w:rFonts w:eastAsia="Times New Roman"/>
          <w:color w:val="000000"/>
          <w:sz w:val="20"/>
          <w:szCs w:val="20"/>
          <w:lang w:val="en-US"/>
        </w:rPr>
        <w:t>Diogenidae</w:t>
      </w:r>
      <w:proofErr w:type="spellEnd"/>
      <w:r w:rsidRPr="00C61A23">
        <w:rPr>
          <w:rFonts w:eastAsia="Times New Roman"/>
          <w:color w:val="000000"/>
          <w:sz w:val="20"/>
          <w:szCs w:val="20"/>
          <w:lang w:val="en-US"/>
        </w:rPr>
        <w:t xml:space="preserve">) from South Atlantic. </w:t>
      </w:r>
      <w:proofErr w:type="spellStart"/>
      <w:r w:rsidRPr="00C61A23">
        <w:rPr>
          <w:rFonts w:eastAsia="Times New Roman"/>
          <w:color w:val="000000"/>
          <w:sz w:val="20"/>
          <w:szCs w:val="20"/>
          <w:lang w:val="en-US"/>
        </w:rPr>
        <w:t>Ribeirão</w:t>
      </w:r>
      <w:proofErr w:type="spellEnd"/>
      <w:r w:rsidRPr="00C61A23">
        <w:rPr>
          <w:rFonts w:eastAsia="Times New Roman"/>
          <w:color w:val="000000"/>
          <w:sz w:val="20"/>
          <w:szCs w:val="20"/>
          <w:lang w:val="en-US"/>
        </w:rPr>
        <w:t xml:space="preserve"> Preto, São Paulo. </w:t>
      </w:r>
      <w:proofErr w:type="spellStart"/>
      <w:r w:rsidRPr="00C61A23">
        <w:rPr>
          <w:rFonts w:eastAsia="Times New Roman"/>
          <w:color w:val="000000"/>
          <w:sz w:val="20"/>
          <w:szCs w:val="20"/>
          <w:lang w:val="en-US"/>
        </w:rPr>
        <w:t>Hydrobiologia</w:t>
      </w:r>
      <w:proofErr w:type="spellEnd"/>
      <w:r w:rsidRPr="00C61A23">
        <w:rPr>
          <w:rFonts w:eastAsia="Times New Roman"/>
          <w:color w:val="000000"/>
          <w:sz w:val="20"/>
          <w:szCs w:val="20"/>
          <w:lang w:val="en-US"/>
        </w:rPr>
        <w:t>. 559(1) 247–254. </w:t>
      </w:r>
    </w:p>
    <w:p w14:paraId="262588D3" w14:textId="77777777" w:rsidR="00C61A23" w:rsidRPr="00C61A23" w:rsidRDefault="00C61A23" w:rsidP="00C61A23">
      <w:pPr>
        <w:spacing w:line="240" w:lineRule="auto"/>
        <w:jc w:val="both"/>
        <w:textAlignment w:val="baseline"/>
        <w:rPr>
          <w:rFonts w:ascii="Segoe UI" w:eastAsia="Times New Roman" w:hAnsi="Segoe UI" w:cs="Segoe UI"/>
          <w:sz w:val="18"/>
          <w:szCs w:val="18"/>
          <w:lang w:val="en-US"/>
        </w:rPr>
      </w:pPr>
      <w:proofErr w:type="spellStart"/>
      <w:r w:rsidRPr="00C61A23">
        <w:rPr>
          <w:rFonts w:eastAsia="Times New Roman"/>
          <w:color w:val="000000"/>
          <w:sz w:val="20"/>
          <w:szCs w:val="20"/>
          <w:lang w:val="en-US"/>
        </w:rPr>
        <w:t>Hartnoll</w:t>
      </w:r>
      <w:proofErr w:type="spellEnd"/>
      <w:r w:rsidRPr="00C61A23">
        <w:rPr>
          <w:rFonts w:eastAsia="Times New Roman"/>
          <w:color w:val="000000"/>
          <w:sz w:val="20"/>
          <w:szCs w:val="20"/>
          <w:lang w:val="en-US"/>
        </w:rPr>
        <w:t xml:space="preserve">, R. G. 1974. Variation in growth pattern between some secondary sexual characters in crabs (Decapoda, Brachyura). </w:t>
      </w:r>
      <w:proofErr w:type="spellStart"/>
      <w:r w:rsidRPr="00C61A23">
        <w:rPr>
          <w:rFonts w:eastAsia="Times New Roman"/>
          <w:color w:val="000000"/>
          <w:sz w:val="20"/>
          <w:szCs w:val="20"/>
          <w:lang w:val="en-US"/>
        </w:rPr>
        <w:t>Crustaceana</w:t>
      </w:r>
      <w:proofErr w:type="spellEnd"/>
      <w:r w:rsidRPr="00C61A23">
        <w:rPr>
          <w:rFonts w:eastAsia="Times New Roman"/>
          <w:color w:val="000000"/>
          <w:sz w:val="20"/>
          <w:szCs w:val="20"/>
          <w:lang w:val="en-US"/>
        </w:rPr>
        <w:t>. 27(2) 131-156. </w:t>
      </w:r>
    </w:p>
    <w:p w14:paraId="08FECBF7" w14:textId="77777777" w:rsidR="00C61A23" w:rsidRPr="00C61A23" w:rsidRDefault="00C61A23" w:rsidP="00C61A23">
      <w:pPr>
        <w:spacing w:line="240" w:lineRule="auto"/>
        <w:jc w:val="both"/>
        <w:textAlignment w:val="baseline"/>
        <w:rPr>
          <w:rFonts w:ascii="Segoe UI" w:eastAsia="Times New Roman" w:hAnsi="Segoe UI" w:cs="Segoe UI"/>
          <w:sz w:val="18"/>
          <w:szCs w:val="18"/>
          <w:lang w:val="en-US"/>
        </w:rPr>
      </w:pPr>
      <w:r w:rsidRPr="00C61A23">
        <w:rPr>
          <w:rFonts w:eastAsia="Times New Roman"/>
          <w:color w:val="000000"/>
          <w:sz w:val="20"/>
          <w:szCs w:val="20"/>
          <w:lang w:val="en-US"/>
        </w:rPr>
        <w:t xml:space="preserve">Hazlett, B. A. &amp; Baron, L. C. 1989. Influence of shells on mating behavior in the hermit crab </w:t>
      </w:r>
      <w:proofErr w:type="spellStart"/>
      <w:r w:rsidRPr="00C61A23">
        <w:rPr>
          <w:rFonts w:eastAsia="Times New Roman"/>
          <w:i/>
          <w:iCs/>
          <w:color w:val="000000"/>
          <w:sz w:val="20"/>
          <w:szCs w:val="20"/>
          <w:lang w:val="en-US"/>
        </w:rPr>
        <w:t>Calcinus</w:t>
      </w:r>
      <w:proofErr w:type="spellEnd"/>
      <w:r w:rsidRPr="00C61A23">
        <w:rPr>
          <w:rFonts w:eastAsia="Times New Roman"/>
          <w:i/>
          <w:iCs/>
          <w:color w:val="000000"/>
          <w:sz w:val="20"/>
          <w:szCs w:val="20"/>
          <w:lang w:val="en-US"/>
        </w:rPr>
        <w:t xml:space="preserve"> </w:t>
      </w:r>
      <w:proofErr w:type="spellStart"/>
      <w:r w:rsidRPr="00C61A23">
        <w:rPr>
          <w:rFonts w:eastAsia="Times New Roman"/>
          <w:i/>
          <w:iCs/>
          <w:color w:val="000000"/>
          <w:sz w:val="20"/>
          <w:szCs w:val="20"/>
          <w:lang w:val="en-US"/>
        </w:rPr>
        <w:t>tibicen</w:t>
      </w:r>
      <w:proofErr w:type="spellEnd"/>
      <w:r w:rsidRPr="00C61A23">
        <w:rPr>
          <w:rFonts w:eastAsia="Times New Roman"/>
          <w:color w:val="000000"/>
          <w:sz w:val="20"/>
          <w:szCs w:val="20"/>
          <w:lang w:val="en-US"/>
        </w:rPr>
        <w:t xml:space="preserve">. </w:t>
      </w:r>
      <w:proofErr w:type="spellStart"/>
      <w:r w:rsidRPr="00C61A23">
        <w:rPr>
          <w:rFonts w:eastAsia="Times New Roman"/>
          <w:color w:val="000000"/>
          <w:sz w:val="20"/>
          <w:szCs w:val="20"/>
          <w:lang w:val="en-US"/>
        </w:rPr>
        <w:t>Behaviour</w:t>
      </w:r>
      <w:proofErr w:type="spellEnd"/>
      <w:r w:rsidRPr="00C61A23">
        <w:rPr>
          <w:rFonts w:eastAsia="Times New Roman"/>
          <w:color w:val="000000"/>
          <w:sz w:val="20"/>
          <w:szCs w:val="20"/>
          <w:lang w:val="en-US"/>
        </w:rPr>
        <w:t xml:space="preserve"> Ecology and Sociobiology, 24(6) 369-376. </w:t>
      </w:r>
    </w:p>
    <w:p w14:paraId="31E376E2" w14:textId="77777777" w:rsidR="00C61A23" w:rsidRPr="00C61A23" w:rsidRDefault="00C61A23" w:rsidP="00C61A23">
      <w:pPr>
        <w:spacing w:line="240" w:lineRule="auto"/>
        <w:jc w:val="both"/>
        <w:textAlignment w:val="baseline"/>
        <w:rPr>
          <w:rFonts w:ascii="Segoe UI" w:eastAsia="Times New Roman" w:hAnsi="Segoe UI" w:cs="Segoe UI"/>
          <w:sz w:val="18"/>
          <w:szCs w:val="18"/>
          <w:lang w:val="en-US"/>
        </w:rPr>
      </w:pPr>
      <w:r w:rsidRPr="00C61A23">
        <w:rPr>
          <w:rFonts w:eastAsia="Times New Roman"/>
          <w:color w:val="000000"/>
          <w:sz w:val="20"/>
          <w:szCs w:val="20"/>
          <w:lang w:val="en-US"/>
        </w:rPr>
        <w:t>F</w:t>
      </w:r>
      <w:r w:rsidRPr="00C61A23">
        <w:rPr>
          <w:rFonts w:eastAsia="Times New Roman"/>
          <w:color w:val="000000"/>
          <w:sz w:val="20"/>
          <w:szCs w:val="20"/>
        </w:rPr>
        <w:t>ransozo</w:t>
      </w:r>
      <w:r w:rsidRPr="00C61A23">
        <w:rPr>
          <w:rFonts w:eastAsia="Times New Roman"/>
          <w:color w:val="000000"/>
          <w:sz w:val="20"/>
          <w:szCs w:val="20"/>
          <w:lang w:val="en-US"/>
        </w:rPr>
        <w:t>, A.; R. B. Garcia &amp; F. L. M. M</w:t>
      </w:r>
      <w:r w:rsidRPr="00C61A23">
        <w:rPr>
          <w:rFonts w:eastAsia="Times New Roman"/>
          <w:color w:val="000000"/>
          <w:sz w:val="20"/>
          <w:szCs w:val="20"/>
        </w:rPr>
        <w:t>antelatto</w:t>
      </w:r>
      <w:r w:rsidRPr="00C61A23">
        <w:rPr>
          <w:rFonts w:eastAsia="Times New Roman"/>
          <w:color w:val="000000"/>
          <w:sz w:val="20"/>
          <w:szCs w:val="20"/>
          <w:lang w:val="en-US"/>
        </w:rPr>
        <w:t xml:space="preserve">. 2003. Morphometry and sexual maturity of the tropical hermit crab </w:t>
      </w:r>
      <w:proofErr w:type="spellStart"/>
      <w:r w:rsidRPr="00C61A23">
        <w:rPr>
          <w:rFonts w:eastAsia="Times New Roman"/>
          <w:color w:val="000000"/>
          <w:sz w:val="20"/>
          <w:szCs w:val="20"/>
          <w:lang w:val="en-US"/>
        </w:rPr>
        <w:t>Calcinus</w:t>
      </w:r>
      <w:proofErr w:type="spellEnd"/>
      <w:r w:rsidRPr="00C61A23">
        <w:rPr>
          <w:rFonts w:eastAsia="Times New Roman"/>
          <w:color w:val="000000"/>
          <w:sz w:val="20"/>
          <w:szCs w:val="20"/>
          <w:lang w:val="en-US"/>
        </w:rPr>
        <w:t xml:space="preserve"> </w:t>
      </w:r>
      <w:proofErr w:type="spellStart"/>
      <w:r w:rsidRPr="00C61A23">
        <w:rPr>
          <w:rFonts w:eastAsia="Times New Roman"/>
          <w:color w:val="000000"/>
          <w:sz w:val="20"/>
          <w:szCs w:val="20"/>
          <w:lang w:val="en-US"/>
        </w:rPr>
        <w:t>tibicen</w:t>
      </w:r>
      <w:proofErr w:type="spellEnd"/>
      <w:r w:rsidRPr="00C61A23">
        <w:rPr>
          <w:rFonts w:eastAsia="Times New Roman"/>
          <w:color w:val="000000"/>
          <w:sz w:val="20"/>
          <w:szCs w:val="20"/>
          <w:lang w:val="en-US"/>
        </w:rPr>
        <w:t xml:space="preserve"> (Crustacea, Anomura) from Brazil. Journal of Natural History, 37 (297) 304. </w:t>
      </w:r>
    </w:p>
    <w:p w14:paraId="7E547FC2" w14:textId="77777777" w:rsidR="00C61A23" w:rsidRPr="00C61A23" w:rsidRDefault="00C61A23" w:rsidP="00C61A23">
      <w:pPr>
        <w:spacing w:line="240" w:lineRule="auto"/>
        <w:jc w:val="both"/>
        <w:textAlignment w:val="baseline"/>
        <w:rPr>
          <w:rFonts w:ascii="Segoe UI" w:eastAsia="Times New Roman" w:hAnsi="Segoe UI" w:cs="Segoe UI"/>
          <w:sz w:val="18"/>
          <w:szCs w:val="18"/>
        </w:rPr>
      </w:pPr>
      <w:proofErr w:type="spellStart"/>
      <w:r w:rsidRPr="00C61A23">
        <w:rPr>
          <w:rFonts w:eastAsia="Times New Roman"/>
          <w:color w:val="000000"/>
          <w:sz w:val="20"/>
          <w:szCs w:val="20"/>
          <w:lang w:val="en-US"/>
        </w:rPr>
        <w:t>Mantelatto</w:t>
      </w:r>
      <w:proofErr w:type="spellEnd"/>
      <w:r w:rsidRPr="00C61A23">
        <w:rPr>
          <w:rFonts w:eastAsia="Times New Roman"/>
          <w:color w:val="000000"/>
          <w:sz w:val="20"/>
          <w:szCs w:val="20"/>
          <w:lang w:val="en-US"/>
        </w:rPr>
        <w:t>, F. L. M.</w:t>
      </w:r>
      <w:r w:rsidRPr="00C61A23">
        <w:rPr>
          <w:rFonts w:eastAsia="Times New Roman"/>
          <w:color w:val="000000"/>
          <w:sz w:val="20"/>
          <w:szCs w:val="20"/>
        </w:rPr>
        <w:t>;</w:t>
      </w:r>
      <w:r w:rsidRPr="00C61A23">
        <w:rPr>
          <w:rFonts w:eastAsia="Times New Roman"/>
          <w:color w:val="000000"/>
          <w:sz w:val="20"/>
          <w:szCs w:val="20"/>
          <w:lang w:val="en-US"/>
        </w:rPr>
        <w:t xml:space="preserve"> Martinelli, J. M.</w:t>
      </w:r>
      <w:r w:rsidRPr="00C61A23">
        <w:rPr>
          <w:rFonts w:eastAsia="Times New Roman"/>
          <w:color w:val="000000"/>
          <w:sz w:val="20"/>
          <w:szCs w:val="20"/>
        </w:rPr>
        <w:t xml:space="preserve"> &amp;</w:t>
      </w:r>
      <w:r w:rsidRPr="00C61A23">
        <w:rPr>
          <w:rFonts w:eastAsia="Times New Roman"/>
          <w:color w:val="000000"/>
          <w:sz w:val="20"/>
          <w:szCs w:val="20"/>
          <w:lang w:val="en-US"/>
        </w:rPr>
        <w:t xml:space="preserve"> F</w:t>
      </w:r>
      <w:r w:rsidRPr="00C61A23">
        <w:rPr>
          <w:rFonts w:eastAsia="Times New Roman"/>
          <w:color w:val="000000"/>
          <w:sz w:val="20"/>
          <w:szCs w:val="20"/>
        </w:rPr>
        <w:t>ransozo</w:t>
      </w:r>
      <w:r w:rsidRPr="00C61A23">
        <w:rPr>
          <w:rFonts w:eastAsia="Times New Roman"/>
          <w:color w:val="000000"/>
          <w:sz w:val="20"/>
          <w:szCs w:val="20"/>
          <w:lang w:val="en-US"/>
        </w:rPr>
        <w:t xml:space="preserve">, A.  2004. Temporal-spatial distribution of the hermit crab </w:t>
      </w:r>
      <w:proofErr w:type="spellStart"/>
      <w:r w:rsidRPr="00C61A23">
        <w:rPr>
          <w:rFonts w:eastAsia="Times New Roman"/>
          <w:color w:val="000000"/>
          <w:sz w:val="20"/>
          <w:szCs w:val="20"/>
          <w:lang w:val="en-US"/>
        </w:rPr>
        <w:t>Loxopagurus</w:t>
      </w:r>
      <w:proofErr w:type="spellEnd"/>
      <w:r w:rsidRPr="00C61A23">
        <w:rPr>
          <w:rFonts w:eastAsia="Times New Roman"/>
          <w:color w:val="000000"/>
          <w:sz w:val="20"/>
          <w:szCs w:val="20"/>
          <w:lang w:val="en-US"/>
        </w:rPr>
        <w:t xml:space="preserve"> </w:t>
      </w:r>
      <w:proofErr w:type="spellStart"/>
      <w:r w:rsidRPr="00C61A23">
        <w:rPr>
          <w:rFonts w:eastAsia="Times New Roman"/>
          <w:color w:val="000000"/>
          <w:sz w:val="20"/>
          <w:szCs w:val="20"/>
          <w:lang w:val="en-US"/>
        </w:rPr>
        <w:t>loxochelis</w:t>
      </w:r>
      <w:proofErr w:type="spellEnd"/>
      <w:r w:rsidRPr="00C61A23">
        <w:rPr>
          <w:rFonts w:eastAsia="Times New Roman"/>
          <w:color w:val="000000"/>
          <w:sz w:val="20"/>
          <w:szCs w:val="20"/>
          <w:lang w:val="en-US"/>
        </w:rPr>
        <w:t xml:space="preserve"> (Decapoda: </w:t>
      </w:r>
      <w:proofErr w:type="spellStart"/>
      <w:r w:rsidRPr="00C61A23">
        <w:rPr>
          <w:rFonts w:eastAsia="Times New Roman"/>
          <w:color w:val="000000"/>
          <w:sz w:val="20"/>
          <w:szCs w:val="20"/>
          <w:lang w:val="en-US"/>
        </w:rPr>
        <w:t>Diogenidae</w:t>
      </w:r>
      <w:proofErr w:type="spellEnd"/>
      <w:r w:rsidRPr="00C61A23">
        <w:rPr>
          <w:rFonts w:eastAsia="Times New Roman"/>
          <w:color w:val="000000"/>
          <w:sz w:val="20"/>
          <w:szCs w:val="20"/>
          <w:lang w:val="en-US"/>
        </w:rPr>
        <w:t xml:space="preserve">) from </w:t>
      </w:r>
      <w:proofErr w:type="spellStart"/>
      <w:r w:rsidRPr="00C61A23">
        <w:rPr>
          <w:rFonts w:eastAsia="Times New Roman"/>
          <w:color w:val="000000"/>
          <w:sz w:val="20"/>
          <w:szCs w:val="20"/>
          <w:lang w:val="en-US"/>
        </w:rPr>
        <w:t>Ubatuba</w:t>
      </w:r>
      <w:proofErr w:type="spellEnd"/>
      <w:r w:rsidRPr="00C61A23">
        <w:rPr>
          <w:rFonts w:eastAsia="Times New Roman"/>
          <w:color w:val="000000"/>
          <w:sz w:val="20"/>
          <w:szCs w:val="20"/>
          <w:lang w:val="en-US"/>
        </w:rPr>
        <w:t xml:space="preserve"> Bay, São Paulo State, Brazil. </w:t>
      </w:r>
      <w:r w:rsidRPr="00C61A23">
        <w:rPr>
          <w:rFonts w:eastAsia="Times New Roman"/>
          <w:color w:val="000000"/>
          <w:sz w:val="20"/>
          <w:szCs w:val="20"/>
          <w:lang w:val="pt-BR"/>
        </w:rPr>
        <w:t>Revista de biologia tropical, 52</w:t>
      </w:r>
      <w:r w:rsidRPr="00C61A23">
        <w:rPr>
          <w:rFonts w:eastAsia="Times New Roman"/>
          <w:color w:val="000000"/>
          <w:sz w:val="20"/>
          <w:szCs w:val="20"/>
        </w:rPr>
        <w:t>(</w:t>
      </w:r>
      <w:r w:rsidRPr="00C61A23">
        <w:rPr>
          <w:rFonts w:eastAsia="Times New Roman"/>
          <w:color w:val="000000"/>
          <w:sz w:val="20"/>
          <w:szCs w:val="20"/>
          <w:lang w:val="pt-BR"/>
        </w:rPr>
        <w:t>1</w:t>
      </w:r>
      <w:r w:rsidRPr="00C61A23">
        <w:rPr>
          <w:rFonts w:eastAsia="Times New Roman"/>
          <w:color w:val="000000"/>
          <w:sz w:val="20"/>
          <w:szCs w:val="20"/>
        </w:rPr>
        <w:t xml:space="preserve">) </w:t>
      </w:r>
      <w:r w:rsidRPr="00C61A23">
        <w:rPr>
          <w:rFonts w:eastAsia="Times New Roman"/>
          <w:color w:val="000000"/>
          <w:sz w:val="20"/>
          <w:szCs w:val="20"/>
          <w:lang w:val="pt-BR"/>
        </w:rPr>
        <w:t>47-55</w:t>
      </w:r>
      <w:r w:rsidRPr="00C61A23">
        <w:rPr>
          <w:rFonts w:eastAsia="Times New Roman"/>
          <w:color w:val="000000"/>
          <w:sz w:val="20"/>
          <w:szCs w:val="20"/>
        </w:rPr>
        <w:t>.</w:t>
      </w:r>
    </w:p>
    <w:p w14:paraId="0AB63682" w14:textId="77777777" w:rsidR="00C61A23" w:rsidRPr="00C61A23" w:rsidRDefault="00C61A23" w:rsidP="00C61A23">
      <w:pPr>
        <w:spacing w:line="240" w:lineRule="auto"/>
        <w:jc w:val="both"/>
        <w:textAlignment w:val="baseline"/>
        <w:rPr>
          <w:rFonts w:ascii="Segoe UI" w:eastAsia="Times New Roman" w:hAnsi="Segoe UI" w:cs="Segoe UI"/>
          <w:sz w:val="18"/>
          <w:szCs w:val="18"/>
        </w:rPr>
      </w:pPr>
      <w:r w:rsidRPr="00C61A23">
        <w:rPr>
          <w:rFonts w:eastAsia="Times New Roman"/>
          <w:b/>
          <w:bCs/>
          <w:color w:val="000000"/>
          <w:sz w:val="20"/>
          <w:szCs w:val="20"/>
          <w:lang w:val="pt-BR"/>
        </w:rPr>
        <w:t>Livros</w:t>
      </w:r>
      <w:r w:rsidRPr="00C61A23">
        <w:rPr>
          <w:rFonts w:eastAsia="Times New Roman"/>
          <w:color w:val="000000"/>
          <w:sz w:val="20"/>
          <w:szCs w:val="20"/>
        </w:rPr>
        <w:t> </w:t>
      </w:r>
    </w:p>
    <w:p w14:paraId="0B55C49D" w14:textId="77777777" w:rsidR="00C61A23" w:rsidRPr="00C61A23" w:rsidRDefault="00C61A23" w:rsidP="00C61A23">
      <w:pPr>
        <w:spacing w:line="240" w:lineRule="auto"/>
        <w:jc w:val="both"/>
        <w:textAlignment w:val="baseline"/>
        <w:rPr>
          <w:rFonts w:ascii="Segoe UI" w:eastAsia="Times New Roman" w:hAnsi="Segoe UI" w:cs="Segoe UI"/>
          <w:sz w:val="18"/>
          <w:szCs w:val="18"/>
        </w:rPr>
      </w:pPr>
      <w:r w:rsidRPr="00C61A23">
        <w:rPr>
          <w:rFonts w:eastAsia="Times New Roman"/>
          <w:color w:val="000000"/>
          <w:sz w:val="20"/>
          <w:szCs w:val="20"/>
          <w:lang w:val="pt-BR"/>
        </w:rPr>
        <w:t>M</w:t>
      </w:r>
      <w:r w:rsidRPr="00C61A23">
        <w:rPr>
          <w:rFonts w:eastAsia="Times New Roman"/>
          <w:color w:val="000000"/>
          <w:sz w:val="20"/>
          <w:szCs w:val="20"/>
        </w:rPr>
        <w:t>elo</w:t>
      </w:r>
      <w:r w:rsidRPr="00C61A23">
        <w:rPr>
          <w:rFonts w:eastAsia="Times New Roman"/>
          <w:color w:val="000000"/>
          <w:sz w:val="20"/>
          <w:szCs w:val="20"/>
          <w:lang w:val="pt-BR"/>
        </w:rPr>
        <w:t xml:space="preserve">, G. A. S. 1999. </w:t>
      </w:r>
      <w:r w:rsidRPr="00C61A23">
        <w:rPr>
          <w:rFonts w:eastAsia="Times New Roman"/>
          <w:color w:val="000000"/>
          <w:sz w:val="20"/>
          <w:szCs w:val="20"/>
        </w:rPr>
        <w:t>Manual de identificação dos Crustacea Decapoda do litoral brasileiro: Anomura, Thalassinidea, Palinuridea e Astacidea. São Paulo, Plêiade. 604 pp. </w:t>
      </w:r>
    </w:p>
    <w:p w14:paraId="74647507" w14:textId="77777777" w:rsidR="00C61A23" w:rsidRPr="00C61A23" w:rsidRDefault="00C61A23" w:rsidP="00C61A23">
      <w:pPr>
        <w:spacing w:line="240" w:lineRule="auto"/>
        <w:jc w:val="both"/>
        <w:textAlignment w:val="baseline"/>
        <w:rPr>
          <w:rFonts w:ascii="Segoe UI" w:eastAsia="Times New Roman" w:hAnsi="Segoe UI" w:cs="Segoe UI"/>
          <w:sz w:val="18"/>
          <w:szCs w:val="18"/>
        </w:rPr>
      </w:pPr>
      <w:r w:rsidRPr="00C61A23">
        <w:rPr>
          <w:rFonts w:eastAsia="Times New Roman"/>
          <w:b/>
          <w:bCs/>
          <w:color w:val="000000"/>
          <w:sz w:val="20"/>
          <w:szCs w:val="20"/>
        </w:rPr>
        <w:t>Softwares e pacotes</w:t>
      </w:r>
      <w:r w:rsidRPr="00C61A23">
        <w:rPr>
          <w:rFonts w:eastAsia="Times New Roman"/>
          <w:color w:val="000000"/>
          <w:sz w:val="20"/>
          <w:szCs w:val="20"/>
        </w:rPr>
        <w:t> </w:t>
      </w:r>
    </w:p>
    <w:p w14:paraId="4CEA7E03" w14:textId="77777777" w:rsidR="00C61A23" w:rsidRPr="00C61A23" w:rsidRDefault="00C61A23" w:rsidP="00C61A23">
      <w:pPr>
        <w:spacing w:line="240" w:lineRule="auto"/>
        <w:jc w:val="both"/>
        <w:textAlignment w:val="baseline"/>
        <w:rPr>
          <w:rFonts w:ascii="Segoe UI" w:eastAsia="Times New Roman" w:hAnsi="Segoe UI" w:cs="Segoe UI"/>
          <w:sz w:val="18"/>
          <w:szCs w:val="18"/>
          <w:lang w:val="en-US"/>
        </w:rPr>
      </w:pPr>
      <w:r w:rsidRPr="00C61A23">
        <w:rPr>
          <w:rFonts w:eastAsia="Times New Roman"/>
          <w:color w:val="000000"/>
          <w:sz w:val="20"/>
          <w:szCs w:val="20"/>
        </w:rPr>
        <w:t xml:space="preserve">Torrejon-Magallanes, Josymar. </w:t>
      </w:r>
      <w:r w:rsidRPr="00C61A23">
        <w:rPr>
          <w:rFonts w:eastAsia="Times New Roman"/>
          <w:color w:val="000000"/>
          <w:sz w:val="20"/>
          <w:szCs w:val="20"/>
          <w:lang w:val="en-US"/>
        </w:rPr>
        <w:t>Package ‘</w:t>
      </w:r>
      <w:proofErr w:type="spellStart"/>
      <w:r w:rsidRPr="00C61A23">
        <w:rPr>
          <w:rFonts w:eastAsia="Times New Roman"/>
          <w:color w:val="000000"/>
          <w:sz w:val="20"/>
          <w:szCs w:val="20"/>
          <w:lang w:val="en-US"/>
        </w:rPr>
        <w:t>sizeMat</w:t>
      </w:r>
      <w:proofErr w:type="spellEnd"/>
      <w:r w:rsidRPr="00C61A23">
        <w:rPr>
          <w:rFonts w:eastAsia="Times New Roman"/>
          <w:color w:val="000000"/>
          <w:sz w:val="20"/>
          <w:szCs w:val="20"/>
          <w:lang w:val="en-US"/>
        </w:rPr>
        <w:t xml:space="preserve">’. 2016. R Core Team (2016). R: A language and environment for statistical computing. R Foundation for Statistical Computing, Vienna. </w:t>
      </w:r>
      <w:proofErr w:type="spellStart"/>
      <w:r w:rsidRPr="00C61A23">
        <w:rPr>
          <w:rFonts w:eastAsia="Times New Roman"/>
          <w:color w:val="000000"/>
          <w:sz w:val="20"/>
          <w:szCs w:val="20"/>
          <w:lang w:val="en-US"/>
        </w:rPr>
        <w:t>Avaliable</w:t>
      </w:r>
      <w:proofErr w:type="spellEnd"/>
      <w:r w:rsidRPr="00C61A23">
        <w:rPr>
          <w:rFonts w:eastAsia="Times New Roman"/>
          <w:color w:val="000000"/>
          <w:sz w:val="20"/>
          <w:szCs w:val="20"/>
          <w:lang w:val="en-US"/>
        </w:rPr>
        <w:t xml:space="preserve"> in: &lt;https://www.R-project.org&gt; </w:t>
      </w:r>
    </w:p>
    <w:p w14:paraId="6C8B33F0" w14:textId="5D95856B" w:rsidR="00B555C8" w:rsidRPr="00C61A23" w:rsidRDefault="00C61A23" w:rsidP="00C61A23">
      <w:pPr>
        <w:spacing w:line="240" w:lineRule="auto"/>
        <w:jc w:val="both"/>
        <w:rPr>
          <w:rFonts w:eastAsia="Times New Roman"/>
          <w:b/>
          <w:sz w:val="20"/>
          <w:szCs w:val="20"/>
        </w:rPr>
      </w:pPr>
      <w:r w:rsidRPr="00C61A23">
        <w:rPr>
          <w:rFonts w:eastAsia="Times New Roman"/>
          <w:color w:val="000000"/>
          <w:sz w:val="20"/>
          <w:szCs w:val="20"/>
          <w:lang w:val="en-US"/>
        </w:rPr>
        <w:t xml:space="preserve">Warton, D.I.; </w:t>
      </w:r>
      <w:proofErr w:type="spellStart"/>
      <w:r w:rsidRPr="00C61A23">
        <w:rPr>
          <w:rFonts w:eastAsia="Times New Roman"/>
          <w:color w:val="000000"/>
          <w:sz w:val="20"/>
          <w:szCs w:val="20"/>
          <w:lang w:val="en-US"/>
        </w:rPr>
        <w:t>Duursma</w:t>
      </w:r>
      <w:proofErr w:type="spellEnd"/>
      <w:r w:rsidRPr="00C61A23">
        <w:rPr>
          <w:rFonts w:eastAsia="Times New Roman"/>
          <w:color w:val="000000"/>
          <w:sz w:val="20"/>
          <w:szCs w:val="20"/>
          <w:lang w:val="en-US"/>
        </w:rPr>
        <w:t xml:space="preserve">, R.A.; Falster, D.S.; Taskinen, S. 2012. </w:t>
      </w:r>
      <w:proofErr w:type="spellStart"/>
      <w:r w:rsidRPr="00C61A23">
        <w:rPr>
          <w:rFonts w:eastAsia="Times New Roman"/>
          <w:color w:val="000000"/>
          <w:sz w:val="20"/>
          <w:szCs w:val="20"/>
          <w:lang w:val="en-US"/>
        </w:rPr>
        <w:t>Smatr</w:t>
      </w:r>
      <w:proofErr w:type="spellEnd"/>
      <w:r w:rsidRPr="00C61A23">
        <w:rPr>
          <w:rFonts w:eastAsia="Times New Roman"/>
          <w:color w:val="000000"/>
          <w:sz w:val="20"/>
          <w:szCs w:val="20"/>
          <w:lang w:val="en-US"/>
        </w:rPr>
        <w:t xml:space="preserve"> 3–an R package for estimation and inference about allometric lines. </w:t>
      </w:r>
      <w:proofErr w:type="spellStart"/>
      <w:r w:rsidRPr="00C61A23">
        <w:rPr>
          <w:rFonts w:eastAsia="Times New Roman"/>
          <w:color w:val="000000"/>
          <w:sz w:val="20"/>
          <w:szCs w:val="20"/>
          <w:lang w:val="pt-BR"/>
        </w:rPr>
        <w:t>Methods</w:t>
      </w:r>
      <w:proofErr w:type="spellEnd"/>
      <w:r w:rsidRPr="00C61A23">
        <w:rPr>
          <w:rFonts w:eastAsia="Times New Roman"/>
          <w:color w:val="000000"/>
          <w:sz w:val="20"/>
          <w:szCs w:val="20"/>
          <w:lang w:val="pt-BR"/>
        </w:rPr>
        <w:t xml:space="preserve"> in </w:t>
      </w:r>
      <w:proofErr w:type="spellStart"/>
      <w:r w:rsidRPr="00C61A23">
        <w:rPr>
          <w:rFonts w:eastAsia="Times New Roman"/>
          <w:color w:val="000000"/>
          <w:sz w:val="20"/>
          <w:szCs w:val="20"/>
          <w:lang w:val="pt-BR"/>
        </w:rPr>
        <w:t>Ecology</w:t>
      </w:r>
      <w:proofErr w:type="spellEnd"/>
      <w:r w:rsidRPr="00C61A23">
        <w:rPr>
          <w:rFonts w:eastAsia="Times New Roman"/>
          <w:color w:val="000000"/>
          <w:sz w:val="20"/>
          <w:szCs w:val="20"/>
          <w:lang w:val="pt-BR"/>
        </w:rPr>
        <w:t xml:space="preserve"> </w:t>
      </w:r>
      <w:proofErr w:type="spellStart"/>
      <w:r w:rsidRPr="00C61A23">
        <w:rPr>
          <w:rFonts w:eastAsia="Times New Roman"/>
          <w:color w:val="000000"/>
          <w:sz w:val="20"/>
          <w:szCs w:val="20"/>
          <w:lang w:val="pt-BR"/>
        </w:rPr>
        <w:t>and</w:t>
      </w:r>
      <w:proofErr w:type="spellEnd"/>
      <w:r w:rsidRPr="00C61A23">
        <w:rPr>
          <w:rFonts w:eastAsia="Times New Roman"/>
          <w:color w:val="000000"/>
          <w:sz w:val="20"/>
          <w:szCs w:val="20"/>
          <w:lang w:val="pt-BR"/>
        </w:rPr>
        <w:t xml:space="preserve"> Evolution, 3(2) 257-259.</w:t>
      </w:r>
    </w:p>
    <w:p w14:paraId="33546C1C" w14:textId="77777777" w:rsidR="00B555C8" w:rsidRDefault="00B555C8">
      <w:pPr>
        <w:spacing w:line="240" w:lineRule="auto"/>
        <w:rPr>
          <w:sz w:val="20"/>
          <w:szCs w:val="20"/>
        </w:rPr>
      </w:pPr>
    </w:p>
    <w:sectPr w:rsidR="00B555C8">
      <w:headerReference w:type="default" r:id="rId9"/>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611C" w14:textId="77777777" w:rsidR="003503D6" w:rsidRDefault="003503D6">
      <w:pPr>
        <w:spacing w:line="240" w:lineRule="auto"/>
      </w:pPr>
      <w:r>
        <w:separator/>
      </w:r>
    </w:p>
  </w:endnote>
  <w:endnote w:type="continuationSeparator" w:id="0">
    <w:p w14:paraId="5A99169F" w14:textId="77777777" w:rsidR="003503D6" w:rsidRDefault="00350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EE6C" w14:textId="77777777" w:rsidR="003503D6" w:rsidRDefault="003503D6">
      <w:r>
        <w:separator/>
      </w:r>
    </w:p>
  </w:footnote>
  <w:footnote w:type="continuationSeparator" w:id="0">
    <w:p w14:paraId="5F2A97B7" w14:textId="77777777" w:rsidR="003503D6" w:rsidRDefault="0035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00000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3503D6"/>
    <w:rsid w:val="00544128"/>
    <w:rsid w:val="008351D5"/>
    <w:rsid w:val="00891714"/>
    <w:rsid w:val="00B555C8"/>
    <w:rsid w:val="00C11974"/>
    <w:rsid w:val="00C61A23"/>
    <w:rsid w:val="00E04D31"/>
    <w:rsid w:val="00E1011C"/>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graci.maacedo@gmail.com%22%20\t%20%22_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2010025@uesb.edu.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1470</Words>
  <Characters>8204</Characters>
  <Application>Microsoft Office Word</Application>
  <DocSecurity>0</DocSecurity>
  <Lines>256</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ana carolina</cp:lastModifiedBy>
  <cp:revision>3</cp:revision>
  <dcterms:created xsi:type="dcterms:W3CDTF">2023-09-15T14:47:00Z</dcterms:created>
  <dcterms:modified xsi:type="dcterms:W3CDTF">2023-09-15T14:47:00Z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